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中国重汽集团济南济南商用车有限公司</w:t>
      </w: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微机控制高低温电子万能试验机（1T）</w:t>
      </w:r>
    </w:p>
    <w:p>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bookmarkStart w:id="2" w:name="_Hlk100907235"/>
    </w:p>
    <w:bookmarkEnd w:id="2"/>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r>
        <w:rPr>
          <w:rFonts w:hint="eastAsia" w:ascii="华文仿宋" w:hAnsi="华文仿宋" w:eastAsia="华文仿宋"/>
          <w:b/>
          <w:bCs/>
          <w:sz w:val="32"/>
          <w:szCs w:val="28"/>
          <w:lang w:val="en-US" w:eastAsia="zh-CN"/>
        </w:rPr>
        <w:t>陈景坤</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r>
        <w:rPr>
          <w:rFonts w:hint="eastAsia" w:ascii="华文仿宋" w:hAnsi="华文仿宋" w:eastAsia="华文仿宋"/>
          <w:b/>
          <w:bCs/>
          <w:sz w:val="32"/>
          <w:szCs w:val="28"/>
          <w:lang w:val="en-US" w:eastAsia="zh-CN"/>
        </w:rPr>
        <w:t>刘美丽</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r>
        <w:rPr>
          <w:rFonts w:hint="eastAsia" w:ascii="华文仿宋" w:hAnsi="华文仿宋" w:eastAsia="华文仿宋"/>
          <w:b/>
          <w:bCs/>
          <w:sz w:val="32"/>
          <w:szCs w:val="28"/>
          <w:lang w:val="en-US" w:eastAsia="zh-CN"/>
        </w:rPr>
        <w:t>王晓</w:t>
      </w:r>
      <w:r>
        <w:rPr>
          <w:rFonts w:hint="eastAsia" w:ascii="华文仿宋" w:hAnsi="华文仿宋" w:eastAsia="华文仿宋"/>
          <w:b/>
          <w:bCs/>
          <w:sz w:val="32"/>
          <w:szCs w:val="28"/>
        </w:rPr>
        <w:t xml:space="preserve">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5月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12</w:t>
          </w:r>
        </w:p>
        <w:p>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15</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w:t>
          </w:r>
          <w:r>
            <w:rPr>
              <w:rFonts w:hint="eastAsia"/>
              <w:color w:val="auto"/>
              <w:sz w:val="32"/>
              <w:szCs w:val="32"/>
              <w:lang w:val="en-US" w:eastAsia="zh-CN"/>
            </w:rPr>
            <w:t>5</w:t>
          </w:r>
        </w:p>
        <w:p>
          <w:pPr>
            <w:pStyle w:val="23"/>
            <w:tabs>
              <w:tab w:val="right" w:leader="dot" w:pos="9071"/>
            </w:tabs>
            <w:spacing w:line="480" w:lineRule="auto"/>
            <w:rPr>
              <w:rFonts w:hint="default"/>
              <w:lang w:val="en-US"/>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47</w:t>
          </w:r>
        </w:p>
        <w:p>
          <w:pPr>
            <w:pStyle w:val="2"/>
            <w:spacing w:line="480" w:lineRule="auto"/>
            <w:jc w:val="center"/>
            <w:rPr>
              <w:rFonts w:ascii="Calibri" w:hAnsi="Calibri" w:eastAsia="宋体" w:cs="Times New Roman"/>
              <w:b/>
              <w:bCs/>
              <w:kern w:val="44"/>
              <w:szCs w:val="44"/>
            </w:rPr>
          </w:pPr>
          <w:r>
            <w:rPr>
              <w:rFonts w:hint="eastAsia" w:ascii="Calibri" w:hAnsi="Calibri" w:eastAsia="宋体" w:cs="Times New Roman"/>
              <w:bCs/>
              <w:kern w:val="44"/>
              <w:szCs w:val="44"/>
            </w:rPr>
            <w:fldChar w:fldCharType="end"/>
          </w:r>
        </w:p>
      </w:sdtContent>
    </w:sdt>
    <w:p/>
    <w:p/>
    <w:p/>
    <w:p>
      <w:pPr>
        <w:tabs>
          <w:tab w:val="left" w:pos="3115"/>
        </w:tabs>
        <w:jc w:val="left"/>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rPr>
        <w:tab/>
      </w:r>
    </w:p>
    <w:p>
      <w:pPr>
        <w:pStyle w:val="2"/>
        <w:numPr>
          <w:ilvl w:val="0"/>
          <w:numId w:val="1"/>
        </w:numPr>
        <w:jc w:val="center"/>
        <w:outlineLvl w:val="0"/>
        <w:rPr>
          <w:rFonts w:ascii="Calibri" w:hAnsi="Calibri" w:eastAsia="宋体" w:cs="Times New Roman"/>
          <w:b/>
          <w:bCs/>
          <w:kern w:val="44"/>
          <w:sz w:val="36"/>
          <w:szCs w:val="44"/>
        </w:rPr>
      </w:pPr>
      <w:bookmarkStart w:id="3" w:name="_Toc25915"/>
      <w:r>
        <w:rPr>
          <w:rFonts w:hint="eastAsia" w:ascii="Calibri" w:hAnsi="Calibri" w:eastAsia="宋体" w:cs="Times New Roman"/>
          <w:b/>
          <w:bCs/>
          <w:kern w:val="44"/>
          <w:sz w:val="36"/>
          <w:szCs w:val="44"/>
        </w:rPr>
        <w:t xml:space="preserve"> 投标须知前附表</w:t>
      </w:r>
      <w:bookmarkEnd w:id="3"/>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u w:val="single"/>
              </w:rPr>
              <w:t>中国重汽集团济南商用车有限公司</w:t>
            </w:r>
            <w:r>
              <w:rPr>
                <w:rFonts w:hint="eastAsia" w:ascii="宋体" w:hAnsi="宋体" w:eastAsia="宋体" w:cs="宋体"/>
                <w:b/>
                <w:bCs/>
                <w:sz w:val="24"/>
                <w:szCs w:val="24"/>
                <w:highlight w:val="yellow"/>
                <w:u w:val="single"/>
              </w:rPr>
              <w:t>清微机控制高低温电子万能试验机（1T）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u w:val="single"/>
              </w:rPr>
              <w:t xml:space="preserve"> </w:t>
            </w:r>
            <w:r>
              <w:rPr>
                <w:rFonts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eastAsia="zh-CN"/>
              </w:rPr>
              <w:t>CGZX2023050022</w:t>
            </w:r>
            <w:r>
              <w:rPr>
                <w:rFonts w:hint="eastAsia" w:ascii="宋体" w:hAnsi="宋体" w:eastAsia="宋体" w:cs="宋体"/>
                <w:b/>
                <w:bCs/>
                <w:sz w:val="24"/>
                <w:szCs w:val="24"/>
                <w:highlight w:val="yellow"/>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highlight w:val="yellow"/>
                <w:u w:val="single"/>
              </w:rPr>
              <w:t>微机控制高低温电子万能试验机（1T）项目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ascii="宋体" w:hAnsi="宋体" w:eastAsia="宋体" w:cs="宋体"/>
                <w:sz w:val="24"/>
                <w:szCs w:val="24"/>
                <w:u w:val="single"/>
              </w:rPr>
              <w:t>山东省济南市章丘区重汽工业园</w:t>
            </w:r>
            <w:r>
              <w:rPr>
                <w:rFonts w:hint="eastAsia" w:ascii="宋体" w:hAnsi="宋体" w:eastAsia="宋体" w:cs="宋体"/>
                <w:sz w:val="24"/>
                <w:szCs w:val="24"/>
                <w:u w:val="single"/>
              </w:rPr>
              <w:t xml:space="preserve"> </w:t>
            </w:r>
          </w:p>
          <w:p>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联系人：</w:t>
            </w:r>
            <w:r>
              <w:rPr>
                <w:rFonts w:hint="eastAsia" w:ascii="宋体" w:hAnsi="宋体" w:eastAsia="宋体" w:cs="宋体"/>
                <w:b/>
                <w:snapToGrid w:val="0"/>
                <w:kern w:val="0"/>
                <w:sz w:val="24"/>
                <w:szCs w:val="24"/>
                <w:lang w:val="en-US" w:eastAsia="zh-CN"/>
              </w:rPr>
              <w:t>陈景坤</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15253140509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0" w:firstLineChars="200"/>
              <w:rPr>
                <w:rFonts w:hAnsi="宋体" w:eastAsia="宋体" w:cs="宋体"/>
                <w:b/>
                <w:bCs/>
                <w:color w:val="000000"/>
                <w:sz w:val="24"/>
                <w:szCs w:val="24"/>
              </w:rPr>
            </w:pPr>
            <w:r>
              <w:rPr>
                <w:rFonts w:hint="eastAsia"/>
                <w:b/>
                <w:bCs/>
                <w:sz w:val="24"/>
                <w:szCs w:val="24"/>
                <w:highlight w:val="yellow"/>
              </w:rPr>
              <w:t>Ⅰ.对于中国境内投标人，投标条件如下：</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rPr>
              <w:t>500万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4.拟投标人在工商行政管理局的《国家企业信用信息公示系统》中查询不存在不良记录；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10.投标人最近半年纳税正常；</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11.投标人信用证明材料（中国人民银行信用代码证+征信报告）未显示异常；</w:t>
            </w:r>
          </w:p>
          <w:p>
            <w:pPr>
              <w:pStyle w:val="2"/>
              <w:ind w:firstLine="480" w:firstLineChars="200"/>
              <w:rPr>
                <w:rFonts w:hAnsi="宋体" w:eastAsia="宋体"/>
                <w:color w:val="000000"/>
                <w:sz w:val="24"/>
                <w:szCs w:val="24"/>
              </w:rPr>
            </w:pPr>
            <w:r>
              <w:rPr>
                <w:rFonts w:hint="eastAsia" w:hAnsi="宋体" w:eastAsia="宋体" w:cs="宋体"/>
                <w:color w:val="000000"/>
                <w:sz w:val="24"/>
                <w:szCs w:val="24"/>
              </w:rPr>
              <w:t>12.</w:t>
            </w:r>
            <w:r>
              <w:rPr>
                <w:rFonts w:hint="eastAsia" w:hAnsi="宋体" w:eastAsia="宋体"/>
                <w:color w:val="000000"/>
                <w:sz w:val="24"/>
                <w:szCs w:val="24"/>
              </w:rPr>
              <w:t>供方的直接或间接股东、法定代表人、董事、监事、高管非重汽员工及其亲属；</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14.不接受联合体投标。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4"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pPr>
            <w:r>
              <w:rPr>
                <w:rFonts w:hint="eastAsia" w:ascii="宋体" w:hAnsi="宋体" w:eastAsia="宋体" w:cs="宋体"/>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lang w:val="en-US" w:eastAsia="zh-CN"/>
              </w:rPr>
              <w:t>chenjingkun</w:t>
            </w:r>
            <w:r>
              <w:rPr>
                <w:rFonts w:hint="eastAsia" w:ascii="宋体" w:hAnsi="宋体" w:eastAsia="宋体" w:cs="宋体"/>
                <w:sz w:val="24"/>
                <w:szCs w:val="24"/>
                <w:highlight w:val="yellow"/>
              </w:rPr>
              <w:t>@sinotruk.com</w:t>
            </w:r>
            <w:r>
              <w:rPr>
                <w:rFonts w:hint="eastAsia" w:ascii="宋体" w:hAnsi="宋体" w:eastAsia="宋体" w:cs="宋体"/>
                <w:sz w:val="24"/>
                <w:szCs w:val="24"/>
              </w:rPr>
              <w:t>并电话联系工作人员查收（</w:t>
            </w:r>
            <w:r>
              <w:rPr>
                <w:rFonts w:hint="eastAsia" w:ascii="宋体" w:hAnsi="宋体" w:eastAsia="宋体" w:cs="宋体"/>
                <w:sz w:val="24"/>
                <w:szCs w:val="24"/>
                <w:highlight w:val="yellow"/>
                <w:lang w:val="en-US" w:eastAsia="zh-CN"/>
              </w:rPr>
              <w:t>陈景坤</w:t>
            </w:r>
            <w:r>
              <w:rPr>
                <w:rFonts w:hint="eastAsia" w:ascii="宋体" w:hAnsi="宋体" w:eastAsia="宋体" w:cs="宋体"/>
                <w:sz w:val="24"/>
                <w:szCs w:val="24"/>
                <w:highlight w:val="yellow"/>
              </w:rPr>
              <w:t>；联系方式：</w:t>
            </w:r>
            <w:r>
              <w:rPr>
                <w:rFonts w:hint="eastAsia" w:ascii="宋体" w:hAnsi="宋体" w:eastAsia="宋体" w:cs="宋体"/>
                <w:sz w:val="24"/>
                <w:szCs w:val="24"/>
                <w:highlight w:val="yellow"/>
                <w:lang w:val="en-US" w:eastAsia="zh-CN"/>
              </w:rPr>
              <w:t>15253140509</w:t>
            </w:r>
            <w:r>
              <w:rPr>
                <w:rFonts w:hint="eastAsia" w:ascii="宋体" w:hAnsi="宋体" w:eastAsia="宋体" w:cs="宋体"/>
                <w:sz w:val="24"/>
                <w:szCs w:val="24"/>
              </w:rPr>
              <w:t>），</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月1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1.12准备资料并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2023年</w:t>
            </w:r>
            <w:r>
              <w:rPr>
                <w:rFonts w:hint="eastAsia" w:eastAsia="宋体" w:cs="宋体"/>
                <w:highlight w:val="yellow"/>
                <w:lang w:val="en-US" w:eastAsia="zh-CN"/>
              </w:rPr>
              <w:t>6</w:t>
            </w:r>
            <w:r>
              <w:rPr>
                <w:rFonts w:hint="eastAsia" w:eastAsia="宋体" w:cs="宋体"/>
                <w:highlight w:val="yellow"/>
              </w:rPr>
              <w:t>月1</w:t>
            </w:r>
            <w:r>
              <w:rPr>
                <w:rFonts w:hint="eastAsia" w:eastAsia="宋体" w:cs="宋体"/>
                <w:highlight w:val="yellow"/>
                <w:lang w:val="en-US" w:eastAsia="zh-CN"/>
              </w:rPr>
              <w:t>5</w:t>
            </w:r>
            <w:r>
              <w:rPr>
                <w:rFonts w:hint="eastAsia" w:eastAsia="宋体" w:cs="宋体"/>
                <w:highlight w:val="yellow"/>
              </w:rPr>
              <w:t>日17时00分00秒</w:t>
            </w:r>
          </w:p>
          <w:p>
            <w:pPr>
              <w:pStyle w:val="11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一式三份，</w:t>
            </w:r>
            <w:r>
              <w:rPr>
                <w:rFonts w:hint="eastAsia" w:ascii="宋体" w:hAnsi="宋体" w:eastAsia="宋体" w:cs="宋体"/>
                <w:b/>
                <w:sz w:val="24"/>
                <w:szCs w:val="24"/>
                <w:highlight w:val="yellow"/>
              </w:rPr>
              <w:t>正本一份，副本两份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ind w:firstLine="482" w:firstLineChars="200"/>
              <w:rPr>
                <w:rFonts w:hAnsi="宋体" w:eastAsia="宋体" w:cs="Times New Roman"/>
                <w:color w:val="000000"/>
                <w:sz w:val="24"/>
                <w:szCs w:val="24"/>
                <w:highlight w:val="yellow"/>
              </w:rPr>
            </w:pPr>
            <w:r>
              <w:rPr>
                <w:rFonts w:hint="eastAsia" w:eastAsia="宋体" w:cs="宋体"/>
                <w:b/>
                <w:sz w:val="24"/>
                <w:szCs w:val="24"/>
              </w:rPr>
              <w:t>邮寄地址：</w:t>
            </w:r>
            <w:r>
              <w:rPr>
                <w:rFonts w:hAnsi="宋体" w:eastAsia="宋体" w:cs="Times New Roman"/>
                <w:color w:val="000000"/>
                <w:sz w:val="24"/>
                <w:szCs w:val="24"/>
                <w:highlight w:val="yellow"/>
              </w:rPr>
              <w:t>山东省济南市章丘区重汽工业园</w:t>
            </w:r>
            <w:r>
              <w:rPr>
                <w:rFonts w:hint="eastAsia" w:hAnsi="宋体" w:eastAsia="宋体" w:cs="Times New Roman"/>
                <w:color w:val="000000"/>
                <w:sz w:val="24"/>
                <w:szCs w:val="24"/>
                <w:highlight w:val="yellow"/>
              </w:rPr>
              <w:t xml:space="preserve"> </w:t>
            </w:r>
          </w:p>
          <w:p>
            <w:pPr>
              <w:pStyle w:val="2"/>
              <w:ind w:firstLine="240" w:firstLineChars="100"/>
              <w:rPr>
                <w:rFonts w:hAnsi="宋体" w:eastAsia="宋体" w:cs="Times New Roman"/>
                <w:color w:val="000000"/>
                <w:sz w:val="24"/>
                <w:szCs w:val="24"/>
              </w:rPr>
            </w:pPr>
            <w:r>
              <w:rPr>
                <w:rFonts w:hint="eastAsia" w:hAnsi="宋体" w:eastAsia="宋体" w:cs="Times New Roman"/>
                <w:color w:val="000000"/>
                <w:sz w:val="24"/>
                <w:szCs w:val="24"/>
                <w:highlight w:val="yellow"/>
              </w:rPr>
              <w:t>联系人及联系方式：</w:t>
            </w:r>
            <w:r>
              <w:rPr>
                <w:rFonts w:hint="eastAsia" w:ascii="宋体" w:hAnsi="宋体" w:eastAsia="宋体" w:cs="宋体"/>
                <w:sz w:val="24"/>
                <w:szCs w:val="24"/>
                <w:highlight w:val="yellow"/>
                <w:lang w:val="en-US" w:eastAsia="zh-CN"/>
              </w:rPr>
              <w:t>陈景坤</w:t>
            </w:r>
            <w:r>
              <w:rPr>
                <w:rFonts w:hint="eastAsia" w:hAnsi="宋体" w:eastAsia="宋体" w:cs="宋体"/>
                <w:sz w:val="24"/>
                <w:szCs w:val="24"/>
                <w:highlight w:val="yellow"/>
                <w:lang w:val="en-US" w:eastAsia="zh-CN"/>
              </w:rPr>
              <w:t>/</w:t>
            </w:r>
            <w:r>
              <w:rPr>
                <w:rFonts w:hint="eastAsia" w:ascii="宋体" w:hAnsi="宋体" w:eastAsia="宋体" w:cs="宋体"/>
                <w:sz w:val="24"/>
                <w:szCs w:val="24"/>
                <w:highlight w:val="yellow"/>
                <w:lang w:val="en-US" w:eastAsia="zh-CN"/>
              </w:rPr>
              <w:t>15253140509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460" w:lineRule="exact"/>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2023</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月1</w:t>
            </w:r>
            <w:r>
              <w:rPr>
                <w:rFonts w:hint="eastAsia" w:hAnsi="宋体" w:eastAsia="宋体" w:cs="宋体"/>
                <w:sz w:val="24"/>
                <w:szCs w:val="24"/>
                <w:highlight w:val="yellow"/>
                <w:lang w:val="en-US" w:eastAsia="zh-CN"/>
              </w:rPr>
              <w:t>5</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投标保证金的金额：人民币5000元</w:t>
            </w:r>
          </w:p>
          <w:p>
            <w:pPr>
              <w:ind w:firstLine="523" w:firstLineChars="218"/>
              <w:rPr>
                <w:rFonts w:ascii="宋体" w:hAnsi="宋体" w:eastAsia="宋体" w:cs="宋体"/>
                <w:sz w:val="24"/>
                <w:szCs w:val="24"/>
              </w:rPr>
            </w:pPr>
            <w:r>
              <w:rPr>
                <w:rFonts w:hint="eastAsia" w:ascii="宋体" w:hAnsi="宋体" w:eastAsia="宋体" w:cs="宋体"/>
                <w:sz w:val="24"/>
                <w:szCs w:val="24"/>
              </w:rPr>
              <w:t>账户名称：中国重汽集团济南商用车有限公司</w:t>
            </w:r>
          </w:p>
          <w:p>
            <w:pPr>
              <w:ind w:firstLine="523" w:firstLineChars="218"/>
              <w:rPr>
                <w:rFonts w:ascii="宋体" w:hAnsi="宋体" w:eastAsia="宋体" w:cs="宋体"/>
                <w:sz w:val="24"/>
                <w:szCs w:val="24"/>
              </w:rPr>
            </w:pPr>
            <w:r>
              <w:rPr>
                <w:rFonts w:hint="eastAsia" w:ascii="宋体" w:hAnsi="宋体" w:eastAsia="宋体" w:cs="宋体"/>
                <w:sz w:val="24"/>
                <w:szCs w:val="24"/>
              </w:rPr>
              <w:t>银行账号：226005574527</w:t>
            </w:r>
          </w:p>
          <w:p>
            <w:pPr>
              <w:ind w:firstLine="523" w:firstLineChars="218"/>
              <w:rPr>
                <w:rFonts w:ascii="宋体" w:hAnsi="宋体" w:eastAsia="宋体" w:cs="宋体"/>
                <w:sz w:val="24"/>
                <w:szCs w:val="24"/>
              </w:rPr>
            </w:pPr>
            <w:r>
              <w:rPr>
                <w:rFonts w:hint="eastAsia" w:ascii="宋体" w:hAnsi="宋体" w:eastAsia="宋体" w:cs="宋体"/>
                <w:sz w:val="24"/>
                <w:szCs w:val="24"/>
              </w:rPr>
              <w:t>开户行名称：中国银行股份有限公司章丘支行</w:t>
            </w:r>
          </w:p>
          <w:p>
            <w:pPr>
              <w:ind w:firstLine="523" w:firstLineChars="218"/>
              <w:rPr>
                <w:rFonts w:ascii="宋体" w:hAnsi="宋体" w:eastAsia="宋体" w:cs="宋体"/>
                <w:sz w:val="24"/>
                <w:szCs w:val="24"/>
              </w:rPr>
            </w:pPr>
            <w:r>
              <w:rPr>
                <w:rFonts w:hint="eastAsia" w:ascii="宋体" w:hAnsi="宋体" w:eastAsia="宋体" w:cs="宋体"/>
                <w:sz w:val="24"/>
                <w:szCs w:val="24"/>
              </w:rPr>
              <w:t>开户行行号：104451040689</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Ⅱ.</w:t>
            </w:r>
            <w:r>
              <w:rPr>
                <w:rFonts w:hint="eastAsia" w:ascii="宋体" w:hAnsi="宋体" w:cs="宋体"/>
                <w:sz w:val="24"/>
                <w:szCs w:val="24"/>
                <w:highlight w:val="yellow"/>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月1</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kern w:val="0"/>
                <w:sz w:val="24"/>
                <w:szCs w:val="24"/>
                <w:highlight w:val="yellow"/>
              </w:rPr>
              <w:t>中国重汽集团济南商用车有限公司。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green"/>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u w:val="single"/>
              </w:rPr>
              <w:t>135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7</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之内安装调试完毕，并投入使用。</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u w:val="single"/>
              </w:rPr>
              <w:t>7个日历日</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kern w:val="0"/>
                <w:sz w:val="24"/>
                <w:szCs w:val="24"/>
                <w:highlight w:val="yellow"/>
              </w:rPr>
              <w:t>中国重汽集团济南商用车有限公司。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u w:val="single"/>
              </w:rPr>
              <w:t>Ⅰ.国内付款方式：半年期商业汇票（包括银行承兑汇票和商业承兑汇票）</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u w:val="single"/>
              </w:rPr>
              <w:t>30个</w:t>
            </w:r>
            <w:r>
              <w:rPr>
                <w:rFonts w:hint="eastAsia" w:hAnsi="宋体" w:eastAsia="宋体" w:cs="宋体"/>
                <w:color w:val="000000"/>
                <w:sz w:val="24"/>
                <w:szCs w:val="24"/>
              </w:rPr>
              <w:t>工作日内支付合同价款的90%。</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A：金额为该合同设备价格100%的增值税专用发票（含复印件二份），具体开票信息详见发票信息表，根据表中所列分别开具增值税发票。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B：该套合同设备最终验收报告的原件及其复印件两份。</w:t>
            </w:r>
          </w:p>
          <w:p>
            <w:pPr>
              <w:ind w:firstLine="480" w:firstLineChars="200"/>
            </w:pPr>
            <w:r>
              <w:rPr>
                <w:rFonts w:hint="eastAsia" w:ascii="宋体" w:hAnsi="宋体" w:eastAsia="宋体" w:cs="宋体"/>
                <w:bCs/>
                <w:sz w:val="24"/>
                <w:szCs w:val="24"/>
              </w:rPr>
              <w:t>(2)</w:t>
            </w:r>
            <w:r>
              <w:rPr>
                <w:rFonts w:hint="eastAsia" w:ascii="宋体" w:hAnsi="Courier New" w:eastAsia="宋体" w:cs="Times New Roman"/>
                <w:color w:val="000000"/>
                <w:sz w:val="24"/>
                <w:szCs w:val="24"/>
              </w:rPr>
              <w:t>合同总价款的10%作为本合同约定设备的质量保证金，质量保证金在质量保证期内不计利息。待每套合同设备质量保证期满，</w:t>
            </w:r>
            <w:r>
              <w:rPr>
                <w:rFonts w:hint="eastAsia" w:eastAsia="宋体" w:cs="Times New Roman"/>
                <w:color w:val="000000"/>
                <w:sz w:val="24"/>
                <w:szCs w:val="24"/>
              </w:rPr>
              <w:t>中标人</w:t>
            </w:r>
            <w:r>
              <w:rPr>
                <w:rFonts w:hint="eastAsia" w:ascii="宋体" w:hAnsi="Courier New" w:eastAsia="宋体" w:cs="Times New Roman"/>
                <w:color w:val="000000"/>
                <w:sz w:val="24"/>
                <w:szCs w:val="24"/>
              </w:rPr>
              <w:t>向</w:t>
            </w:r>
            <w:r>
              <w:rPr>
                <w:rFonts w:hint="eastAsia" w:eastAsia="宋体" w:cs="Times New Roman"/>
                <w:color w:val="000000"/>
                <w:sz w:val="24"/>
                <w:szCs w:val="24"/>
              </w:rPr>
              <w:t>招标人</w:t>
            </w:r>
            <w:r>
              <w:rPr>
                <w:rFonts w:hint="eastAsia" w:ascii="宋体" w:hAnsi="Courier New" w:eastAsia="宋体" w:cs="Times New Roman"/>
                <w:color w:val="000000"/>
                <w:sz w:val="24"/>
                <w:szCs w:val="24"/>
              </w:rPr>
              <w:t>提交金额为合同价款</w:t>
            </w:r>
            <w:r>
              <w:rPr>
                <w:rFonts w:hint="eastAsia" w:ascii="宋体" w:hAnsi="宋体" w:eastAsia="宋体" w:cs="宋体"/>
                <w:b/>
                <w:bCs/>
                <w:color w:val="000000"/>
                <w:sz w:val="24"/>
                <w:szCs w:val="24"/>
              </w:rPr>
              <w:t>10%</w:t>
            </w:r>
            <w:r>
              <w:rPr>
                <w:rFonts w:hint="eastAsia" w:ascii="宋体" w:hAnsi="Courier New" w:eastAsia="宋体" w:cs="Times New Roman"/>
                <w:color w:val="000000"/>
                <w:sz w:val="24"/>
                <w:szCs w:val="24"/>
              </w:rPr>
              <w:t>的收据（正本一份，复印件二份）及设备使用单位的使用情况说明，经</w:t>
            </w:r>
            <w:r>
              <w:rPr>
                <w:rFonts w:hint="eastAsia" w:eastAsia="宋体" w:cs="Times New Roman"/>
                <w:color w:val="000000"/>
                <w:sz w:val="24"/>
                <w:szCs w:val="24"/>
              </w:rPr>
              <w:t>招标人</w:t>
            </w:r>
            <w:r>
              <w:rPr>
                <w:rFonts w:hint="eastAsia" w:ascii="宋体" w:hAnsi="Courier New" w:eastAsia="宋体" w:cs="Times New Roman"/>
                <w:color w:val="000000"/>
                <w:sz w:val="24"/>
                <w:szCs w:val="24"/>
              </w:rPr>
              <w:t>依照财务制度审核无误后</w:t>
            </w:r>
            <w:r>
              <w:rPr>
                <w:rFonts w:hint="eastAsia" w:ascii="宋体" w:hAnsi="宋体" w:eastAsia="宋体" w:cs="宋体"/>
                <w:color w:val="000000"/>
                <w:sz w:val="24"/>
                <w:szCs w:val="24"/>
                <w:u w:val="single"/>
              </w:rPr>
              <w:t>30</w:t>
            </w:r>
            <w:r>
              <w:rPr>
                <w:rFonts w:hint="eastAsia" w:ascii="宋体" w:hAnsi="宋体" w:eastAsia="宋体" w:cs="宋体"/>
                <w:color w:val="000000"/>
                <w:sz w:val="24"/>
                <w:szCs w:val="24"/>
              </w:rPr>
              <w:t>个</w:t>
            </w:r>
            <w:r>
              <w:rPr>
                <w:rFonts w:hint="eastAsia" w:hAnsi="宋体" w:eastAsia="宋体" w:cs="宋体"/>
                <w:color w:val="000000"/>
                <w:sz w:val="24"/>
                <w:szCs w:val="24"/>
              </w:rPr>
              <w:t>工作日</w:t>
            </w:r>
            <w:r>
              <w:rPr>
                <w:rFonts w:hint="eastAsia" w:ascii="宋体" w:hAnsi="Courier New" w:eastAsia="宋体" w:cs="Times New Roman"/>
                <w:color w:val="000000"/>
                <w:sz w:val="24"/>
                <w:szCs w:val="24"/>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widowControl/>
              <w:shd w:val="clear" w:color="auto" w:fill="F3F3F3"/>
              <w:spacing w:line="375" w:lineRule="atLeast"/>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名称：中国重汽集团济南商用车有限公司</w:t>
            </w:r>
          </w:p>
          <w:p>
            <w:pPr>
              <w:widowControl/>
              <w:shd w:val="clear" w:color="auto" w:fill="F3F3F3"/>
              <w:spacing w:line="375" w:lineRule="atLeast"/>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税号：9137010072624213XP</w:t>
            </w:r>
          </w:p>
          <w:p>
            <w:pPr>
              <w:widowControl/>
              <w:shd w:val="clear" w:color="auto" w:fill="F3F3F3"/>
              <w:spacing w:line="375" w:lineRule="atLeast"/>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地址：山东省章丘市圣井潘王路西</w:t>
            </w:r>
          </w:p>
          <w:p>
            <w:pPr>
              <w:widowControl/>
              <w:shd w:val="clear" w:color="auto" w:fill="F3F3F3"/>
              <w:spacing w:line="375" w:lineRule="atLeast"/>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电话：58069620</w:t>
            </w:r>
          </w:p>
          <w:p>
            <w:pPr>
              <w:widowControl/>
              <w:shd w:val="clear" w:color="auto" w:fill="F3F3F3"/>
              <w:spacing w:line="375" w:lineRule="atLeast"/>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开户行：中信银行舜耕支行</w:t>
            </w:r>
          </w:p>
          <w:p>
            <w:pPr>
              <w:widowControl/>
              <w:shd w:val="clear" w:color="auto" w:fill="F3F3F3"/>
              <w:spacing w:line="375" w:lineRule="atLeast"/>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帐号：7372610182600034841</w:t>
            </w:r>
          </w:p>
          <w:p>
            <w:pPr>
              <w:ind w:firstLine="480" w:firstLineChars="200"/>
              <w:rPr>
                <w:rFonts w:ascii="宋体" w:hAnsi="宋体" w:cs="宋体"/>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u w:val="single"/>
              </w:rPr>
              <w:t>60</w:t>
            </w:r>
            <w:r>
              <w:rPr>
                <w:rFonts w:hint="eastAsia" w:ascii="宋体" w:hAnsi="宋体" w:eastAsia="宋体" w:cs="宋体"/>
                <w:sz w:val="24"/>
                <w:szCs w:val="24"/>
              </w:rPr>
              <w:t>日内需根据设计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pPr>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br w:type="page"/>
      </w:r>
    </w:p>
    <w:p>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5"/>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pPr>
        <w:keepNext/>
        <w:keepLines/>
        <w:numPr>
          <w:ilvl w:val="0"/>
          <w:numId w:val="2"/>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2"/>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2"/>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2"/>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2"/>
        <w:numPr>
          <w:ilvl w:val="0"/>
          <w:numId w:val="3"/>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2"/>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2"/>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2"/>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2"/>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w:t>
      </w:r>
      <w:r>
        <w:rPr>
          <w:rFonts w:hint="eastAsia" w:ascii="宋体" w:hAnsi="宋体" w:eastAsia="宋体" w:cs="宋体"/>
          <w:sz w:val="24"/>
          <w:szCs w:val="24"/>
        </w:rPr>
        <w:t>山东省阳光采购服务平台、中国招标投标公共服务平台等公开媒体</w:t>
      </w:r>
      <w:r>
        <w:rPr>
          <w:rFonts w:hint="eastAsia" w:ascii="宋体" w:hAnsi="宋体" w:eastAsia="宋体" w:cs="Times New Roman"/>
          <w:color w:val="000000"/>
          <w:sz w:val="24"/>
          <w:szCs w:val="24"/>
        </w:rPr>
        <w:t>。</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420" w:lineRule="exact"/>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1"/>
        <w:ind w:firstLine="480"/>
        <w:rPr>
          <w:rFonts w:hint="eastAsia" w:eastAsia="宋体" w:cs="Times New Roman"/>
          <w:highlight w:val="green"/>
        </w:rPr>
      </w:pPr>
      <w:r>
        <w:rPr>
          <w:rFonts w:hint="eastAsia" w:eastAsia="宋体" w:cs="Times New Roman"/>
          <w:highlight w:val="green"/>
        </w:rPr>
        <w:t>4.2招标人银行账户信息如下：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ind w:firstLine="523" w:firstLineChars="218"/>
              <w:rPr>
                <w:rFonts w:ascii="宋体" w:hAnsi="宋体" w:eastAsia="宋体" w:cs="宋体"/>
                <w:sz w:val="24"/>
                <w:szCs w:val="24"/>
              </w:rPr>
            </w:pPr>
            <w:r>
              <w:rPr>
                <w:rFonts w:hint="eastAsia" w:ascii="宋体" w:hAnsi="宋体" w:eastAsia="宋体" w:cs="宋体"/>
                <w:sz w:val="24"/>
                <w:szCs w:val="24"/>
              </w:rPr>
              <w:t>开户银行：中国银行股份有限公司章丘支行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11"/>
              <w:ind w:firstLine="480"/>
              <w:rPr>
                <w:rFonts w:eastAsia="宋体" w:cs="宋体"/>
                <w:color w:val="auto"/>
              </w:rPr>
            </w:pPr>
            <w:r>
              <w:rPr>
                <w:rFonts w:hint="eastAsia" w:eastAsia="宋体" w:cs="宋体"/>
                <w:color w:val="auto"/>
              </w:rPr>
              <w:t>开户名称：中国重汽集团济南商用车有限公司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宋体"/>
                <w:color w:val="auto"/>
              </w:rPr>
            </w:pPr>
            <w:r>
              <w:rPr>
                <w:rFonts w:hint="eastAsia" w:eastAsia="宋体" w:cs="宋体"/>
                <w:color w:val="auto"/>
              </w:rPr>
              <w:t>银行帐号：</w:t>
            </w:r>
            <w:r>
              <w:rPr>
                <w:rFonts w:eastAsia="宋体" w:cs="宋体"/>
                <w:color w:val="auto"/>
              </w:rPr>
              <w:t>226005574527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宋体"/>
                <w:color w:val="auto"/>
              </w:rPr>
            </w:pPr>
            <w:r>
              <w:rPr>
                <w:rFonts w:hint="eastAsia" w:eastAsia="宋体" w:cs="宋体"/>
                <w:color w:val="auto"/>
              </w:rPr>
              <w:t>开户行联号：</w:t>
            </w:r>
            <w:r>
              <w:rPr>
                <w:rFonts w:eastAsia="宋体" w:cs="宋体"/>
                <w:color w:val="auto"/>
              </w:rPr>
              <w:t>104451040689</w:t>
            </w:r>
          </w:p>
        </w:tc>
      </w:tr>
    </w:tbl>
    <w:p>
      <w:pPr>
        <w:pStyle w:val="111"/>
        <w:ind w:firstLine="480"/>
        <w:rPr>
          <w:rFonts w:eastAsia="宋体" w:cs="Times New Roman"/>
        </w:rPr>
      </w:pPr>
      <w:r>
        <w:rPr>
          <w:rFonts w:hint="eastAsia" w:eastAsia="宋体" w:cs="Times New Roman"/>
        </w:rPr>
        <w:t>转账附言：公司名称+项目名称+投标保证金；</w:t>
      </w:r>
    </w:p>
    <w:p>
      <w:pPr>
        <w:pStyle w:val="111"/>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111"/>
        <w:ind w:firstLine="480"/>
        <w:rPr>
          <w:rFonts w:eastAsia="宋体" w:cs="Times New Roman"/>
        </w:rPr>
      </w:pPr>
      <w:r>
        <w:rPr>
          <w:rFonts w:hint="eastAsia" w:eastAsia="宋体" w:cs="Times New Roman"/>
        </w:rPr>
        <w:t>4.3说明</w:t>
      </w:r>
    </w:p>
    <w:p>
      <w:pPr>
        <w:pStyle w:val="111"/>
        <w:ind w:firstLine="480"/>
        <w:rPr>
          <w:rFonts w:eastAsia="宋体" w:cs="Times New Roman"/>
        </w:rPr>
      </w:pPr>
      <w:r>
        <w:rPr>
          <w:rFonts w:hint="eastAsia" w:eastAsia="宋体" w:cs="Times New Roman"/>
        </w:rPr>
        <w:t>4.3.1 投标人在向招标人出示《投标保证金缴纳凭证》后方可进行投标；</w:t>
      </w:r>
    </w:p>
    <w:p>
      <w:pPr>
        <w:pStyle w:val="111"/>
        <w:ind w:firstLine="480"/>
        <w:rPr>
          <w:rFonts w:eastAsia="宋体" w:cs="Times New Roman"/>
        </w:rPr>
      </w:pPr>
      <w:r>
        <w:rPr>
          <w:rFonts w:hint="eastAsia" w:eastAsia="宋体" w:cs="Times New Roman"/>
        </w:rPr>
        <w:t>4.3.2 发生以下情况时，招标人有权没收保证金：</w:t>
      </w:r>
    </w:p>
    <w:p>
      <w:pPr>
        <w:pStyle w:val="111"/>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1"/>
        <w:ind w:firstLine="480"/>
        <w:rPr>
          <w:rFonts w:eastAsia="宋体" w:cs="Times New Roman"/>
        </w:rPr>
      </w:pPr>
      <w:r>
        <w:rPr>
          <w:rFonts w:hint="eastAsia" w:eastAsia="宋体" w:cs="Times New Roman"/>
        </w:rPr>
        <w:t>4.3.2.2 投标人递送投标文件后，无正当理由放弃投标的；</w:t>
      </w:r>
    </w:p>
    <w:p>
      <w:pPr>
        <w:pStyle w:val="111"/>
        <w:ind w:firstLine="480"/>
        <w:rPr>
          <w:rFonts w:eastAsia="宋体" w:cs="Times New Roman"/>
        </w:rPr>
      </w:pPr>
      <w:r>
        <w:rPr>
          <w:rFonts w:hint="eastAsia" w:eastAsia="宋体" w:cs="Times New Roman"/>
        </w:rPr>
        <w:t>4.3.2.3若为视频开标，招标过程中澄清函等资料原件未按要求提交的；</w:t>
      </w:r>
    </w:p>
    <w:p>
      <w:pPr>
        <w:pStyle w:val="111"/>
        <w:ind w:firstLine="480"/>
        <w:rPr>
          <w:rFonts w:eastAsia="宋体" w:cs="Times New Roman"/>
        </w:rPr>
      </w:pPr>
      <w:r>
        <w:rPr>
          <w:rFonts w:hint="eastAsia" w:eastAsia="宋体" w:cs="Times New Roman"/>
        </w:rPr>
        <w:t>4.3.2.4自中标通知书发出之日起30日内，中标人无正当理由不签订合同的；</w:t>
      </w:r>
    </w:p>
    <w:p>
      <w:pPr>
        <w:pStyle w:val="111"/>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1"/>
        <w:ind w:firstLine="480"/>
        <w:rPr>
          <w:rFonts w:eastAsia="宋体" w:cs="Times New Roman"/>
        </w:rPr>
      </w:pPr>
      <w:r>
        <w:rPr>
          <w:rFonts w:hint="eastAsia" w:eastAsia="宋体" w:cs="Times New Roman"/>
        </w:rPr>
        <w:t>4.4投标报名截止时间</w:t>
      </w:r>
    </w:p>
    <w:p>
      <w:pPr>
        <w:pStyle w:val="111"/>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1"/>
        <w:ind w:firstLine="480"/>
        <w:rPr>
          <w:rFonts w:eastAsia="宋体" w:cs="Times New Roman"/>
        </w:rPr>
      </w:pPr>
      <w:r>
        <w:rPr>
          <w:rFonts w:hint="eastAsia" w:eastAsia="宋体" w:cs="Times New Roman"/>
        </w:rPr>
        <w:t>报名提交资料：均为盖章电子扫描版，</w:t>
      </w:r>
      <w:r>
        <w:rPr>
          <w:rFonts w:eastAsia="宋体" w:cs="宋体"/>
        </w:rPr>
        <w:t>公司名称+项目名称命名</w:t>
      </w:r>
      <w:r>
        <w:rPr>
          <w:rFonts w:hint="eastAsia" w:eastAsia="宋体" w:cs="Times New Roman"/>
        </w:rPr>
        <w:t>。</w:t>
      </w:r>
    </w:p>
    <w:p>
      <w:pPr>
        <w:numPr>
          <w:ilvl w:val="0"/>
          <w:numId w:val="4"/>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4"/>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4"/>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满足国务院、政府及招标人公司最新防疫政策要求，</w:t>
      </w:r>
      <w:r>
        <w:rPr>
          <w:rFonts w:hint="eastAsia" w:ascii="宋体" w:hAnsi="宋体" w:eastAsia="宋体" w:cs="宋体"/>
          <w:color w:val="000000"/>
          <w:sz w:val="24"/>
          <w:szCs w:val="24"/>
          <w:highlight w:val="yellow"/>
        </w:rPr>
        <w:t>原则上</w:t>
      </w:r>
      <w:r>
        <w:rPr>
          <w:rFonts w:ascii="宋体" w:hAnsi="宋体" w:eastAsia="宋体" w:cs="宋体"/>
          <w:color w:val="000000"/>
          <w:sz w:val="24"/>
          <w:szCs w:val="24"/>
          <w:highlight w:val="yellow"/>
        </w:rPr>
        <w:t>来现场参与</w:t>
      </w:r>
      <w:r>
        <w:rPr>
          <w:rFonts w:hint="eastAsia" w:ascii="宋体" w:hAnsi="宋体" w:eastAsia="宋体" w:cs="宋体"/>
          <w:color w:val="000000"/>
          <w:sz w:val="24"/>
          <w:szCs w:val="24"/>
          <w:highlight w:val="yellow"/>
        </w:rPr>
        <w:t>开</w:t>
      </w:r>
      <w:r>
        <w:rPr>
          <w:rFonts w:ascii="宋体" w:hAnsi="宋体" w:eastAsia="宋体" w:cs="宋体"/>
          <w:color w:val="000000"/>
          <w:sz w:val="24"/>
          <w:szCs w:val="24"/>
          <w:highlight w:val="yellow"/>
        </w:rPr>
        <w:t>标。</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7" w:name="_Toc33267001"/>
      <w:bookmarkStart w:id="8" w:name="_Toc33265653"/>
      <w:bookmarkStart w:id="9" w:name="_Toc33266627"/>
      <w:bookmarkStart w:id="10" w:name="_Toc33285487"/>
      <w:bookmarkStart w:id="11" w:name="_Toc33266950"/>
      <w:bookmarkStart w:id="12" w:name="_Toc33266914"/>
      <w:bookmarkStart w:id="13" w:name="_Toc33265752"/>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b/>
          <w:bCs/>
          <w:sz w:val="24"/>
          <w:szCs w:val="24"/>
        </w:rPr>
        <w:t>技术标入围后，原则上合理最低价中标</w:t>
      </w:r>
      <w:bookmarkStart w:id="15" w:name="_Toc33267002"/>
      <w:bookmarkStart w:id="16" w:name="_Toc33266628"/>
      <w:bookmarkStart w:id="17" w:name="_Toc33285489"/>
      <w:bookmarkStart w:id="18" w:name="_Toc33266951"/>
      <w:bookmarkStart w:id="19" w:name="_Toc33265753"/>
      <w:bookmarkStart w:id="20" w:name="_Toc33266915"/>
      <w:bookmarkStart w:id="21" w:name="_Toc33265654"/>
      <w:bookmarkStart w:id="22" w:name="_Toc395116634"/>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本着公平、公正、公开的原则，在通过技术标</w:t>
      </w:r>
      <w:r>
        <w:rPr>
          <w:rFonts w:hint="eastAsia" w:ascii="Calibri" w:hAnsi="Calibri" w:eastAsia="宋体" w:cs="Times New Roman"/>
          <w:color w:val="000000"/>
          <w:sz w:val="24"/>
          <w:szCs w:val="24"/>
        </w:rPr>
        <w:t>综合评审后</w:t>
      </w:r>
      <w:r>
        <w:rPr>
          <w:rFonts w:hint="eastAsia" w:ascii="宋体" w:hAnsi="宋体" w:eastAsia="宋体" w:cs="Times New Roman"/>
          <w:color w:val="000000"/>
          <w:sz w:val="24"/>
          <w:szCs w:val="24"/>
        </w:rPr>
        <w:t>入围的前提下，选择合理最低价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5"/>
    <w:bookmarkEnd w:id="16"/>
    <w:bookmarkEnd w:id="17"/>
    <w:bookmarkEnd w:id="18"/>
    <w:bookmarkEnd w:id="19"/>
    <w:bookmarkEnd w:id="20"/>
    <w:bookmarkEnd w:id="21"/>
    <w:bookmarkEnd w:id="22"/>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2"/>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5"/>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6"/>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7"/>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pPr>
        <w:numPr>
          <w:ilvl w:val="0"/>
          <w:numId w:val="7"/>
        </w:numPr>
        <w:spacing w:line="420" w:lineRule="exact"/>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8"/>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4"/>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8"/>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3" w:name="OLE_LINK25"/>
      <w:bookmarkStart w:id="24" w:name="OLE_LINK28"/>
      <w:bookmarkStart w:id="25" w:name="OLE_LINK27"/>
      <w:bookmarkStart w:id="26" w:name="OLE_LINK29"/>
      <w:bookmarkStart w:id="27" w:name="OLE_LINK26"/>
      <w:r>
        <w:rPr>
          <w:rFonts w:hint="eastAsia" w:ascii="宋体" w:hAnsi="Courier New" w:eastAsia="宋体" w:cs="Times New Roman"/>
          <w:bCs/>
          <w:sz w:val="24"/>
          <w:szCs w:val="24"/>
        </w:rPr>
        <w:t>；</w:t>
      </w:r>
      <w:bookmarkEnd w:id="23"/>
      <w:bookmarkEnd w:id="24"/>
      <w:bookmarkEnd w:id="25"/>
      <w:bookmarkEnd w:id="26"/>
      <w:bookmarkEnd w:id="27"/>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w:t>
      </w:r>
      <w:r>
        <w:rPr>
          <w:rFonts w:hint="eastAsia" w:ascii="Calibri" w:hAnsi="Calibri" w:eastAsia="宋体" w:cs="Times New Roman"/>
          <w:b/>
          <w:color w:val="000000"/>
          <w:sz w:val="24"/>
          <w:szCs w:val="24"/>
          <w:lang w:eastAsia="zh-CN"/>
        </w:rPr>
        <w:t>中国重汽集团济南商用车有限公司</w:t>
      </w:r>
      <w:r>
        <w:rPr>
          <w:rFonts w:hint="eastAsia" w:ascii="Calibri" w:hAnsi="Calibri" w:eastAsia="宋体" w:cs="Times New Roman"/>
          <w:b/>
          <w:color w:val="000000"/>
          <w:sz w:val="24"/>
          <w:szCs w:val="24"/>
        </w:rPr>
        <w:t>。</w:t>
      </w:r>
    </w:p>
    <w:p>
      <w:pPr>
        <w:pStyle w:val="2"/>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pPr>
        <w:pStyle w:val="2"/>
        <w:numPr>
          <w:ilvl w:val="255"/>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rPr>
        <w:t>第三部分 投标文件编制</w:t>
      </w:r>
      <w:bookmarkEnd w:id="28"/>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w:t>
      </w:r>
      <w:r>
        <w:rPr>
          <w:rFonts w:ascii="宋体" w:hAnsi="宋体" w:eastAsia="宋体" w:cs="宋体"/>
          <w:sz w:val="24"/>
          <w:szCs w:val="24"/>
        </w:rPr>
        <w:t>拟投标人在国家市场监督管理总局的《国家企业信用信息公示系统》中查询不存在不良记录；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1.10保密承诺函（附件4）；</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1.11企业近三年同类项目业绩证明；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1.12投标保证金缴纳凭证。</w:t>
      </w:r>
    </w:p>
    <w:p>
      <w:pPr>
        <w:spacing w:line="360" w:lineRule="auto"/>
        <w:ind w:firstLine="482" w:firstLineChars="200"/>
        <w:rPr>
          <w:rFonts w:ascii="宋体" w:hAnsi="Calibri" w:eastAsia="宋体" w:cs="Times New Roman"/>
          <w:b/>
          <w:bCs/>
          <w:sz w:val="24"/>
          <w:szCs w:val="20"/>
        </w:rPr>
      </w:pPr>
      <w:bookmarkStart w:id="29"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9"/>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30" w:name="_Toc536542319"/>
      <w:r>
        <w:rPr>
          <w:rFonts w:hint="eastAsia" w:ascii="宋体" w:hAnsi="宋体" w:eastAsia="宋体" w:cs="Times New Roman"/>
          <w:color w:val="000000"/>
          <w:sz w:val="24"/>
          <w:szCs w:val="24"/>
        </w:rPr>
        <w:t>2.6投标产品技术支持材料</w:t>
      </w:r>
      <w:bookmarkEnd w:id="30"/>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31" w:name="OLE_LINK19"/>
      <w:bookmarkStart w:id="32" w:name="OLE_LINK18"/>
      <w:r>
        <w:rPr>
          <w:rFonts w:hint="eastAsia" w:ascii="宋体" w:hAnsi="宋体" w:eastAsia="宋体" w:cs="Times New Roman"/>
          <w:b/>
          <w:color w:val="000000"/>
          <w:sz w:val="24"/>
          <w:szCs w:val="24"/>
        </w:rPr>
        <w:t>；</w:t>
      </w:r>
      <w:bookmarkEnd w:id="31"/>
      <w:bookmarkEnd w:id="32"/>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p>
    <w:p>
      <w:pPr>
        <w:pStyle w:val="2"/>
      </w:pP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中国重汽集团济南济南商用车有限公司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微机控制高低温电子万能试验机（1T）</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 xml:space="preserve">招标项目 </w:t>
      </w:r>
      <w:r>
        <w:rPr>
          <w:rFonts w:ascii="Calibri" w:hAnsi="Calibri" w:eastAsia="宋体" w:cs="Times New Roman"/>
          <w:b/>
          <w:bCs/>
          <w:color w:val="000000"/>
          <w:spacing w:val="-8"/>
          <w:sz w:val="48"/>
          <w:szCs w:val="44"/>
        </w:rPr>
        <w:t xml:space="preserve"> </w:t>
      </w: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r>
        <w:rPr>
          <w:rFonts w:hint="eastAsia" w:ascii="华文仿宋" w:hAnsi="华文仿宋" w:eastAsia="华文仿宋"/>
          <w:b/>
          <w:bCs/>
          <w:sz w:val="32"/>
          <w:szCs w:val="28"/>
          <w:lang w:val="en-US" w:eastAsia="zh-CN"/>
        </w:rPr>
        <w:t>陈景坤</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r>
        <w:rPr>
          <w:rFonts w:hint="eastAsia" w:ascii="华文仿宋" w:hAnsi="华文仿宋" w:eastAsia="华文仿宋"/>
          <w:b/>
          <w:bCs/>
          <w:sz w:val="32"/>
          <w:szCs w:val="28"/>
          <w:lang w:val="en-US" w:eastAsia="zh-CN"/>
        </w:rPr>
        <w:t>刘美丽</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r>
        <w:rPr>
          <w:rFonts w:hint="eastAsia" w:ascii="华文仿宋" w:hAnsi="华文仿宋" w:eastAsia="华文仿宋"/>
          <w:b/>
          <w:bCs/>
          <w:sz w:val="32"/>
          <w:szCs w:val="28"/>
          <w:lang w:val="en-US" w:eastAsia="zh-CN"/>
        </w:rPr>
        <w:t>王晓</w:t>
      </w:r>
      <w:r>
        <w:rPr>
          <w:rFonts w:hint="eastAsia" w:ascii="华文仿宋" w:hAnsi="华文仿宋" w:eastAsia="华文仿宋"/>
          <w:b/>
          <w:bCs/>
          <w:sz w:val="32"/>
          <w:szCs w:val="28"/>
        </w:rPr>
        <w:t xml:space="preserve">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5月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jc w:val="center"/>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rPr>
        <w:t xml:space="preserve">中国重汽集团济南商用车有限公司微机控制高低温电子万能试验机（1T）招标项目  </w:t>
      </w:r>
    </w:p>
    <w:p>
      <w:pPr>
        <w:spacing w:line="360" w:lineRule="auto"/>
        <w:outlineLvl w:val="3"/>
        <w:rPr>
          <w:rFonts w:ascii="宋体" w:hAnsi="宋体" w:eastAsia="宋体" w:cs="宋体"/>
          <w:color w:val="000000"/>
          <w:sz w:val="24"/>
          <w:szCs w:val="24"/>
          <w:highlight w:val="yellow"/>
          <w:u w:val="single"/>
        </w:rPr>
      </w:pPr>
      <w:r>
        <w:rPr>
          <w:rFonts w:hint="eastAsia" w:ascii="宋体" w:hAnsi="宋体" w:eastAsia="宋体" w:cs="宋体"/>
          <w:sz w:val="24"/>
          <w:szCs w:val="24"/>
        </w:rPr>
        <w:t>二、建设地点：</w:t>
      </w:r>
      <w:r>
        <w:rPr>
          <w:rFonts w:ascii="宋体" w:hAnsi="宋体" w:eastAsia="宋体" w:cs="宋体"/>
          <w:color w:val="000000"/>
          <w:sz w:val="24"/>
          <w:szCs w:val="24"/>
          <w:highlight w:val="yellow"/>
          <w:u w:val="single"/>
        </w:rPr>
        <w:t>山东省济南市章丘区重汽工业园一号门</w:t>
      </w:r>
    </w:p>
    <w:p>
      <w:pPr>
        <w:spacing w:line="360" w:lineRule="auto"/>
        <w:outlineLvl w:val="3"/>
        <w:rPr>
          <w:rFonts w:ascii="宋体" w:hAnsi="宋体" w:eastAsia="宋体" w:cs="宋体"/>
          <w:color w:val="000000"/>
          <w:sz w:val="24"/>
          <w:szCs w:val="24"/>
          <w:u w:val="single"/>
        </w:rPr>
      </w:pPr>
      <w:r>
        <w:rPr>
          <w:rFonts w:hint="eastAsia" w:ascii="宋体" w:hAnsi="宋体" w:eastAsia="宋体" w:cs="宋体"/>
          <w:sz w:val="24"/>
          <w:szCs w:val="24"/>
        </w:rPr>
        <w:t>三、使用地点：</w:t>
      </w:r>
      <w:r>
        <w:rPr>
          <w:rFonts w:ascii="宋体" w:hAnsi="宋体" w:eastAsia="宋体" w:cs="宋体"/>
          <w:color w:val="000000"/>
          <w:sz w:val="24"/>
          <w:szCs w:val="24"/>
          <w:highlight w:val="yellow"/>
          <w:u w:val="single"/>
        </w:rPr>
        <w:t>山东省济南市章丘区重汽工业园一号门</w:t>
      </w:r>
    </w:p>
    <w:p>
      <w:pPr>
        <w:spacing w:line="360" w:lineRule="auto"/>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200</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单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1200</w:t>
      </w:r>
      <w:r>
        <w:rPr>
          <w:rFonts w:hint="eastAsia" w:ascii="宋体" w:hAnsi="宋体" w:eastAsia="宋体" w:cs="宋体"/>
          <w:sz w:val="24"/>
          <w:szCs w:val="24"/>
        </w:rPr>
        <w:t>小时</w:t>
      </w:r>
    </w:p>
    <w:p>
      <w:pPr>
        <w:spacing w:line="360" w:lineRule="auto"/>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2.环境温度：极端最低温度</w:t>
      </w:r>
      <w:r>
        <w:rPr>
          <w:rFonts w:ascii="宋体" w:hAnsi="宋体" w:eastAsia="宋体" w:cs="宋体"/>
          <w:bCs/>
          <w:sz w:val="24"/>
          <w:szCs w:val="24"/>
        </w:rPr>
        <w:t>-</w:t>
      </w:r>
      <w:r>
        <w:rPr>
          <w:rFonts w:hint="eastAsia" w:ascii="宋体" w:hAnsi="宋体" w:eastAsia="宋体" w:cs="宋体"/>
          <w:bCs/>
          <w:sz w:val="24"/>
          <w:szCs w:val="24"/>
        </w:rPr>
        <w:t>20</w:t>
      </w:r>
      <w:r>
        <w:rPr>
          <w:rFonts w:ascii="宋体" w:hAnsi="宋体" w:eastAsia="宋体" w:cs="宋体"/>
          <w:bCs/>
          <w:sz w:val="24"/>
          <w:szCs w:val="24"/>
        </w:rPr>
        <w:t>℃、极端最高温度45℃。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1.电力：中国制式，供电电压380V±15%/220V±15%，50Hz±2%。</w:t>
      </w:r>
    </w:p>
    <w:p>
      <w:pPr>
        <w:keepNext/>
        <w:keepLines/>
        <w:spacing w:before="120" w:after="120" w:line="480" w:lineRule="exact"/>
        <w:ind w:firstLine="480" w:firstLineChars="200"/>
        <w:jc w:val="left"/>
        <w:outlineLvl w:val="1"/>
        <w:rPr>
          <w:rFonts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bCs/>
          <w:sz w:val="24"/>
          <w:szCs w:val="24"/>
        </w:rPr>
        <w:t>.</w:t>
      </w:r>
      <w:r>
        <w:rPr>
          <w:rFonts w:hint="eastAsia" w:ascii="宋体" w:hAnsi="宋体" w:eastAsia="宋体" w:cs="宋体"/>
          <w:bCs/>
          <w:sz w:val="24"/>
          <w:szCs w:val="24"/>
        </w:rPr>
        <w:t>给水：市政自来水。</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lang w:eastAsia="zh-CN"/>
        </w:rPr>
        <w:t>微机控制高低温电子万能试验机（1T）</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0" w:type="auto"/>
        <w:jc w:val="center"/>
        <w:tblLayout w:type="fixed"/>
        <w:tblCellMar>
          <w:top w:w="0" w:type="dxa"/>
          <w:left w:w="108" w:type="dxa"/>
          <w:bottom w:w="0" w:type="dxa"/>
          <w:right w:w="108" w:type="dxa"/>
        </w:tblCellMar>
      </w:tblPr>
      <w:tblGrid>
        <w:gridCol w:w="2136"/>
        <w:gridCol w:w="1896"/>
        <w:gridCol w:w="1492"/>
        <w:gridCol w:w="708"/>
        <w:gridCol w:w="3005"/>
      </w:tblGrid>
      <w:tr>
        <w:tblPrEx>
          <w:tblCellMar>
            <w:top w:w="0" w:type="dxa"/>
            <w:left w:w="108" w:type="dxa"/>
            <w:bottom w:w="0" w:type="dxa"/>
            <w:right w:w="108" w:type="dxa"/>
          </w:tblCellMar>
        </w:tblPrEx>
        <w:trPr>
          <w:trHeight w:val="600" w:hRule="atLeast"/>
          <w:jc w:val="center"/>
        </w:trPr>
        <w:tc>
          <w:tcPr>
            <w:tcW w:w="21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highlight w:val="yellow"/>
              </w:rPr>
            </w:pPr>
            <w:bookmarkStart w:id="34" w:name="_Hlk100582395"/>
            <w:r>
              <w:rPr>
                <w:rFonts w:hint="eastAsia" w:ascii="宋体" w:hAnsi="宋体" w:cs="宋体"/>
                <w:b/>
                <w:bCs/>
                <w:color w:val="000000"/>
                <w:kern w:val="0"/>
                <w:szCs w:val="21"/>
                <w:highlight w:val="yellow"/>
              </w:rPr>
              <w:t>检测仪器名称</w:t>
            </w:r>
          </w:p>
        </w:tc>
        <w:tc>
          <w:tcPr>
            <w:tcW w:w="189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highlight w:val="yellow"/>
              </w:rPr>
            </w:pPr>
            <w:r>
              <w:rPr>
                <w:rFonts w:hint="eastAsia" w:ascii="宋体" w:hAnsi="宋体" w:cs="宋体"/>
                <w:b/>
                <w:bCs/>
                <w:color w:val="000000"/>
                <w:kern w:val="0"/>
                <w:szCs w:val="21"/>
                <w:highlight w:val="yellow"/>
              </w:rPr>
              <w:t>推荐规格型号</w:t>
            </w:r>
          </w:p>
        </w:tc>
        <w:tc>
          <w:tcPr>
            <w:tcW w:w="14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highlight w:val="yellow"/>
              </w:rPr>
            </w:pPr>
            <w:r>
              <w:rPr>
                <w:rFonts w:hint="eastAsia" w:ascii="宋体" w:hAnsi="宋体" w:cs="宋体"/>
                <w:b/>
                <w:bCs/>
                <w:color w:val="000000"/>
                <w:kern w:val="0"/>
                <w:szCs w:val="21"/>
                <w:highlight w:val="yellow"/>
              </w:rPr>
              <w:t>推荐品牌</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highlight w:val="yellow"/>
              </w:rPr>
            </w:pPr>
            <w:r>
              <w:rPr>
                <w:rFonts w:hint="eastAsia" w:ascii="宋体" w:hAnsi="宋体" w:cs="宋体"/>
                <w:b/>
                <w:bCs/>
                <w:color w:val="000000"/>
                <w:kern w:val="0"/>
                <w:szCs w:val="21"/>
                <w:highlight w:val="yellow"/>
              </w:rPr>
              <w:t>数量</w:t>
            </w:r>
          </w:p>
        </w:tc>
        <w:tc>
          <w:tcPr>
            <w:tcW w:w="300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highlight w:val="yellow"/>
              </w:rPr>
            </w:pPr>
            <w:r>
              <w:rPr>
                <w:rFonts w:hint="eastAsia" w:ascii="宋体" w:hAnsi="宋体" w:cs="宋体"/>
                <w:b/>
                <w:bCs/>
                <w:color w:val="000000"/>
                <w:kern w:val="0"/>
                <w:szCs w:val="21"/>
                <w:highlight w:val="yellow"/>
              </w:rPr>
              <w:t>用途</w:t>
            </w:r>
          </w:p>
        </w:tc>
      </w:tr>
      <w:bookmarkEnd w:id="34"/>
      <w:tr>
        <w:tblPrEx>
          <w:tblCellMar>
            <w:top w:w="0" w:type="dxa"/>
            <w:left w:w="108" w:type="dxa"/>
            <w:bottom w:w="0" w:type="dxa"/>
            <w:right w:w="108" w:type="dxa"/>
          </w:tblCellMar>
        </w:tblPrEx>
        <w:trPr>
          <w:trHeight w:val="300" w:hRule="atLeast"/>
          <w:jc w:val="center"/>
        </w:trPr>
        <w:tc>
          <w:tcPr>
            <w:tcW w:w="213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highlight w:val="yellow"/>
              </w:rPr>
            </w:pPr>
            <w:bookmarkStart w:id="35" w:name="_Hlk123289171"/>
            <w:bookmarkStart w:id="36" w:name="_Hlk97644820"/>
            <w:r>
              <w:rPr>
                <w:rFonts w:hint="eastAsia" w:ascii="宋体" w:hAnsi="宋体" w:cs="宋体"/>
                <w:kern w:val="0"/>
                <w:szCs w:val="21"/>
                <w:highlight w:val="yellow"/>
              </w:rPr>
              <w:t>微机控制高低温电子万能试验机（1T）</w:t>
            </w:r>
          </w:p>
        </w:tc>
        <w:tc>
          <w:tcPr>
            <w:tcW w:w="189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highlight w:val="yellow"/>
              </w:rPr>
            </w:pPr>
            <w:r>
              <w:rPr>
                <w:rFonts w:hint="eastAsia" w:ascii="宋体" w:hAnsi="宋体" w:cs="宋体"/>
                <w:color w:val="000000"/>
                <w:kern w:val="0"/>
                <w:szCs w:val="21"/>
                <w:highlight w:val="yellow"/>
              </w:rPr>
              <w:t>/</w:t>
            </w:r>
          </w:p>
        </w:tc>
        <w:tc>
          <w:tcPr>
            <w:tcW w:w="1492" w:type="dxa"/>
            <w:tcBorders>
              <w:top w:val="nil"/>
              <w:left w:val="nil"/>
              <w:bottom w:val="single" w:color="auto" w:sz="4" w:space="0"/>
              <w:right w:val="single" w:color="auto" w:sz="4" w:space="0"/>
            </w:tcBorders>
            <w:vAlign w:val="center"/>
          </w:tcPr>
          <w:p>
            <w:pPr>
              <w:widowControl/>
              <w:jc w:val="center"/>
              <w:rPr>
                <w:rFonts w:hint="eastAsia" w:ascii="宋体" w:hAnsi="宋体" w:cs="宋体" w:eastAsiaTheme="minorEastAsia"/>
                <w:color w:val="000000"/>
                <w:kern w:val="0"/>
                <w:szCs w:val="21"/>
                <w:highlight w:val="yellow"/>
                <w:lang w:eastAsia="zh-CN"/>
              </w:rPr>
            </w:pPr>
            <w:r>
              <w:rPr>
                <w:rFonts w:hint="eastAsia" w:ascii="宋体" w:hAnsi="宋体" w:cs="宋体"/>
                <w:color w:val="000000"/>
                <w:kern w:val="0"/>
                <w:szCs w:val="21"/>
                <w:highlight w:val="yellow"/>
                <w:lang w:val="en-US" w:eastAsia="zh-CN"/>
              </w:rPr>
              <w:t>/</w:t>
            </w:r>
          </w:p>
        </w:tc>
        <w:tc>
          <w:tcPr>
            <w:tcW w:w="70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highlight w:val="yellow"/>
              </w:rPr>
            </w:pPr>
            <w:r>
              <w:rPr>
                <w:rFonts w:hint="eastAsia" w:ascii="宋体" w:hAnsi="宋体" w:cs="宋体"/>
                <w:color w:val="000000"/>
                <w:kern w:val="0"/>
                <w:szCs w:val="21"/>
                <w:highlight w:val="yellow"/>
              </w:rPr>
              <w:t>1套</w:t>
            </w:r>
          </w:p>
        </w:tc>
        <w:tc>
          <w:tcPr>
            <w:tcW w:w="3005"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kern w:val="0"/>
                <w:szCs w:val="21"/>
                <w:highlight w:val="yellow"/>
              </w:rPr>
              <w:t>用于橡塑类产品机械性能检验，粘合强度检验。</w:t>
            </w:r>
          </w:p>
        </w:tc>
      </w:tr>
      <w:bookmarkEnd w:id="35"/>
      <w:bookmarkEnd w:id="36"/>
    </w:tbl>
    <w:p>
      <w:pPr>
        <w:pStyle w:val="2"/>
        <w:rPr>
          <w:rFonts w:hint="eastAsia"/>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3"/>
        </w:numPr>
        <w:spacing w:line="360" w:lineRule="auto"/>
        <w:ind w:left="0" w:leftChars="0" w:firstLine="480" w:firstLineChars="200"/>
        <w:rPr>
          <w:rFonts w:hint="eastAsia"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pStyle w:val="2"/>
        <w:numPr>
          <w:ilvl w:val="0"/>
          <w:numId w:val="0"/>
        </w:numPr>
        <w:ind w:leftChars="200"/>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widowControl/>
        <w:spacing w:line="360" w:lineRule="auto"/>
        <w:ind w:firstLine="480" w:firstLineChars="200"/>
        <w:jc w:val="left"/>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br w:type="page"/>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pPr>
        <w:spacing w:after="120" w:line="420" w:lineRule="exact"/>
        <w:ind w:left="420" w:leftChars="200"/>
        <w:rPr>
          <w:rFonts w:ascii="宋体" w:hAnsi="Times New Roman"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、本章技术要求，仅对功能、设计、结构、性能、安装和试验检验等方面，提出了最低和一般性的技术要求，并未对一切技术细节做出规定。</w:t>
      </w:r>
    </w:p>
    <w:p>
      <w:pPr>
        <w:spacing w:after="120" w:line="420" w:lineRule="exact"/>
        <w:ind w:left="420" w:left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、本技术要求所使用的标准、规范等，如与投标方所执行的标准、规范不一致时，应按高于本技术要求所列的标准、规范执行。</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、投标方认为所供货物必需由招标方配备、解决或提供的其它要求，如设备基础隔振和减振设施、软化水、洁净气源等，均应在投标文件“技术偏离”中予以充分说明。</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、投标方应根据招投标货物具体要求，提出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after="120" w:line="420" w:lineRule="exact"/>
        <w:ind w:left="420" w:leftChars="200"/>
        <w:rPr>
          <w:rFonts w:ascii="宋体" w:hAnsi="Times New Roman"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、无论是否有技术偏离，投标方均应在投标文件“技术偏离”中明确做出有无说明。若有异议，不管是多么微小，投标方必须予以明确和详细的说明或澄清。</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、为避免投标方优势在招标评审时漏项，质保期超出本技术标书要求的，应当在投标文件“技术偏离”中特别注明。</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、投标文件中，针对“特别提示”条款所做的回应，将作为投标方能否中标的重要依据之一。</w:t>
      </w:r>
    </w:p>
    <w:p>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二、基本要求</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、投标方所供的货物，必须符合中国最新版的法律、法规和相关标准、规范的要求，符合项目所在地政府有关特殊要求。</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、投标方所供货物涉及的专利权技术以及知识产权保护的其它技术等，应保证招标方不因此受到任何侵权指控以及实际损失。</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、投标方应保证所供货物的先进性、可靠性、经济性和实用性，并为全新货物（或设备）。</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、投标方应满足招标方提出的各项技术要求，必要时应当免费提供技术承诺或担保。</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、投标方应保证所供货物的完整性和成套性，能保证货物的正常运行、使用。</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、投标方应对招标方采购的货物所涉及的技术、产能等信息负有保密义务，招标方拥有追究投标方泄密责任的权利；招标方如有需要，投标方应无条件签署保密协议。</w:t>
      </w:r>
    </w:p>
    <w:p>
      <w:pPr>
        <w:pStyle w:val="112"/>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1、设备用途：能够满足的非金属试验方法标准：GB/T 1040-2006、GB/T 1041-1992、GB/T</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lang w:eastAsia="zh-CN"/>
        </w:rPr>
        <w:t>1042-1992、GB/T 1040-2006，可求出最大力、抗拉强度、弹性模量、断裂延伸率、屈服强度等参数。根据GB 及ISO、JIS、ASTM、DIN 等国际标准进行试验和提供检测数据。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 、技术指标要求：</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2.1载荷能力：10000N；</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2.2载荷测量精度：示值的±0.5%以内；</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2.3精度保证范围：不低于5/1000～满量程；</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2.4横梁位移分辨率：0.00003mm；</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2.5横梁有效行程：≥1300mm；</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2.6试验力分辨力：分辨率2</w:t>
      </w:r>
      <w:r>
        <w:rPr>
          <w:rFonts w:hint="eastAsia" w:ascii="宋体" w:hAnsi="宋体" w:eastAsia="宋体" w:cs="Times New Roman"/>
          <w:sz w:val="24"/>
          <w:szCs w:val="24"/>
          <w:lang w:val="en-US" w:eastAsia="zh-CN"/>
        </w:rPr>
        <w:t xml:space="preserve">0 </w:t>
      </w:r>
      <w:r>
        <w:rPr>
          <w:rFonts w:hint="eastAsia" w:ascii="宋体" w:hAnsi="宋体" w:eastAsia="宋体" w:cs="Times New Roman"/>
          <w:sz w:val="24"/>
          <w:szCs w:val="24"/>
          <w:lang w:eastAsia="zh-CN"/>
        </w:rPr>
        <w:t>bit，最大试验力的1/±1000000（全程分辨力不变）；</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2.7变形分辨力：最大变形量的1/±1000000；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2.8原装进口控制器，采样频率≥2500 HZ,数据采集相对误差≤±0.1%；</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2.9闭环控制速率≥2500 HZ；采用以太网通讯连接PC</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 xml:space="preserve">2.10加载方式：伺服电机加载，无间隙球形丝杠高精度恒速加载，高刚性主机框架带有高精度导向光杆，达到满速满量程的试验要求；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2.11、软件:</w:t>
      </w:r>
      <w:r>
        <w:rPr>
          <w:rFonts w:hint="eastAsia" w:ascii="宋体" w:hAnsi="宋体" w:eastAsia="宋体" w:cs="Times New Roman"/>
          <w:sz w:val="24"/>
          <w:szCs w:val="24"/>
          <w:lang w:val="en-US" w:eastAsia="zh-CN"/>
        </w:rPr>
        <w:t>支持多</w:t>
      </w:r>
      <w:r>
        <w:rPr>
          <w:rFonts w:hint="eastAsia" w:ascii="宋体" w:hAnsi="宋体" w:eastAsia="宋体" w:cs="Times New Roman"/>
          <w:sz w:val="24"/>
          <w:szCs w:val="24"/>
          <w:lang w:eastAsia="zh-CN"/>
        </w:rPr>
        <w:t>种国家语言试验软件一套，在同一操作界面上可轻松切换，软件要求进口软件，采用图形拖拉来设计试验流程。</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2.12安全保护：过载，限位，过电压和其他保护。</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2.13 软件可根据试样材质灵活调整PID参数（提供PID调节的功能截图，验收时作实测验证）</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w:t>
      </w:r>
      <w:r>
        <w:rPr>
          <w:rFonts w:hint="eastAsia" w:ascii="宋体" w:hAnsi="宋体" w:eastAsia="宋体" w:cs="Times New Roman"/>
          <w:sz w:val="24"/>
          <w:szCs w:val="24"/>
          <w:lang w:val="en-US" w:eastAsia="zh-CN"/>
        </w:rPr>
        <w:t>14</w:t>
      </w:r>
      <w:r>
        <w:rPr>
          <w:rFonts w:hint="eastAsia" w:ascii="宋体" w:hAnsi="宋体" w:eastAsia="宋体" w:cs="Times New Roman"/>
          <w:sz w:val="24"/>
          <w:szCs w:val="24"/>
          <w:lang w:eastAsia="zh-CN"/>
        </w:rPr>
        <w:t>软件功能全部开放，兼容Python的程序语言，可对试验数据按照相关标准或自定义方法进行处理。</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w:t>
      </w:r>
      <w:r>
        <w:rPr>
          <w:rFonts w:hint="eastAsia" w:ascii="宋体" w:hAnsi="宋体" w:eastAsia="宋体" w:cs="Times New Roman"/>
          <w:sz w:val="24"/>
          <w:szCs w:val="24"/>
          <w:lang w:val="en-US" w:eastAsia="zh-CN"/>
        </w:rPr>
        <w:t>15支持</w:t>
      </w:r>
      <w:r>
        <w:rPr>
          <w:rFonts w:hint="eastAsia" w:ascii="宋体" w:hAnsi="宋体" w:eastAsia="宋体" w:cs="Times New Roman"/>
          <w:sz w:val="24"/>
          <w:szCs w:val="24"/>
          <w:lang w:eastAsia="zh-CN"/>
        </w:rPr>
        <w:t>方波，斜波，正弦波形，真实方波，真实斜波，真实正弦形动作。</w:t>
      </w:r>
    </w:p>
    <w:p>
      <w:pPr>
        <w:pStyle w:val="2"/>
        <w:ind w:firstLine="480" w:firstLineChars="200"/>
        <w:rPr>
          <w:rFonts w:ascii="宋体" w:hAnsi="宋体" w:eastAsia="宋体" w:cs="宋体"/>
          <w:sz w:val="24"/>
          <w:szCs w:val="24"/>
        </w:rPr>
      </w:pPr>
      <w:r>
        <w:rPr>
          <w:rFonts w:hint="eastAsia" w:hAnsi="宋体" w:eastAsia="宋体" w:cs="宋体"/>
          <w:sz w:val="24"/>
          <w:szCs w:val="24"/>
          <w:lang w:val="en-US" w:eastAsia="zh-CN"/>
        </w:rPr>
        <w:t>2.16</w:t>
      </w:r>
      <w:r>
        <w:rPr>
          <w:rFonts w:ascii="宋体" w:hAnsi="宋体" w:eastAsia="宋体" w:cs="宋体"/>
          <w:sz w:val="24"/>
          <w:szCs w:val="24"/>
        </w:rPr>
        <w:t>程序权限开放，甲方可以对程序进行修改。</w:t>
      </w:r>
    </w:p>
    <w:p>
      <w:pPr>
        <w:pStyle w:val="2"/>
        <w:ind w:firstLine="480" w:firstLineChars="200"/>
        <w:rPr>
          <w:rFonts w:ascii="宋体" w:hAnsi="宋体" w:eastAsia="宋体" w:cs="宋体"/>
          <w:sz w:val="24"/>
          <w:szCs w:val="24"/>
        </w:rPr>
      </w:pPr>
      <w:r>
        <w:rPr>
          <w:rFonts w:ascii="宋体" w:hAnsi="宋体" w:eastAsia="宋体" w:cs="宋体"/>
          <w:sz w:val="24"/>
          <w:szCs w:val="24"/>
        </w:rPr>
        <w:t>2</w:t>
      </w:r>
      <w:r>
        <w:rPr>
          <w:rFonts w:hint="eastAsia" w:hAnsi="宋体" w:eastAsia="宋体" w:cs="宋体"/>
          <w:sz w:val="24"/>
          <w:szCs w:val="24"/>
          <w:lang w:val="en-US" w:eastAsia="zh-CN"/>
        </w:rPr>
        <w:t>.17</w:t>
      </w:r>
      <w:r>
        <w:rPr>
          <w:rFonts w:ascii="宋体" w:hAnsi="宋体" w:eastAsia="宋体" w:cs="宋体"/>
          <w:sz w:val="24"/>
          <w:szCs w:val="24"/>
        </w:rPr>
        <w:t>乙方终生免费提供程序升级服务。</w:t>
      </w:r>
    </w:p>
    <w:p>
      <w:pPr>
        <w:pStyle w:val="2"/>
        <w:ind w:firstLine="480" w:firstLineChars="200"/>
        <w:rPr>
          <w:rFonts w:hint="eastAsia" w:ascii="宋体" w:hAnsi="宋体" w:eastAsia="宋体" w:cs="Times New Roman"/>
          <w:sz w:val="24"/>
          <w:szCs w:val="24"/>
          <w:lang w:eastAsia="zh-CN"/>
        </w:rPr>
      </w:pPr>
      <w:r>
        <w:rPr>
          <w:rFonts w:hint="eastAsia" w:hAnsi="宋体" w:eastAsia="宋体" w:cs="宋体"/>
          <w:sz w:val="24"/>
          <w:szCs w:val="24"/>
          <w:lang w:val="en-US" w:eastAsia="zh-CN"/>
        </w:rPr>
        <w:t>2.18</w:t>
      </w:r>
      <w:r>
        <w:rPr>
          <w:rFonts w:ascii="宋体" w:hAnsi="宋体" w:eastAsia="宋体" w:cs="宋体"/>
          <w:sz w:val="24"/>
          <w:szCs w:val="24"/>
        </w:rPr>
        <w:t>乙方免费提供</w:t>
      </w:r>
      <w:r>
        <w:rPr>
          <w:rFonts w:hint="eastAsia" w:hAnsi="宋体" w:eastAsia="宋体" w:cs="宋体"/>
          <w:sz w:val="24"/>
          <w:szCs w:val="24"/>
          <w:lang w:val="en-US" w:eastAsia="zh-CN"/>
        </w:rPr>
        <w:t>网络通讯接口</w:t>
      </w:r>
      <w:r>
        <w:rPr>
          <w:rFonts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3、主要配置：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*3.1试验机主机精度：试验精度0.5级,2</w:t>
      </w:r>
      <w:r>
        <w:rPr>
          <w:rFonts w:hint="eastAsia" w:ascii="宋体" w:hAnsi="宋体" w:eastAsia="宋体" w:cs="Times New Roman"/>
          <w:sz w:val="24"/>
          <w:szCs w:val="24"/>
          <w:lang w:val="en-US" w:eastAsia="zh-CN"/>
        </w:rPr>
        <w:t>0</w:t>
      </w:r>
      <w:r>
        <w:rPr>
          <w:rFonts w:hint="eastAsia" w:ascii="宋体" w:hAnsi="宋体" w:eastAsia="宋体" w:cs="Times New Roman"/>
          <w:sz w:val="24"/>
          <w:szCs w:val="24"/>
          <w:lang w:eastAsia="zh-CN"/>
        </w:rPr>
        <w:t>Bit分辨率的测量精度，工作台面铺有由聚亚安酯材料制作而成的保护橡胶垫；</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3.2 传感器配置要求：10000N传感器一套，带自动识别；当传感器与控制器相连后，系统可自动读出传感器的型号、量程、标定值、标定日期、力限位设置等 ,150%额定载荷。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*3.3原装闭环测量控制系统：</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要求具有自主知识产权，与主机同品牌,原装进口全数字控制器一套，集成于主机内部，系统内部供电，要求提供控制器原装进口报关证明或者原产地证明。数据处理系统技术指标:数据采集速率：≥2500Hz, 带宽≥100Hz；闭环控制速率：≥5000Hz, 带宽≥100Hz；光纤传输接口</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3.4附件应变通道：1个应变通道，通道2500Hz；</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3.5简单易用带滑轮的手持控制器：</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要求原装进口，可进行标准系统控制，能定义测试功能、如开始、停止、暂停、和横梁位置保持，手持控制器可显示测试状态、系统运行信息、和测试结果。简化操作人员的操作步骤，提高试验效率。</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3.6控制软件要求: 软件要求原装进口，支持</w:t>
      </w:r>
      <w:r>
        <w:rPr>
          <w:rFonts w:hint="eastAsia" w:ascii="宋体" w:hAnsi="宋体" w:eastAsia="宋体" w:cs="Times New Roman"/>
          <w:sz w:val="24"/>
          <w:szCs w:val="24"/>
          <w:lang w:val="en-US" w:eastAsia="zh-CN"/>
        </w:rPr>
        <w:t>中英文多国</w:t>
      </w:r>
      <w:r>
        <w:rPr>
          <w:rFonts w:hint="eastAsia" w:ascii="宋体" w:hAnsi="宋体" w:eastAsia="宋体" w:cs="Times New Roman"/>
          <w:sz w:val="24"/>
          <w:szCs w:val="24"/>
          <w:lang w:eastAsia="zh-CN"/>
        </w:rPr>
        <w:t>语言，内置ASTM, ISO, DIN, EN, BS，GB等有关标准，采用图形拖拉来设计试验流程，用户自己可以创建测试模板，数据采集。测试数据及结果应采用国际单位，并可与其他工程单位自动转化；试验数据存储、检索及统计分析功能，并可导出为word、html、excel等格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3.7夹具工装配置要求：</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3.7.1 高低温拉伸夹具1套：温度范围: -70-350℃,平钳口：0~6mm，6-12mm；V型钳口：Φ4~9mm；Φ9~14mm；</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3.7.2高低温压缩夹具1套：直径φ100 mm；温度范围: -70~350℃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3.7.3高低温弯曲夹具1套：压头半径: R5mm，支撑滚轴半径: R2mm，跨距: 80mm， 温度范围: -70~350℃。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3.7.4 压缩机高低温箱（外壳不锈钢材质）,温度范围</w:t>
      </w:r>
      <w:r>
        <w:rPr>
          <w:rFonts w:hint="eastAsia" w:ascii="宋体" w:hAnsi="宋体" w:eastAsia="宋体" w:cs="Times New Roman"/>
          <w:sz w:val="24"/>
          <w:szCs w:val="24"/>
          <w:lang w:eastAsia="zh-CN"/>
        </w:rPr>
        <w:tab/>
      </w:r>
      <w:r>
        <w:rPr>
          <w:rFonts w:hint="eastAsia" w:ascii="宋体" w:hAnsi="宋体" w:eastAsia="宋体" w:cs="Times New Roman"/>
          <w:sz w:val="24"/>
          <w:szCs w:val="24"/>
          <w:lang w:eastAsia="zh-CN"/>
        </w:rPr>
        <w:t>-70℃～+350℃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3.7.5高低温大变形测量装置，温度范围-70℃～+180℃</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3.7.6 大变形引伸计：大变形引伸计精度0.5%，标距: 10,15,20,25,50mm，变形量: 10-850mm；</w:t>
      </w:r>
    </w:p>
    <w:p>
      <w:pPr>
        <w:pStyle w:val="2"/>
        <w:rPr>
          <w:rFonts w:hint="eastAsia" w:hAnsi="宋体" w:eastAsia="宋体" w:cs="Times New Roman"/>
          <w:sz w:val="24"/>
          <w:szCs w:val="24"/>
          <w:lang w:val="en-US" w:eastAsia="zh-CN"/>
        </w:rPr>
      </w:pPr>
      <w:r>
        <w:rPr>
          <w:rFonts w:hint="eastAsia" w:hAnsi="宋体" w:eastAsia="宋体" w:cs="Times New Roman"/>
          <w:sz w:val="24"/>
          <w:szCs w:val="24"/>
          <w:lang w:val="en-US" w:eastAsia="zh-CN"/>
        </w:rPr>
        <w:t xml:space="preserve">    3.7.7 胶粘贴性能拉脱力夹具：钳口尺寸0-14mm；</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4 、配套电脑及打印机要求：</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i7-10700/B460/8GB/1T/DVD/集成显卡/集成网卡/WIN11 64位/USB键盘和鼠标/2个串口</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15L黑色机箱/液晶2</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eastAsia="zh-CN"/>
        </w:rPr>
        <w:t>寸宽屏(屏幕类型TN, 宽高比Wide(16:9)，HP-A4激光打印机一台。</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lang w:eastAsia="zh-CN"/>
        </w:rPr>
        <w:t>其他要求：</w:t>
      </w:r>
    </w:p>
    <w:p>
      <w:pPr>
        <w:pStyle w:val="2"/>
        <w:numPr>
          <w:ilvl w:val="0"/>
          <w:numId w:val="0"/>
        </w:numPr>
        <w:rPr>
          <w:rFonts w:hint="default"/>
          <w:lang w:val="en-US" w:eastAsia="zh-CN"/>
        </w:rPr>
      </w:pPr>
      <w:r>
        <w:rPr>
          <w:rFonts w:hint="eastAsia"/>
          <w:lang w:val="en-US" w:eastAsia="zh-CN"/>
        </w:rPr>
        <w:t xml:space="preserve">   </w:t>
      </w:r>
      <w:r>
        <w:rPr>
          <w:rFonts w:hint="eastAsia"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lang w:val="en-US" w:eastAsia="zh-CN" w:bidi="ar-SA"/>
        </w:rPr>
        <w:t>5.1控制器/软件与主机为同一品牌。</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所投品牌生产厂家通过ISO 9001质量管理体系认证，ISO 14001：2015环保体系认证， 职业健康安全管理体系认证，产品具有CE认证证书（证书彩色扫描件盖章）；</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eastAsia="zh-CN"/>
        </w:rPr>
        <w:t>生产厂家须通过ROHS体系认证，提供证书彩色扫描件盖章。</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lang w:eastAsia="zh-CN"/>
        </w:rPr>
        <w:t>投标书中相关技术指标的满足均需提供相应的支持性文件（正式的技术样本、试验报告、试验曲线或谱图等）。</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lang w:eastAsia="zh-CN"/>
        </w:rPr>
        <w:t>试验机完全符合最新的全球安全指令，包括：机械设备2006/42/EC，-低电压2006/95/EC，EMC指令20044/108/EC。</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lang w:eastAsia="zh-CN"/>
        </w:rPr>
        <w:t xml:space="preserve"> 传感器通过工业标准IEEE 1451.4工业标准的TEDS自识别功能；</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7</w:t>
      </w:r>
      <w:r>
        <w:rPr>
          <w:rFonts w:hint="eastAsia" w:ascii="宋体" w:hAnsi="宋体" w:eastAsia="宋体" w:cs="Times New Roman"/>
          <w:sz w:val="24"/>
          <w:szCs w:val="24"/>
          <w:lang w:eastAsia="zh-CN"/>
        </w:rPr>
        <w:t>售后服务：设备出现故障时，中标人在接到用户通知后24小时内响应，如有必要72小时内派出维修人员到达现场进行服务；保修期内，任何由制造商引起的质量问题，中标人负责免费维修；免费保修期后，中标人提供终身维修及技术服务，保证零配件的供应。</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eastAsia="zh-CN"/>
        </w:rPr>
        <w:t>5.</w:t>
      </w:r>
      <w:r>
        <w:rPr>
          <w:rFonts w:hint="eastAsia" w:ascii="宋体" w:hAnsi="宋体" w:eastAsia="宋体" w:cs="Times New Roman"/>
          <w:sz w:val="24"/>
          <w:szCs w:val="24"/>
          <w:lang w:val="en-US" w:eastAsia="zh-CN"/>
        </w:rPr>
        <w:t>8</w:t>
      </w:r>
      <w:r>
        <w:rPr>
          <w:rFonts w:hint="eastAsia" w:ascii="宋体" w:hAnsi="宋体" w:eastAsia="宋体" w:cs="Times New Roman"/>
          <w:sz w:val="24"/>
          <w:szCs w:val="24"/>
          <w:lang w:eastAsia="zh-CN"/>
        </w:rPr>
        <w:t>技术培训：设备安装时由中标人提供免费现场为期2～5天的培训，培训内容包括：仪器的技术原理、操作、数据处理、基本维护等。</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.配套附件：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rPr>
        <w:t>激光打点机：推荐型号QXZZ-2202 ,计算机 Win10操作系统；</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rPr>
        <w:t>电动冲片机：推荐型号JZ-6012，直角及哑铃状裁刀各1套。</w:t>
      </w:r>
    </w:p>
    <w:p>
      <w:pPr>
        <w:pStyle w:val="112"/>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、招标方此处所列标准仅为涉及的主要标准，而且不保证其为最新版执行标准；投标方应当在投标文件中认真予以填写、补充和修改完善。</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、投标方需要执行的标准，应当采用所供货物通过买方组织的最终验收之日已经开始执行的最新标准。</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、采购货物的产品质量、技术标准如在招投标文件中无相应说明，则按中华人民共和国有关部门颁发的最新的国标或专业（部）标准执行及相应的国际标准。</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、采购货物没有国家或专业（部）标准的，按企业标准执行时，卖方应在合同签署之前，将所涉及的企业标准提供给买方确认。</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、采购货物如果采用国际标准，其执行标准由投标方提供、招标方确认。</w:t>
      </w:r>
    </w:p>
    <w:p>
      <w:pPr>
        <w:spacing w:line="420" w:lineRule="exact"/>
        <w:ind w:firstLine="480" w:firstLineChars="200"/>
        <w:rPr>
          <w:rFonts w:ascii="宋体" w:hAnsi="Times New Roman"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、采购货物所涉及的标准不统一时，原则上按照最严格标准执行。</w:t>
      </w:r>
    </w:p>
    <w:p>
      <w:pPr>
        <w:spacing w:line="420" w:lineRule="exact"/>
        <w:ind w:firstLine="480" w:firstLineChars="200"/>
        <w:rPr>
          <w:rFonts w:ascii="宋体" w:hAnsi="Times New Roman" w:eastAsia="宋体" w:cs="Times New Roman"/>
          <w:szCs w:val="20"/>
        </w:rPr>
      </w:pPr>
      <w:r>
        <w:rPr>
          <w:rFonts w:ascii="宋体" w:hAnsi="宋体" w:eastAsia="宋体" w:cs="Times New Roman"/>
          <w:sz w:val="24"/>
          <w:szCs w:val="24"/>
        </w:rPr>
        <w:t>7</w:t>
      </w:r>
      <w:r>
        <w:rPr>
          <w:rFonts w:hint="eastAsia" w:ascii="宋体" w:hAnsi="宋体" w:eastAsia="宋体" w:cs="Times New Roman"/>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386"/>
        <w:gridCol w:w="184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10" w:type="dxa"/>
            <w:vAlign w:val="center"/>
          </w:tcPr>
          <w:p>
            <w:pPr>
              <w:jc w:val="center"/>
              <w:rPr>
                <w:rFonts w:ascii="宋体" w:hAnsi="Calibri" w:eastAsia="宋体" w:cs="Times New Roman"/>
                <w:szCs w:val="20"/>
                <w:highlight w:val="yellow"/>
              </w:rPr>
            </w:pPr>
            <w:r>
              <w:rPr>
                <w:rFonts w:hint="eastAsia" w:ascii="宋体" w:hAnsi="宋体" w:eastAsia="宋体" w:cs="Times New Roman"/>
                <w:szCs w:val="20"/>
                <w:highlight w:val="yellow"/>
              </w:rPr>
              <w:t>序号</w:t>
            </w:r>
          </w:p>
        </w:tc>
        <w:tc>
          <w:tcPr>
            <w:tcW w:w="5386" w:type="dxa"/>
            <w:vAlign w:val="center"/>
          </w:tcPr>
          <w:p>
            <w:pPr>
              <w:jc w:val="center"/>
              <w:rPr>
                <w:rFonts w:ascii="宋体" w:hAnsi="Calibri" w:eastAsia="宋体" w:cs="Times New Roman"/>
                <w:szCs w:val="20"/>
                <w:highlight w:val="yellow"/>
              </w:rPr>
            </w:pPr>
            <w:r>
              <w:rPr>
                <w:rFonts w:hint="eastAsia" w:ascii="宋体" w:hAnsi="宋体" w:eastAsia="宋体" w:cs="Times New Roman"/>
                <w:szCs w:val="20"/>
                <w:highlight w:val="yellow"/>
              </w:rPr>
              <w:t>标准名称</w:t>
            </w:r>
          </w:p>
        </w:tc>
        <w:tc>
          <w:tcPr>
            <w:tcW w:w="1843" w:type="dxa"/>
            <w:vAlign w:val="center"/>
          </w:tcPr>
          <w:p>
            <w:pPr>
              <w:jc w:val="center"/>
              <w:rPr>
                <w:rFonts w:ascii="宋体" w:hAnsi="Calibri" w:eastAsia="宋体" w:cs="Times New Roman"/>
                <w:szCs w:val="20"/>
                <w:highlight w:val="yellow"/>
              </w:rPr>
            </w:pPr>
            <w:r>
              <w:rPr>
                <w:rFonts w:hint="eastAsia" w:ascii="宋体" w:hAnsi="宋体" w:eastAsia="宋体" w:cs="Times New Roman"/>
                <w:szCs w:val="20"/>
                <w:highlight w:val="yellow"/>
              </w:rPr>
              <w:t>标准编号</w:t>
            </w:r>
          </w:p>
        </w:tc>
        <w:tc>
          <w:tcPr>
            <w:tcW w:w="1276" w:type="dxa"/>
            <w:vAlign w:val="center"/>
          </w:tcPr>
          <w:p>
            <w:pPr>
              <w:jc w:val="center"/>
              <w:rPr>
                <w:rFonts w:ascii="宋体" w:hAnsi="Calibri" w:eastAsia="宋体" w:cs="Times New Roman"/>
                <w:szCs w:val="20"/>
                <w:highlight w:val="yellow"/>
              </w:rPr>
            </w:pPr>
            <w:r>
              <w:rPr>
                <w:rFonts w:hint="eastAsia" w:ascii="宋体" w:hAnsi="宋体" w:eastAsia="宋体" w:cs="Times New Roman"/>
                <w:szCs w:val="20"/>
                <w:highlight w:val="yello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1</w:t>
            </w:r>
          </w:p>
        </w:tc>
        <w:tc>
          <w:tcPr>
            <w:tcW w:w="5386" w:type="dxa"/>
            <w:vAlign w:val="center"/>
          </w:tcPr>
          <w:p>
            <w:pPr>
              <w:rPr>
                <w:rFonts w:ascii="宋体"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2</w:t>
            </w:r>
          </w:p>
        </w:tc>
        <w:tc>
          <w:tcPr>
            <w:tcW w:w="5386" w:type="dxa"/>
            <w:vAlign w:val="center"/>
          </w:tcPr>
          <w:p>
            <w:pPr>
              <w:pStyle w:val="2"/>
              <w:rPr>
                <w:rFonts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3</w:t>
            </w:r>
          </w:p>
        </w:tc>
        <w:tc>
          <w:tcPr>
            <w:tcW w:w="5386" w:type="dxa"/>
            <w:vAlign w:val="center"/>
          </w:tcPr>
          <w:p>
            <w:pPr>
              <w:pStyle w:val="2"/>
              <w:rPr>
                <w:rFonts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4</w:t>
            </w:r>
          </w:p>
        </w:tc>
        <w:tc>
          <w:tcPr>
            <w:tcW w:w="5386" w:type="dxa"/>
            <w:vAlign w:val="center"/>
          </w:tcPr>
          <w:p>
            <w:pPr>
              <w:rPr>
                <w:rFonts w:ascii="宋体"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5</w:t>
            </w:r>
          </w:p>
        </w:tc>
        <w:tc>
          <w:tcPr>
            <w:tcW w:w="5386" w:type="dxa"/>
            <w:vAlign w:val="center"/>
          </w:tcPr>
          <w:p>
            <w:pPr>
              <w:pStyle w:val="2"/>
              <w:rPr>
                <w:rFonts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6</w:t>
            </w:r>
          </w:p>
        </w:tc>
        <w:tc>
          <w:tcPr>
            <w:tcW w:w="5386" w:type="dxa"/>
            <w:vAlign w:val="center"/>
          </w:tcPr>
          <w:p>
            <w:pPr>
              <w:pStyle w:val="2"/>
              <w:rPr>
                <w:rFonts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highlight w:val="yellow"/>
              </w:rPr>
            </w:pPr>
            <w:r>
              <w:rPr>
                <w:rFonts w:hint="eastAsia" w:ascii="宋体" w:hAnsi="宋体" w:eastAsia="宋体" w:cs="Times New Roman"/>
                <w:szCs w:val="20"/>
                <w:highlight w:val="yellow"/>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0" w:type="dxa"/>
            <w:vAlign w:val="center"/>
          </w:tcPr>
          <w:p>
            <w:pPr>
              <w:jc w:val="center"/>
              <w:rPr>
                <w:rFonts w:ascii="宋体" w:hAnsi="宋体" w:eastAsia="宋体" w:cs="Times New Roman"/>
                <w:szCs w:val="20"/>
                <w:highlight w:val="yellow"/>
              </w:rPr>
            </w:pPr>
            <w:r>
              <w:rPr>
                <w:rFonts w:hint="eastAsia" w:ascii="宋体" w:hAnsi="宋体" w:eastAsia="宋体" w:cs="Times New Roman"/>
                <w:szCs w:val="20"/>
                <w:highlight w:val="yellow"/>
              </w:rPr>
              <w:t>7</w:t>
            </w:r>
          </w:p>
        </w:tc>
        <w:tc>
          <w:tcPr>
            <w:tcW w:w="5386" w:type="dxa"/>
            <w:vAlign w:val="center"/>
          </w:tcPr>
          <w:p>
            <w:pPr>
              <w:pStyle w:val="2"/>
              <w:rPr>
                <w:rFonts w:hAnsi="宋体" w:eastAsia="宋体" w:cs="Times New Roman"/>
                <w:szCs w:val="20"/>
                <w:highlight w:val="yellow"/>
              </w:rPr>
            </w:pPr>
          </w:p>
        </w:tc>
        <w:tc>
          <w:tcPr>
            <w:tcW w:w="1843" w:type="dxa"/>
            <w:vAlign w:val="center"/>
          </w:tcPr>
          <w:p>
            <w:pPr>
              <w:rPr>
                <w:rFonts w:ascii="宋体" w:hAnsi="宋体" w:eastAsia="宋体" w:cs="Times New Roman"/>
                <w:szCs w:val="20"/>
                <w:highlight w:val="yellow"/>
              </w:rPr>
            </w:pPr>
          </w:p>
        </w:tc>
        <w:tc>
          <w:tcPr>
            <w:tcW w:w="1276" w:type="dxa"/>
            <w:vAlign w:val="center"/>
          </w:tcPr>
          <w:p>
            <w:pPr>
              <w:rPr>
                <w:rFonts w:ascii="宋体" w:hAnsi="宋体" w:eastAsia="宋体" w:cs="Times New Roman"/>
                <w:szCs w:val="20"/>
              </w:rPr>
            </w:pPr>
            <w:r>
              <w:rPr>
                <w:rFonts w:hint="eastAsia" w:ascii="宋体" w:hAnsi="宋体" w:eastAsia="宋体" w:cs="Times New Roman"/>
                <w:szCs w:val="20"/>
                <w:highlight w:val="yellow"/>
              </w:rPr>
              <w:t>买方确认</w:t>
            </w:r>
          </w:p>
        </w:tc>
      </w:tr>
    </w:tbl>
    <w:p>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pPr>
        <w:keepNext/>
        <w:keepLines/>
        <w:ind w:firstLine="3092" w:firstLineChars="1100"/>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450"/>
        <w:gridCol w:w="1011"/>
        <w:gridCol w:w="954"/>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rPr>
              <w:t>序 号</w:t>
            </w:r>
          </w:p>
        </w:tc>
        <w:tc>
          <w:tcPr>
            <w:tcW w:w="3450"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rPr>
              <w:t>名  称</w:t>
            </w:r>
          </w:p>
        </w:tc>
        <w:tc>
          <w:tcPr>
            <w:tcW w:w="1011"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rPr>
              <w:t>单 位</w:t>
            </w:r>
          </w:p>
        </w:tc>
        <w:tc>
          <w:tcPr>
            <w:tcW w:w="954"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rPr>
              <w:t>数 量</w:t>
            </w:r>
          </w:p>
        </w:tc>
        <w:tc>
          <w:tcPr>
            <w:tcW w:w="2687"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spacing w:line="360" w:lineRule="auto"/>
              <w:jc w:val="center"/>
              <w:textAlignment w:val="center"/>
              <w:rPr>
                <w:rFonts w:ascii="宋体" w:hAnsi="宋体" w:eastAsia="宋体" w:cs="宋体"/>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2</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3</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4</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5</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6</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7</w:t>
            </w:r>
          </w:p>
        </w:tc>
        <w:tc>
          <w:tcPr>
            <w:tcW w:w="3450" w:type="dxa"/>
            <w:vAlign w:val="center"/>
          </w:tcPr>
          <w:p>
            <w:pPr>
              <w:pStyle w:val="114"/>
              <w:jc w:val="both"/>
              <w:rPr>
                <w:rFonts w:ascii="宋体" w:hAnsi="宋体" w:cstheme="minorBidi"/>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cstheme="minorBidi"/>
                <w:b w:val="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8</w:t>
            </w:r>
          </w:p>
        </w:tc>
        <w:tc>
          <w:tcPr>
            <w:tcW w:w="3450" w:type="dxa"/>
            <w:vAlign w:val="center"/>
          </w:tcPr>
          <w:p>
            <w:pPr>
              <w:pStyle w:val="124"/>
              <w:spacing w:before="78" w:after="78"/>
              <w:rPr>
                <w:rFonts w:ascii="宋体" w:hAnsi="宋体" w:eastAsia="宋体"/>
                <w:szCs w:val="21"/>
                <w:highlight w:val="yellow"/>
              </w:rPr>
            </w:pPr>
          </w:p>
        </w:tc>
        <w:tc>
          <w:tcPr>
            <w:tcW w:w="1011" w:type="dxa"/>
            <w:vAlign w:val="center"/>
          </w:tcPr>
          <w:p>
            <w:pPr>
              <w:spacing w:line="360" w:lineRule="auto"/>
              <w:jc w:val="center"/>
              <w:textAlignment w:val="center"/>
              <w:rPr>
                <w:rFonts w:ascii="宋体" w:hAnsi="宋体" w:eastAsia="宋体" w:cs="宋体"/>
                <w:sz w:val="24"/>
                <w:szCs w:val="24"/>
                <w:highlight w:val="yellow"/>
              </w:rPr>
            </w:pPr>
          </w:p>
        </w:tc>
        <w:tc>
          <w:tcPr>
            <w:tcW w:w="954" w:type="dxa"/>
            <w:vAlign w:val="center"/>
          </w:tcPr>
          <w:p>
            <w:pPr>
              <w:spacing w:line="360" w:lineRule="auto"/>
              <w:jc w:val="center"/>
              <w:textAlignment w:val="center"/>
              <w:rPr>
                <w:rFonts w:ascii="宋体" w:hAnsi="宋体" w:eastAsia="宋体" w:cs="宋体"/>
                <w:sz w:val="24"/>
                <w:szCs w:val="24"/>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9</w:t>
            </w:r>
          </w:p>
        </w:tc>
        <w:tc>
          <w:tcPr>
            <w:tcW w:w="3450" w:type="dxa"/>
            <w:vAlign w:val="center"/>
          </w:tcPr>
          <w:p>
            <w:pPr>
              <w:pStyle w:val="114"/>
              <w:jc w:val="both"/>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vAlign w:val="center"/>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10</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11</w:t>
            </w:r>
          </w:p>
        </w:tc>
        <w:tc>
          <w:tcPr>
            <w:tcW w:w="3450" w:type="dxa"/>
            <w:vAlign w:val="center"/>
          </w:tcPr>
          <w:p>
            <w:pPr>
              <w:pStyle w:val="114"/>
              <w:jc w:val="both"/>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12</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13</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14</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color w:val="00000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15</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szCs w:val="21"/>
                <w:highlight w:val="yellow"/>
              </w:rPr>
            </w:pPr>
          </w:p>
        </w:tc>
        <w:tc>
          <w:tcPr>
            <w:tcW w:w="2687" w:type="dxa"/>
            <w:vAlign w:val="center"/>
          </w:tcPr>
          <w:p>
            <w:pPr>
              <w:spacing w:line="360" w:lineRule="auto"/>
              <w:textAlignment w:val="center"/>
              <w:rPr>
                <w:rFonts w:ascii="宋体" w:hAnsi="宋体" w:eastAsia="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16</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szCs w:val="21"/>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17</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szCs w:val="21"/>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bCs/>
                <w:szCs w:val="21"/>
                <w:highlight w:val="yellow"/>
              </w:rPr>
            </w:pPr>
            <w:r>
              <w:rPr>
                <w:rFonts w:hint="eastAsia" w:ascii="宋体" w:hAnsi="宋体" w:eastAsia="宋体"/>
                <w:bCs/>
                <w:szCs w:val="21"/>
                <w:highlight w:val="yellow"/>
              </w:rPr>
              <w:t>18</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szCs w:val="21"/>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szCs w:val="21"/>
                <w:highlight w:val="yellow"/>
              </w:rPr>
            </w:pPr>
            <w:r>
              <w:rPr>
                <w:rFonts w:hint="eastAsia" w:ascii="宋体" w:hAnsi="宋体" w:eastAsia="宋体"/>
                <w:szCs w:val="21"/>
                <w:highlight w:val="yellow"/>
              </w:rPr>
              <w:t>19</w:t>
            </w:r>
          </w:p>
        </w:tc>
        <w:tc>
          <w:tcPr>
            <w:tcW w:w="3450" w:type="dxa"/>
          </w:tcPr>
          <w:p>
            <w:pPr>
              <w:pStyle w:val="114"/>
              <w:jc w:val="left"/>
              <w:rPr>
                <w:rFonts w:ascii="宋体" w:hAnsi="宋体"/>
                <w:b w:val="0"/>
                <w:szCs w:val="21"/>
                <w:highlight w:val="yellow"/>
              </w:rPr>
            </w:pPr>
          </w:p>
        </w:tc>
        <w:tc>
          <w:tcPr>
            <w:tcW w:w="1011" w:type="dxa"/>
            <w:vAlign w:val="center"/>
          </w:tcPr>
          <w:p>
            <w:pPr>
              <w:spacing w:line="360" w:lineRule="auto"/>
              <w:jc w:val="center"/>
              <w:textAlignment w:val="center"/>
              <w:rPr>
                <w:rFonts w:ascii="宋体" w:hAnsi="宋体" w:eastAsia="宋体" w:cs="宋体"/>
                <w:szCs w:val="21"/>
                <w:highlight w:val="yellow"/>
              </w:rPr>
            </w:pPr>
          </w:p>
        </w:tc>
        <w:tc>
          <w:tcPr>
            <w:tcW w:w="954" w:type="dxa"/>
          </w:tcPr>
          <w:p>
            <w:pPr>
              <w:pStyle w:val="114"/>
              <w:rPr>
                <w:rFonts w:ascii="宋体" w:hAnsi="宋体"/>
                <w:b w:val="0"/>
                <w:szCs w:val="21"/>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vAlign w:val="center"/>
          </w:tcPr>
          <w:p>
            <w:pPr>
              <w:pStyle w:val="124"/>
              <w:spacing w:before="78" w:after="78"/>
              <w:jc w:val="center"/>
              <w:rPr>
                <w:rFonts w:ascii="宋体" w:hAnsi="宋体" w:eastAsia="宋体" w:cs="Times New Roman"/>
                <w:szCs w:val="21"/>
                <w:highlight w:val="yellow"/>
              </w:rPr>
            </w:pPr>
            <w:r>
              <w:rPr>
                <w:rFonts w:hint="eastAsia" w:ascii="宋体" w:hAnsi="宋体" w:eastAsia="宋体" w:cs="Times New Roman"/>
                <w:szCs w:val="21"/>
                <w:highlight w:val="yellow"/>
              </w:rPr>
              <w:t>23</w:t>
            </w:r>
          </w:p>
        </w:tc>
        <w:tc>
          <w:tcPr>
            <w:tcW w:w="3450" w:type="dxa"/>
            <w:vAlign w:val="center"/>
          </w:tcPr>
          <w:p>
            <w:pPr>
              <w:pStyle w:val="124"/>
              <w:spacing w:before="78" w:after="78"/>
              <w:rPr>
                <w:rFonts w:ascii="宋体" w:hAnsi="宋体" w:eastAsia="宋体" w:cs="Times New Roman"/>
                <w:szCs w:val="21"/>
                <w:highlight w:val="yellow"/>
              </w:rPr>
            </w:pPr>
          </w:p>
        </w:tc>
        <w:tc>
          <w:tcPr>
            <w:tcW w:w="1011" w:type="dxa"/>
            <w:vAlign w:val="center"/>
          </w:tcPr>
          <w:p>
            <w:pPr>
              <w:spacing w:line="360" w:lineRule="auto"/>
              <w:jc w:val="center"/>
              <w:textAlignment w:val="center"/>
              <w:rPr>
                <w:rFonts w:ascii="宋体" w:hAnsi="宋体" w:eastAsia="宋体" w:cs="Times New Roman"/>
                <w:szCs w:val="21"/>
                <w:highlight w:val="yellow"/>
              </w:rPr>
            </w:pPr>
          </w:p>
        </w:tc>
        <w:tc>
          <w:tcPr>
            <w:tcW w:w="954" w:type="dxa"/>
            <w:vAlign w:val="center"/>
          </w:tcPr>
          <w:p>
            <w:pPr>
              <w:spacing w:line="360" w:lineRule="auto"/>
              <w:jc w:val="center"/>
              <w:textAlignment w:val="center"/>
              <w:rPr>
                <w:rFonts w:ascii="宋体" w:hAnsi="宋体" w:eastAsia="宋体" w:cs="Times New Roman"/>
                <w:szCs w:val="21"/>
                <w:highlight w:val="yellow"/>
              </w:rPr>
            </w:pPr>
          </w:p>
        </w:tc>
        <w:tc>
          <w:tcPr>
            <w:tcW w:w="2687" w:type="dxa"/>
            <w:vAlign w:val="center"/>
          </w:tcPr>
          <w:p>
            <w:pPr>
              <w:spacing w:line="360" w:lineRule="auto"/>
              <w:textAlignment w:val="center"/>
              <w:rPr>
                <w:rFonts w:ascii="宋体" w:hAnsi="宋体" w:eastAsia="宋体" w:cs="宋体"/>
                <w:sz w:val="24"/>
                <w:szCs w:val="24"/>
                <w:highlight w:val="yellow"/>
              </w:rPr>
            </w:pPr>
          </w:p>
        </w:tc>
      </w:tr>
    </w:tbl>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1、包括本技术标书所列明的主要货物以及货物正常运行所必需的全套连线设备、材料等。如货物端联接法兰外端面之内的、电气系统接口压线板（插座等）之内的设备、材料、联接螺栓、垫片等。</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2、包括为保证货物正常安装、调试和验收完成及以前所必需的整套配件、附件及材料、油料、控制软件及程序或指令等。</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如果终验收完成后，卖方有需要收回的配件、附件、材料、油料等，应当在投标文件的技术偏离条款中，予以详细说明；否则视同包括在供货范围之内。</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3、包括货物维护维修所必需的专用工具。</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包括为保证货物自身正常运行所必需的、满足使用地点环境条件的通风、冷却、降温等必需设施。</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如投标方难以提供或无优势提供以及属于选用配置的，则应当在投标文件的技术偏离条款中，予以详细说明并注明投标报价未包含该部分的货值。</w:t>
      </w:r>
    </w:p>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1、质保期之内正常需要的备品备件、易损件和专用耗材全部包括在供货范围之内而不属于本条款界定的范围（应有明细）。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2、供货范围包括易损件和专用耗材的制造图纸及其技术要求等资料，如涉及专有技术或无法提供，应在投标文件中予以澄清或说明。</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highlight w:val="yellow"/>
        </w:rPr>
        <w:t>在合同签订后 6</w:t>
      </w:r>
      <w:r>
        <w:rPr>
          <w:rFonts w:ascii="Times New Roman" w:hAnsi="Times New Roman" w:eastAsia="宋体" w:cs="Times New Roman"/>
          <w:color w:val="000000"/>
          <w:sz w:val="24"/>
          <w:szCs w:val="20"/>
          <w:highlight w:val="yellow"/>
        </w:rPr>
        <w:t>0</w:t>
      </w:r>
      <w:r>
        <w:rPr>
          <w:rFonts w:hint="eastAsia" w:ascii="Times New Roman" w:hAnsi="Times New Roman" w:eastAsia="宋体" w:cs="Times New Roman"/>
          <w:color w:val="000000"/>
          <w:sz w:val="24"/>
          <w:szCs w:val="20"/>
          <w:highlight w:val="yellow"/>
        </w:rPr>
        <w:t>个日历日内</w:t>
      </w:r>
      <w:r>
        <w:rPr>
          <w:rFonts w:hint="eastAsia" w:ascii="Times New Roman" w:hAnsi="Times New Roman" w:eastAsia="宋体" w:cs="Times New Roman"/>
          <w:color w:val="000000"/>
          <w:sz w:val="24"/>
          <w:szCs w:val="20"/>
        </w:rPr>
        <w:t>，提供货物基础及相关的设计、制作所需的纸质及电子版资料；电子版文件应当能够使用常用版本软件可以阅读甚至使用，进口货物、设备应有中外文对照。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5、在终验收后的第一笔货款支付日之前，提供包括货物的备品备件、易损件和专用耗材的图纸及技术参数、技术要求等资料。</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8、本条款所列的技术资料、图片、影像等，投标方应各提供5套，其中2套为电子版光盘；每份技术文件应装有目录清单。</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ascii="宋体" w:hAnsi="宋体" w:eastAsia="宋体" w:cs="宋体"/>
          <w:sz w:val="24"/>
          <w:szCs w:val="24"/>
          <w:highlight w:val="yellow"/>
          <w:u w:val="single"/>
        </w:rPr>
        <w:t>山东省济南市章丘区重汽工业园一号门</w:t>
      </w:r>
    </w:p>
    <w:p>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1</w:t>
      </w:r>
      <w:r>
        <w:rPr>
          <w:rFonts w:hint="eastAsia" w:ascii="宋体" w:hAnsi="宋体" w:eastAsia="宋体" w:cs="宋体"/>
          <w:sz w:val="24"/>
          <w:szCs w:val="24"/>
          <w:u w:val="single"/>
        </w:rPr>
        <w:t>35</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7</w:t>
      </w:r>
      <w:r>
        <w:rPr>
          <w:rFonts w:hint="eastAsia" w:ascii="宋体" w:hAnsi="宋体" w:eastAsia="宋体" w:cs="宋体"/>
          <w:sz w:val="24"/>
          <w:szCs w:val="24"/>
        </w:rPr>
        <w:t>个日历日之内安装调试完毕，并投入使用。</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30</w:t>
      </w:r>
      <w:r>
        <w:rPr>
          <w:rFonts w:hint="eastAsia" w:ascii="宋体" w:hAnsi="宋体" w:eastAsia="宋体" w:cs="宋体"/>
          <w:sz w:val="24"/>
          <w:szCs w:val="24"/>
        </w:rPr>
        <w:t>个日历日之内完成终验收。</w:t>
      </w:r>
    </w:p>
    <w:p>
      <w:pPr>
        <w:spacing w:line="360" w:lineRule="auto"/>
        <w:ind w:firstLine="480" w:firstLineChars="200"/>
        <w:outlineLvl w:val="3"/>
        <w:rPr>
          <w:rFonts w:ascii="Times New Roman" w:hAnsi="Times New Roman" w:eastAsia="黑体" w:cs="Times New Roman"/>
          <w:color w:val="000000"/>
          <w:sz w:val="24"/>
          <w:szCs w:val="20"/>
        </w:rPr>
      </w:pPr>
      <w:r>
        <w:rPr>
          <w:rFonts w:hint="eastAsia" w:hAnsi="宋体" w:eastAsia="宋体" w:cs="宋体"/>
          <w:color w:val="000000"/>
          <w:sz w:val="24"/>
          <w:szCs w:val="24"/>
        </w:rPr>
        <w:t>安装调试工期超过</w:t>
      </w:r>
      <w:r>
        <w:rPr>
          <w:rFonts w:hint="eastAsia" w:ascii="宋体" w:hAnsi="宋体" w:eastAsia="宋体" w:cs="宋体"/>
          <w:sz w:val="24"/>
          <w:szCs w:val="24"/>
          <w:highlight w:val="yellow"/>
          <w:u w:val="single"/>
        </w:rPr>
        <w:t>7个日历日</w:t>
      </w:r>
      <w:r>
        <w:rPr>
          <w:rFonts w:hint="eastAsia" w:hAnsi="宋体" w:eastAsia="宋体" w:cs="宋体"/>
          <w:color w:val="000000"/>
          <w:sz w:val="24"/>
          <w:szCs w:val="24"/>
        </w:rPr>
        <w:t>的，投标人应当随标书提供详细的工期计划。</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ascii="Times New Roman" w:hAnsi="Times New Roman" w:eastAsia="宋体" w:cs="Times New Roman"/>
          <w:b/>
          <w:bCs/>
          <w:color w:val="000000"/>
          <w:sz w:val="24"/>
          <w:szCs w:val="20"/>
          <w:u w:val="single"/>
        </w:rPr>
        <w:t>12</w:t>
      </w:r>
      <w:r>
        <w:rPr>
          <w:rFonts w:ascii="Times New Roman" w:hAnsi="Times New Roman" w:eastAsia="宋体" w:cs="Times New Roman"/>
          <w:b/>
          <w:bCs/>
          <w:color w:val="000000"/>
          <w:sz w:val="24"/>
          <w:szCs w:val="20"/>
        </w:rPr>
        <w:t>个月。</w:t>
      </w:r>
    </w:p>
    <w:p>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、应负责在买方货物使用现场，对技术、维修和操作人员提供免费的理论、技术和操作、维修等方面的技术指导和培训，并接受买方有关人员的技术咨询。培训工作日不少于2个日历日。</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2、如发现所提供的货物存在问题，需要卖方解决或配合解决时：在质保期之内，应在接到通知后</w:t>
      </w:r>
      <w:r>
        <w:rPr>
          <w:rFonts w:ascii="Times New Roman" w:hAnsi="Times New Roman" w:eastAsia="宋体" w:cs="Times New Roman"/>
          <w:color w:val="000000"/>
          <w:sz w:val="24"/>
          <w:szCs w:val="20"/>
          <w:u w:val="single"/>
          <w:shd w:val="pct10" w:color="auto" w:fill="FFFFFF"/>
        </w:rPr>
        <w:t xml:space="preserve">  24   </w:t>
      </w:r>
      <w:r>
        <w:rPr>
          <w:rFonts w:ascii="Times New Roman" w:hAnsi="Times New Roman" w:eastAsia="宋体" w:cs="Times New Roman"/>
          <w:color w:val="000000"/>
          <w:sz w:val="24"/>
          <w:szCs w:val="20"/>
        </w:rPr>
        <w:t>小时内派有关人员到达现场；在质保期之外，应在接到通知后</w:t>
      </w:r>
      <w:r>
        <w:rPr>
          <w:rFonts w:ascii="Times New Roman" w:hAnsi="Times New Roman" w:eastAsia="宋体" w:cs="Times New Roman"/>
          <w:color w:val="000000"/>
          <w:sz w:val="24"/>
          <w:szCs w:val="20"/>
          <w:u w:val="single"/>
          <w:shd w:val="pct10" w:color="auto" w:fill="FFFFFF"/>
        </w:rPr>
        <w:t xml:space="preserve">  72   </w:t>
      </w:r>
      <w:r>
        <w:rPr>
          <w:rFonts w:ascii="Times New Roman" w:hAnsi="Times New Roman" w:eastAsia="宋体" w:cs="Times New Roman"/>
          <w:color w:val="000000"/>
          <w:sz w:val="24"/>
          <w:szCs w:val="20"/>
        </w:rPr>
        <w:t>小时内派有关人员到达现场。</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五</w:t>
      </w:r>
      <w:r>
        <w:rPr>
          <w:rFonts w:ascii="宋体" w:hAnsi="宋体" w:eastAsia="宋体"/>
          <w:b/>
          <w:color w:val="000000"/>
          <w:kern w:val="44"/>
          <w:sz w:val="30"/>
          <w:szCs w:val="24"/>
        </w:rPr>
        <w:t>章  预验收和终验收</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一、验收依据和验收标准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二、检验</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1、国产货物的检验一般由买卖双方共同进行或按照合同要求进行。</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2、进口货物的检验，卖方需要按照下述要求进行：</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2.2  应依据合同规定的要求，提供买卖双方达成一致的货物的验收标准和装箱单，作为买方检验的依据。</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三、验收基本条件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1、预验收一般条件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rPr>
        <w:t>（提供合格证或第三方鉴定文件）</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eastAsia" w:ascii="宋体" w:hAnsi="宋体" w:eastAsia="宋体"/>
          <w:sz w:val="24"/>
          <w:szCs w:val="24"/>
          <w:highlight w:val="yellow"/>
          <w:lang w:eastAsia="zh-CN"/>
        </w:rPr>
      </w:pPr>
      <w:r>
        <w:rPr>
          <w:rFonts w:hint="eastAsia" w:ascii="宋体" w:hAnsi="宋体" w:eastAsia="宋体" w:cs="宋体"/>
          <w:color w:val="000000"/>
          <w:sz w:val="24"/>
          <w:szCs w:val="24"/>
          <w:highlight w:val="yellow"/>
        </w:rPr>
        <w:t xml:space="preserve">3.1 </w:t>
      </w:r>
      <w:r>
        <w:rPr>
          <w:rFonts w:hint="eastAsia" w:ascii="宋体" w:hAnsi="宋体" w:eastAsia="宋体"/>
          <w:sz w:val="24"/>
          <w:szCs w:val="24"/>
          <w:highlight w:val="yellow"/>
        </w:rPr>
        <w:t>运行设备检查</w:t>
      </w:r>
      <w:r>
        <w:rPr>
          <w:rFonts w:hint="eastAsia" w:hAnsi="宋体" w:eastAsia="宋体"/>
          <w:sz w:val="24"/>
          <w:szCs w:val="24"/>
          <w:highlight w:val="yellow"/>
        </w:rPr>
        <w:t>测试软件与硬件兼容性；按照规定的技术标准进行测试方法编制、试验测试</w:t>
      </w:r>
      <w:r>
        <w:rPr>
          <w:rFonts w:hint="eastAsia" w:hAnsi="宋体" w:eastAsia="宋体"/>
          <w:sz w:val="24"/>
          <w:szCs w:val="24"/>
          <w:highlight w:val="yellow"/>
          <w:lang w:eastAsia="zh-CN"/>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3.2.1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3.2.2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3.2.3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5.5  该类报告或证明材料对于投标方胜出乃至中标极为重要！</w:t>
      </w:r>
    </w:p>
    <w:p>
      <w:pPr>
        <w:spacing w:line="420" w:lineRule="exact"/>
        <w:ind w:firstLine="479" w:firstLineChars="199"/>
        <w:rPr>
          <w:rFonts w:hint="eastAsia"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pStyle w:val="2"/>
      </w:pP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4、招标文件、投标文件、答疑文件、技术交流文件、技术协议书等，在采购过程全部为有效文件，如有差异，以对招标方最有利的条款为准。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5、为避免</w:t>
      </w:r>
      <w:r>
        <w:rPr>
          <w:rFonts w:hint="eastAsia" w:ascii="Times New Roman" w:hAnsi="Times New Roman" w:eastAsia="宋体" w:cs="Times New Roman"/>
          <w:color w:val="000000"/>
          <w:sz w:val="24"/>
          <w:szCs w:val="20"/>
        </w:rPr>
        <w:t>歧义</w:t>
      </w:r>
      <w:r>
        <w:rPr>
          <w:rFonts w:ascii="Times New Roman" w:hAnsi="Times New Roman" w:eastAsia="宋体" w:cs="Times New Roman"/>
          <w:color w:val="000000"/>
          <w:sz w:val="24"/>
          <w:szCs w:val="20"/>
        </w:rPr>
        <w:t>，本技术标书涉及招投标环节的条款，均将潜在的卖方称为投标方、将买方称为招标方；定标后合同签署环节以及后续的合同执行环节条款，招标方称为买方、投标方中的中标方称为卖方。</w:t>
      </w:r>
    </w:p>
    <w:p>
      <w:pPr>
        <w:pStyle w:val="2"/>
        <w:spacing w:line="360" w:lineRule="auto"/>
        <w:rPr>
          <w:rFonts w:hAnsi="宋体" w:eastAsia="宋体" w:cs="宋体"/>
        </w:rPr>
        <w:sectPr>
          <w:footerReference r:id="rId10" w:type="first"/>
          <w:footerReference r:id="rId9" w:type="default"/>
          <w:pgSz w:w="11907" w:h="16840"/>
          <w:pgMar w:top="1304" w:right="1418" w:bottom="1304" w:left="1418" w:header="724" w:footer="851" w:gutter="0"/>
          <w:cols w:space="720" w:num="1"/>
          <w:docGrid w:linePitch="290" w:charSpace="-3931"/>
        </w:sectPr>
      </w:pPr>
    </w:p>
    <w:bookmarkEnd w:id="0"/>
    <w:bookmarkEnd w:id="1"/>
    <w:bookmarkEnd w:id="33"/>
    <w:p>
      <w:pPr>
        <w:pStyle w:val="2"/>
      </w:pPr>
    </w:p>
    <w:p>
      <w:pPr>
        <w:spacing w:line="360" w:lineRule="auto"/>
        <w:jc w:val="center"/>
        <w:outlineLvl w:val="0"/>
        <w:rPr>
          <w:rFonts w:ascii="宋体" w:hAnsi="Calibri" w:eastAsia="宋体" w:cs="Times New Roman"/>
          <w:b/>
          <w:sz w:val="36"/>
          <w:szCs w:val="36"/>
        </w:rPr>
      </w:pPr>
      <w:bookmarkStart w:id="3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adjustRightInd w:val="0"/>
        <w:snapToGrid w:val="0"/>
        <w:spacing w:line="360" w:lineRule="auto"/>
        <w:jc w:val="center"/>
        <w:rPr>
          <w:rFonts w:ascii="宋体" w:hAnsi="宋体"/>
          <w:b/>
          <w:sz w:val="36"/>
          <w:szCs w:val="36"/>
        </w:rPr>
      </w:pPr>
      <w:r>
        <w:rPr>
          <w:rFonts w:hint="eastAsia" w:ascii="宋体" w:hAnsi="Courier New" w:cs="Times New Roman"/>
          <w:sz w:val="24"/>
          <w:szCs w:val="20"/>
        </w:rPr>
        <w:t>(合同以双方最终签署的版本为准)</w:t>
      </w:r>
    </w:p>
    <w:p>
      <w:pPr>
        <w:pStyle w:val="2"/>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footerReference r:id="rId11"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38" w:name="_Toc11930"/>
      <w:bookmarkStart w:id="39" w:name="_Toc9465"/>
      <w:bookmarkStart w:id="40" w:name="_Toc17619"/>
      <w:bookmarkStart w:id="41" w:name="_Toc11823"/>
      <w:bookmarkStart w:id="42" w:name="_Toc16330018"/>
      <w:r>
        <w:rPr>
          <w:rFonts w:hint="eastAsia" w:ascii="黑体" w:hAnsi="黑体" w:eastAsia="黑体" w:cstheme="minorEastAsia"/>
          <w:b w:val="0"/>
          <w:sz w:val="28"/>
          <w:szCs w:val="28"/>
        </w:rPr>
        <w:t>1 合同设备</w:t>
      </w:r>
      <w:bookmarkEnd w:id="38"/>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3" w:name="_Toc29026"/>
      <w:bookmarkStart w:id="44" w:name="_Toc32510"/>
      <w:bookmarkStart w:id="45"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6" w:name="_Toc16330019"/>
      <w:bookmarkStart w:id="47" w:name="_Toc7716"/>
      <w:r>
        <w:rPr>
          <w:rFonts w:hint="eastAsia" w:ascii="黑体" w:hAnsi="黑体" w:eastAsia="黑体" w:cstheme="minorEastAsia"/>
          <w:b w:val="0"/>
          <w:sz w:val="28"/>
          <w:szCs w:val="28"/>
        </w:rPr>
        <w:t>2 包装</w:t>
      </w:r>
      <w:bookmarkEnd w:id="43"/>
      <w:bookmarkEnd w:id="44"/>
      <w:bookmarkEnd w:id="45"/>
      <w:bookmarkEnd w:id="46"/>
      <w:bookmarkEnd w:id="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8" w:name="_Toc16330020"/>
      <w:bookmarkStart w:id="49" w:name="_Toc2833"/>
      <w:bookmarkStart w:id="50" w:name="_Toc27144"/>
      <w:bookmarkStart w:id="51" w:name="_Toc30507"/>
      <w:bookmarkStart w:id="52" w:name="_Toc27453"/>
      <w:r>
        <w:rPr>
          <w:rFonts w:hint="eastAsia" w:ascii="黑体" w:hAnsi="黑体" w:eastAsia="黑体" w:cstheme="minorEastAsia"/>
          <w:b w:val="0"/>
          <w:sz w:val="28"/>
          <w:szCs w:val="28"/>
        </w:rPr>
        <w:t>3 运输标记</w:t>
      </w:r>
      <w:bookmarkEnd w:id="48"/>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3" w:name="_Toc8624"/>
      <w:bookmarkStart w:id="54" w:name="_Toc10630"/>
      <w:bookmarkStart w:id="55" w:name="_Toc7431"/>
      <w:bookmarkStart w:id="56" w:name="_Toc16133"/>
      <w:bookmarkStart w:id="57" w:name="_Toc16330021"/>
      <w:r>
        <w:rPr>
          <w:rFonts w:hint="eastAsia" w:ascii="黑体" w:hAnsi="黑体" w:eastAsia="黑体" w:cstheme="minorEastAsia"/>
          <w:b w:val="0"/>
          <w:sz w:val="28"/>
          <w:szCs w:val="28"/>
        </w:rPr>
        <w:t>4 检验</w:t>
      </w:r>
      <w:bookmarkEnd w:id="53"/>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8" w:name="_Toc19850"/>
      <w:bookmarkStart w:id="59" w:name="_Toc16330022"/>
      <w:bookmarkStart w:id="60" w:name="_Toc11217"/>
      <w:bookmarkStart w:id="61" w:name="_Toc14275"/>
      <w:bookmarkStart w:id="62" w:name="_Toc24467"/>
      <w:r>
        <w:rPr>
          <w:rFonts w:hint="eastAsia" w:ascii="黑体" w:hAnsi="黑体" w:eastAsia="黑体" w:cstheme="minorEastAsia"/>
          <w:b w:val="0"/>
          <w:sz w:val="28"/>
          <w:szCs w:val="28"/>
        </w:rPr>
        <w:t>5 权利担保</w:t>
      </w:r>
      <w:bookmarkEnd w:id="58"/>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3" w:name="_Toc14809"/>
      <w:bookmarkStart w:id="64" w:name="_Toc11759"/>
      <w:bookmarkStart w:id="65" w:name="_Toc20827"/>
      <w:bookmarkStart w:id="66" w:name="_Toc27500"/>
      <w:bookmarkStart w:id="67" w:name="_Toc16330023"/>
      <w:r>
        <w:rPr>
          <w:rFonts w:hint="eastAsia" w:ascii="黑体" w:hAnsi="黑体" w:eastAsia="黑体" w:cstheme="minorEastAsia"/>
          <w:b w:val="0"/>
          <w:sz w:val="28"/>
          <w:szCs w:val="28"/>
        </w:rPr>
        <w:t>6 交货</w:t>
      </w:r>
      <w:bookmarkEnd w:id="63"/>
      <w:bookmarkEnd w:id="64"/>
      <w:bookmarkEnd w:id="65"/>
      <w:bookmarkEnd w:id="66"/>
      <w:bookmarkEnd w:id="6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8" w:name="_Toc8024"/>
      <w:bookmarkStart w:id="69" w:name="_Toc23308"/>
      <w:bookmarkStart w:id="70" w:name="_Toc16330024"/>
      <w:bookmarkStart w:id="71" w:name="_Toc2984"/>
      <w:bookmarkStart w:id="72" w:name="_Toc25510"/>
      <w:r>
        <w:rPr>
          <w:rFonts w:hint="eastAsia" w:ascii="黑体" w:hAnsi="黑体" w:eastAsia="黑体" w:cstheme="minorEastAsia"/>
          <w:b w:val="0"/>
          <w:sz w:val="28"/>
          <w:szCs w:val="28"/>
        </w:rPr>
        <w:t>7 安装、调试</w:t>
      </w:r>
      <w:bookmarkEnd w:id="68"/>
      <w:bookmarkEnd w:id="69"/>
      <w:bookmarkEnd w:id="70"/>
      <w:bookmarkEnd w:id="71"/>
      <w:bookmarkEnd w:id="72"/>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3" w:name="_Toc15547"/>
      <w:bookmarkStart w:id="74" w:name="_Toc6350"/>
      <w:bookmarkStart w:id="75" w:name="_Toc16330025"/>
      <w:bookmarkStart w:id="76" w:name="_Toc14260"/>
      <w:bookmarkStart w:id="77" w:name="_Toc14098"/>
      <w:r>
        <w:rPr>
          <w:rFonts w:hint="eastAsia" w:ascii="黑体" w:hAnsi="黑体" w:eastAsia="黑体" w:cstheme="minorEastAsia"/>
          <w:b w:val="0"/>
          <w:sz w:val="28"/>
          <w:szCs w:val="28"/>
        </w:rPr>
        <w:t>8 价款与支付</w:t>
      </w:r>
      <w:bookmarkEnd w:id="73"/>
      <w:bookmarkEnd w:id="74"/>
      <w:bookmarkEnd w:id="75"/>
      <w:bookmarkEnd w:id="76"/>
      <w:bookmarkEnd w:id="7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78" w:name="_Toc14676804"/>
      <w:bookmarkStart w:id="79"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78"/>
      <w:bookmarkEnd w:id="79"/>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0" w:name="_Toc21726"/>
      <w:bookmarkStart w:id="81" w:name="_Toc25708"/>
      <w:bookmarkStart w:id="82" w:name="_Toc6726"/>
      <w:bookmarkStart w:id="83" w:name="_Toc24085"/>
      <w:bookmarkStart w:id="84" w:name="_Toc16330026"/>
      <w:r>
        <w:rPr>
          <w:rFonts w:hint="eastAsia" w:ascii="黑体" w:hAnsi="黑体" w:eastAsia="黑体" w:cstheme="minorEastAsia"/>
          <w:b w:val="0"/>
          <w:sz w:val="28"/>
          <w:szCs w:val="28"/>
        </w:rPr>
        <w:t>9 质量保证及售后服务</w:t>
      </w:r>
      <w:bookmarkEnd w:id="80"/>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5" w:name="_Toc12927"/>
      <w:bookmarkStart w:id="86" w:name="_Toc26769"/>
      <w:bookmarkStart w:id="87" w:name="_Toc16330027"/>
      <w:bookmarkStart w:id="88" w:name="_Toc15570"/>
      <w:bookmarkStart w:id="89" w:name="_Toc10359"/>
      <w:r>
        <w:rPr>
          <w:rFonts w:hint="eastAsia" w:ascii="黑体" w:hAnsi="黑体" w:eastAsia="黑体" w:cstheme="minorEastAsia"/>
          <w:b w:val="0"/>
          <w:sz w:val="28"/>
          <w:szCs w:val="28"/>
        </w:rPr>
        <w:t>10法定责任</w:t>
      </w:r>
      <w:bookmarkEnd w:id="85"/>
      <w:bookmarkEnd w:id="86"/>
      <w:bookmarkEnd w:id="87"/>
      <w:bookmarkEnd w:id="88"/>
      <w:bookmarkEnd w:id="8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0" w:name="_Toc16330028"/>
      <w:bookmarkStart w:id="91" w:name="_Toc9708"/>
      <w:bookmarkStart w:id="92" w:name="_Toc7698"/>
      <w:bookmarkStart w:id="93" w:name="_Toc30381"/>
      <w:bookmarkStart w:id="94" w:name="_Toc27314"/>
      <w:r>
        <w:rPr>
          <w:rFonts w:hint="eastAsia" w:ascii="黑体" w:hAnsi="黑体" w:eastAsia="黑体" w:cstheme="minorEastAsia"/>
          <w:b w:val="0"/>
          <w:sz w:val="28"/>
          <w:szCs w:val="28"/>
        </w:rPr>
        <w:t>11 违约责任</w:t>
      </w:r>
      <w:bookmarkEnd w:id="90"/>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95" w:name="_Toc9172"/>
      <w:bookmarkStart w:id="96" w:name="_Toc31554"/>
      <w:bookmarkStart w:id="97" w:name="_Toc16330029"/>
      <w:bookmarkStart w:id="98"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95"/>
    <w:bookmarkEnd w:id="96"/>
    <w:bookmarkEnd w:id="97"/>
    <w:bookmarkEnd w:id="98"/>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9" w:name="_Toc23793"/>
      <w:r>
        <w:rPr>
          <w:rFonts w:hint="eastAsia" w:ascii="黑体" w:hAnsi="黑体" w:eastAsia="黑体" w:cstheme="minorEastAsia"/>
          <w:b w:val="0"/>
          <w:sz w:val="28"/>
          <w:szCs w:val="28"/>
        </w:rPr>
        <w:t>12 合同的终止与解除</w:t>
      </w:r>
      <w:bookmarkEnd w:id="9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0" w:name="_Toc11937"/>
      <w:bookmarkStart w:id="101" w:name="_Toc8620"/>
      <w:bookmarkStart w:id="102" w:name="_Toc16330030"/>
      <w:bookmarkStart w:id="103" w:name="_Toc13671"/>
      <w:bookmarkStart w:id="104" w:name="_Toc31945"/>
      <w:r>
        <w:rPr>
          <w:rFonts w:hint="eastAsia" w:ascii="黑体" w:hAnsi="黑体" w:eastAsia="黑体" w:cstheme="minorEastAsia"/>
          <w:b w:val="0"/>
          <w:sz w:val="28"/>
          <w:szCs w:val="28"/>
        </w:rPr>
        <w:t>13 不可抗力</w:t>
      </w:r>
      <w:bookmarkEnd w:id="100"/>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5" w:name="_Toc18772"/>
      <w:bookmarkStart w:id="106" w:name="_Toc31243"/>
      <w:bookmarkStart w:id="107" w:name="_Toc30389"/>
      <w:bookmarkStart w:id="108" w:name="_Toc637"/>
      <w:bookmarkStart w:id="109" w:name="_Toc16330031"/>
      <w:r>
        <w:rPr>
          <w:rFonts w:hint="eastAsia" w:ascii="黑体" w:hAnsi="黑体" w:eastAsia="黑体" w:cstheme="minorEastAsia"/>
          <w:b w:val="0"/>
          <w:sz w:val="28"/>
          <w:szCs w:val="28"/>
        </w:rPr>
        <w:t>14 通讯</w:t>
      </w:r>
      <w:bookmarkEnd w:id="105"/>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0" w:name="_Toc11290"/>
      <w:bookmarkStart w:id="111" w:name="_Toc12984"/>
      <w:bookmarkStart w:id="112" w:name="_Toc9915"/>
      <w:bookmarkStart w:id="113" w:name="_Toc16330032"/>
      <w:bookmarkStart w:id="114" w:name="_Toc23011"/>
      <w:r>
        <w:rPr>
          <w:rFonts w:hint="eastAsia" w:ascii="黑体" w:hAnsi="黑体" w:eastAsia="黑体" w:cstheme="minorEastAsia"/>
          <w:b w:val="0"/>
          <w:sz w:val="28"/>
          <w:szCs w:val="28"/>
        </w:rPr>
        <w:t>15 适用法律及争议解决</w:t>
      </w:r>
      <w:bookmarkEnd w:id="110"/>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5" w:name="_Toc18207"/>
      <w:bookmarkStart w:id="116" w:name="_Toc16330033"/>
      <w:bookmarkStart w:id="117" w:name="_Toc5747"/>
      <w:bookmarkStart w:id="118" w:name="_Toc23765"/>
      <w:bookmarkStart w:id="119" w:name="_Toc23906"/>
      <w:r>
        <w:rPr>
          <w:rFonts w:hint="eastAsia" w:ascii="黑体" w:hAnsi="黑体" w:eastAsia="黑体" w:cstheme="minorEastAsia"/>
          <w:b w:val="0"/>
          <w:sz w:val="28"/>
          <w:szCs w:val="28"/>
        </w:rPr>
        <w:t>16 附件</w:t>
      </w:r>
      <w:bookmarkEnd w:id="115"/>
      <w:bookmarkEnd w:id="116"/>
      <w:bookmarkEnd w:id="117"/>
      <w:bookmarkEnd w:id="118"/>
      <w:bookmarkEnd w:id="11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0" w:name="_Toc9594"/>
      <w:bookmarkStart w:id="121" w:name="_Toc31331"/>
      <w:bookmarkStart w:id="122" w:name="_Toc27202"/>
      <w:bookmarkStart w:id="123" w:name="_Toc16330034"/>
      <w:bookmarkStart w:id="124" w:name="_Toc17656"/>
      <w:r>
        <w:rPr>
          <w:rFonts w:hint="eastAsia" w:ascii="黑体" w:hAnsi="黑体" w:eastAsia="黑体" w:cstheme="minorEastAsia"/>
          <w:b w:val="0"/>
          <w:sz w:val="28"/>
          <w:szCs w:val="28"/>
        </w:rPr>
        <w:t>17 其他规定</w:t>
      </w:r>
      <w:bookmarkEnd w:id="120"/>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5" w:name="_Toc29136"/>
      <w:bookmarkStart w:id="126" w:name="_Toc16330035"/>
      <w:bookmarkStart w:id="127" w:name="_Toc19077"/>
      <w:bookmarkStart w:id="12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9" w:name="_Toc15340"/>
      <w:r>
        <w:rPr>
          <w:rFonts w:hint="eastAsia" w:ascii="黑体" w:hAnsi="黑体" w:eastAsia="黑体" w:cstheme="minorEastAsia"/>
          <w:b w:val="0"/>
          <w:sz w:val="28"/>
          <w:szCs w:val="28"/>
        </w:rPr>
        <w:t>18 签署事项</w:t>
      </w:r>
      <w:bookmarkEnd w:id="125"/>
      <w:bookmarkEnd w:id="126"/>
      <w:bookmarkEnd w:id="127"/>
      <w:bookmarkEnd w:id="128"/>
      <w:bookmarkEnd w:id="12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0" w:name="_Toc15689"/>
      <w:bookmarkStart w:id="131" w:name="_Toc10272"/>
      <w:bookmarkStart w:id="132" w:name="_Toc16330036"/>
      <w:bookmarkStart w:id="133"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0"/>
    <w:bookmarkEnd w:id="131"/>
    <w:bookmarkEnd w:id="132"/>
    <w:bookmarkEnd w:id="133"/>
    <w:p>
      <w:pPr>
        <w:rPr>
          <w:sz w:val="24"/>
          <w:szCs w:val="24"/>
        </w:rPr>
      </w:pPr>
    </w:p>
    <w:p>
      <w:pPr>
        <w:pStyle w:val="4"/>
        <w:tabs>
          <w:tab w:val="right" w:leader="dot" w:pos="9061"/>
        </w:tabs>
        <w:rPr>
          <w:rFonts w:ascii="黑体" w:hAnsi="黑体" w:eastAsia="黑体" w:cstheme="minorEastAsia"/>
          <w:b w:val="0"/>
          <w:sz w:val="28"/>
          <w:szCs w:val="28"/>
        </w:rPr>
      </w:pPr>
      <w:bookmarkStart w:id="134" w:name="_Toc14581"/>
      <w:r>
        <w:rPr>
          <w:rFonts w:hint="eastAsia" w:ascii="黑体" w:hAnsi="黑体" w:eastAsia="黑体" w:cstheme="minorEastAsia"/>
          <w:b w:val="0"/>
          <w:sz w:val="28"/>
          <w:szCs w:val="28"/>
        </w:rPr>
        <w:t>附件一：设备清单明细表</w:t>
      </w:r>
      <w:bookmarkEnd w:id="134"/>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35" w:name="_Toc5379"/>
      <w:bookmarkStart w:id="136" w:name="_Toc25120"/>
      <w:bookmarkStart w:id="137" w:name="_Toc16330037"/>
      <w:bookmarkStart w:id="138" w:name="_Toc24623"/>
      <w:bookmarkStart w:id="139" w:name="_Toc3778"/>
    </w:p>
    <w:p>
      <w:pPr>
        <w:rPr>
          <w:rFonts w:ascii="黑体" w:hAnsi="黑体" w:eastAsia="黑体" w:cstheme="minorEastAsia"/>
          <w:sz w:val="28"/>
          <w:szCs w:val="28"/>
        </w:rPr>
      </w:pPr>
      <w:bookmarkStart w:id="140" w:name="_Toc8175"/>
      <w:r>
        <w:rPr>
          <w:rFonts w:hint="eastAsia" w:ascii="黑体" w:hAnsi="黑体" w:eastAsia="黑体" w:cstheme="minorEastAsia"/>
          <w:sz w:val="28"/>
          <w:szCs w:val="28"/>
        </w:rPr>
        <w:t xml:space="preserve">附件二 </w:t>
      </w:r>
      <w:bookmarkEnd w:id="135"/>
      <w:bookmarkEnd w:id="136"/>
      <w:bookmarkEnd w:id="137"/>
      <w:bookmarkEnd w:id="138"/>
      <w:bookmarkEnd w:id="139"/>
      <w:r>
        <w:rPr>
          <w:rFonts w:hint="eastAsia" w:ascii="黑体" w:hAnsi="黑体" w:eastAsia="黑体" w:cstheme="minorEastAsia"/>
          <w:sz w:val="28"/>
          <w:szCs w:val="28"/>
        </w:rPr>
        <w:t>技术协议书</w:t>
      </w:r>
      <w:bookmarkEnd w:id="140"/>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1"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1"/>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说明：</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1、投标人须认真填写和提交本部分中的附件文件；</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2、对附件文件中所要求的内容应给予明确的答复；</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3、附件文件的签字人应保证其对一切问题的答复、所做的声明及出具的资格资质文件、资料等具有真实性和准确性；</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4、招标人将对投标人提交的文件、资料等内容予以保密，但不退还；</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5、所有附件文件应以中文书写，作为投标文件的组成部分。</w:t>
      </w:r>
    </w:p>
    <w:p>
      <w:pPr>
        <w:keepNext/>
        <w:keepLines/>
        <w:outlineLvl w:val="2"/>
        <w:rPr>
          <w:rFonts w:ascii="Times New Roman" w:hAnsi="Times New Roman" w:eastAsia="宋体" w:cs="Times New Roman"/>
          <w:b/>
          <w:bCs/>
          <w:color w:val="000000"/>
          <w:sz w:val="36"/>
          <w:szCs w:val="36"/>
        </w:rPr>
      </w:pPr>
    </w:p>
    <w:p>
      <w:pPr>
        <w:keepNext/>
        <w:keepLines/>
        <w:outlineLvl w:val="2"/>
        <w:rPr>
          <w:rFonts w:ascii="Times New Roman" w:hAnsi="Times New Roman" w:eastAsia="宋体" w:cs="Times New Roman"/>
          <w:b/>
          <w:bCs/>
          <w:color w:val="000000"/>
          <w:sz w:val="36"/>
          <w:szCs w:val="36"/>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p>
    <w:p>
      <w:pPr>
        <w:pStyle w:val="4"/>
        <w:rPr>
          <w:rFonts w:ascii="Times New Roman" w:hAnsi="Times New Roman"/>
          <w:color w:val="000000"/>
          <w:szCs w:val="24"/>
        </w:rPr>
      </w:pPr>
    </w:p>
    <w:p>
      <w:pPr>
        <w:rPr>
          <w:rFonts w:ascii="Times New Roman" w:hAnsi="Times New Roman" w:eastAsia="宋体" w:cs="Times New Roman"/>
          <w:b/>
          <w:bCs/>
          <w:color w:val="000000"/>
          <w:sz w:val="24"/>
          <w:szCs w:val="24"/>
        </w:rPr>
      </w:pPr>
    </w:p>
    <w:p>
      <w:pPr>
        <w:pStyle w:val="4"/>
        <w:rPr>
          <w:rFonts w:ascii="Times New Roman" w:hAnsi="Times New Roman"/>
          <w:color w:val="000000"/>
          <w:szCs w:val="24"/>
        </w:rPr>
      </w:pPr>
    </w:p>
    <w:p>
      <w:pPr>
        <w:rPr>
          <w:rFonts w:ascii="Times New Roman" w:hAnsi="Times New Roman" w:eastAsia="宋体" w:cs="Times New Roman"/>
          <w:b/>
          <w:bCs/>
          <w:color w:val="000000"/>
          <w:sz w:val="24"/>
          <w:szCs w:val="24"/>
        </w:rPr>
      </w:pPr>
    </w:p>
    <w:p>
      <w:pPr>
        <w:pStyle w:val="4"/>
        <w:rPr>
          <w:rFonts w:ascii="Times New Roman" w:hAnsi="Times New Roman"/>
          <w:color w:val="000000"/>
          <w:szCs w:val="24"/>
        </w:rPr>
      </w:pPr>
    </w:p>
    <w:p>
      <w:pPr>
        <w:rPr>
          <w:rFonts w:ascii="Times New Roman" w:hAnsi="Times New Roman" w:eastAsia="宋体" w:cs="Times New Roman"/>
          <w:b/>
          <w:bCs/>
          <w:color w:val="000000"/>
          <w:sz w:val="24"/>
          <w:szCs w:val="24"/>
        </w:rPr>
      </w:pPr>
    </w:p>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2" w:name="_Toc639004"/>
      <w:bookmarkStart w:id="143" w:name="_Toc25811"/>
      <w:bookmarkStart w:id="144" w:name="_Toc212369550"/>
      <w:bookmarkStart w:id="145"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2"/>
      <w:bookmarkEnd w:id="143"/>
      <w:bookmarkEnd w:id="144"/>
      <w:bookmarkEnd w:id="14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eastAsia="zh-CN"/>
        </w:rPr>
        <w:t>微机控制高低温电子万能试验机（1T）招标项目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eastAsia="宋体" w:cs="Times New Roman"/>
          <w:bCs/>
          <w:snapToGrid w:val="0"/>
          <w:color w:val="000000"/>
          <w:kern w:val="0"/>
          <w:sz w:val="24"/>
          <w:szCs w:val="24"/>
          <w:u w:val="single"/>
          <w:lang w:val="en-US" w:eastAsia="zh-CN"/>
        </w:rPr>
        <w:t xml:space="preserve">            ，</w:t>
      </w:r>
      <w:r>
        <w:rPr>
          <w:rFonts w:hint="eastAsia" w:ascii="宋体" w:hAnsi="宋体" w:eastAsia="宋体" w:cs="Times New Roman"/>
          <w:bCs/>
          <w:snapToGrid w:val="0"/>
          <w:color w:val="000000"/>
          <w:kern w:val="0"/>
          <w:sz w:val="24"/>
          <w:szCs w:val="24"/>
          <w:u w:val="single"/>
          <w:lang w:val="en-US" w:eastAsia="zh-CN"/>
        </w:rPr>
        <w:t xml:space="preserve">         </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bookmarkStart w:id="146" w:name="_GoBack"/>
      <w:bookmarkEnd w:id="146"/>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u w:val="single"/>
          <w:lang w:eastAsia="zh-CN"/>
        </w:rPr>
        <w:t>CGZX2023050022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1</w:t>
            </w:r>
          </w:p>
        </w:tc>
        <w:tc>
          <w:tcPr>
            <w:tcW w:w="1461" w:type="dxa"/>
            <w:vAlign w:val="center"/>
          </w:tcPr>
          <w:p>
            <w:pPr>
              <w:jc w:val="center"/>
              <w:rPr>
                <w:rFonts w:hint="eastAsia" w:ascii="Times New Roman" w:hAnsi="Times New Roman" w:eastAsia="宋体" w:cs="Times New Roman"/>
                <w:b/>
                <w:szCs w:val="21"/>
                <w:lang w:eastAsia="zh-CN"/>
              </w:rPr>
            </w:pPr>
            <w:r>
              <w:rPr>
                <w:rFonts w:hint="eastAsia" w:ascii="宋体" w:hAnsi="宋体" w:eastAsia="宋体" w:cs="Times New Roman"/>
                <w:b/>
                <w:bCs/>
                <w:color w:val="000000"/>
                <w:szCs w:val="21"/>
                <w:lang w:eastAsia="zh-CN"/>
              </w:rPr>
              <w:t>微机控制高低温电子万能试验机（1T）</w:t>
            </w:r>
          </w:p>
        </w:tc>
        <w:tc>
          <w:tcPr>
            <w:tcW w:w="780"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1</w:t>
            </w:r>
            <w:r>
              <w:rPr>
                <w:rFonts w:hint="eastAsia" w:ascii="Times New Roman" w:hAnsi="Times New Roman" w:eastAsia="宋体" w:cs="Times New Roman"/>
                <w:b/>
                <w:szCs w:val="21"/>
              </w:rPr>
              <w:t>套</w:t>
            </w:r>
          </w:p>
        </w:tc>
        <w:tc>
          <w:tcPr>
            <w:tcW w:w="1580" w:type="dxa"/>
            <w:vAlign w:val="center"/>
          </w:tcPr>
          <w:p>
            <w:pPr>
              <w:jc w:val="center"/>
              <w:rPr>
                <w:rFonts w:ascii="宋体" w:hAnsi="宋体" w:eastAsia="宋体" w:cs="宋体"/>
                <w:b/>
                <w:szCs w:val="21"/>
              </w:rPr>
            </w:pPr>
            <w:r>
              <w:rPr>
                <w:rFonts w:hint="eastAsia" w:ascii="宋体" w:hAnsi="宋体" w:eastAsia="宋体" w:cs="宋体"/>
                <w:b/>
                <w:szCs w:val="21"/>
              </w:rPr>
              <w:t>不含税价：</w:t>
            </w:r>
          </w:p>
          <w:p>
            <w:pPr>
              <w:jc w:val="center"/>
              <w:rPr>
                <w:rFonts w:ascii="宋体" w:hAnsi="宋体" w:eastAsia="宋体" w:cs="宋体"/>
                <w:b/>
                <w:szCs w:val="21"/>
              </w:rPr>
            </w:pPr>
            <w:r>
              <w:rPr>
                <w:rFonts w:hint="eastAsia" w:ascii="宋体" w:hAnsi="宋体" w:eastAsia="宋体" w:cs="宋体"/>
                <w:b/>
                <w:szCs w:val="21"/>
              </w:rPr>
              <w:t>含税价格：</w:t>
            </w:r>
          </w:p>
          <w:p>
            <w:pPr>
              <w:jc w:val="center"/>
              <w:rPr>
                <w:rFonts w:ascii="Times New Roman" w:hAnsi="Times New Roman" w:eastAsia="宋体" w:cs="Times New Roman"/>
                <w:b/>
                <w:szCs w:val="21"/>
              </w:rPr>
            </w:pPr>
            <w:r>
              <w:rPr>
                <w:rFonts w:hint="eastAsia" w:ascii="宋体" w:hAnsi="宋体" w:eastAsia="宋体" w:cs="宋体"/>
                <w:b/>
                <w:szCs w:val="21"/>
              </w:rPr>
              <w:t>税率</w:t>
            </w:r>
            <w:r>
              <w:rPr>
                <w:rFonts w:hint="eastAsia" w:ascii="等线" w:hAnsi="等线" w:eastAsia="等线" w:cs="Times New Roman"/>
                <w:b/>
                <w:szCs w:val="21"/>
              </w:rPr>
              <w:t>：</w:t>
            </w:r>
          </w:p>
        </w:tc>
        <w:tc>
          <w:tcPr>
            <w:tcW w:w="990" w:type="dxa"/>
            <w:vAlign w:val="center"/>
          </w:tcPr>
          <w:p>
            <w:pPr>
              <w:jc w:val="center"/>
              <w:rPr>
                <w:rFonts w:ascii="Times New Roman" w:hAnsi="Times New Roman" w:eastAsia="宋体" w:cs="Times New Roman"/>
                <w:b/>
                <w:szCs w:val="21"/>
              </w:rPr>
            </w:pPr>
          </w:p>
        </w:tc>
        <w:tc>
          <w:tcPr>
            <w:tcW w:w="1375" w:type="dxa"/>
            <w:vAlign w:val="center"/>
          </w:tcPr>
          <w:p>
            <w:pPr>
              <w:jc w:val="center"/>
              <w:rPr>
                <w:rFonts w:ascii="Times New Roman" w:hAnsi="Times New Roman" w:eastAsia="宋体" w:cs="Times New Roman"/>
                <w:b/>
                <w:szCs w:val="21"/>
              </w:rPr>
            </w:pPr>
          </w:p>
        </w:tc>
        <w:tc>
          <w:tcPr>
            <w:tcW w:w="1065" w:type="dxa"/>
            <w:vAlign w:val="center"/>
          </w:tcPr>
          <w:p>
            <w:pPr>
              <w:jc w:val="center"/>
              <w:rPr>
                <w:rFonts w:ascii="Times New Roman" w:hAnsi="Times New Roman" w:eastAsia="宋体" w:cs="Times New Roman"/>
                <w:b/>
                <w:szCs w:val="21"/>
              </w:rPr>
            </w:pPr>
          </w:p>
        </w:tc>
        <w:tc>
          <w:tcPr>
            <w:tcW w:w="1132" w:type="dxa"/>
            <w:vAlign w:val="center"/>
          </w:tcPr>
          <w:p>
            <w:pPr>
              <w:jc w:val="center"/>
              <w:rPr>
                <w:rFonts w:ascii="Times New Roman" w:hAnsi="Times New Roman" w:eastAsia="宋体" w:cs="Times New Roman"/>
                <w:b/>
                <w:szCs w:val="21"/>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spacing w:before="140" w:after="140" w:line="240" w:lineRule="auto"/>
        <w:jc w:val="left"/>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z w:val="24"/>
          <w:szCs w:val="24"/>
          <w:lang w:eastAsia="zh-CN"/>
        </w:rPr>
        <w:t>CGZX2023050022</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pStyle w:val="114"/>
              <w:rPr>
                <w:rFonts w:ascii="宋体" w:hAnsi="宋体" w:cstheme="minorBidi"/>
                <w:b w:val="0"/>
                <w:szCs w:val="21"/>
              </w:rPr>
            </w:pPr>
          </w:p>
        </w:tc>
        <w:tc>
          <w:tcPr>
            <w:tcW w:w="1685" w:type="dxa"/>
          </w:tcPr>
          <w:p>
            <w:pPr>
              <w:rPr>
                <w:rFonts w:ascii="Arial"/>
                <w:szCs w:val="21"/>
              </w:rPr>
            </w:pPr>
          </w:p>
        </w:tc>
        <w:tc>
          <w:tcPr>
            <w:tcW w:w="1120" w:type="dxa"/>
            <w:vAlign w:val="center"/>
          </w:tcPr>
          <w:p>
            <w:pPr>
              <w:spacing w:line="360" w:lineRule="exact"/>
              <w:jc w:val="center"/>
              <w:rPr>
                <w:rFonts w:ascii="宋体" w:hAnsi="宋体" w:eastAsia="宋体" w:cs="宋体"/>
                <w:szCs w:val="21"/>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pStyle w:val="114"/>
              <w:rPr>
                <w:rFonts w:ascii="宋体" w:hAnsi="宋体" w:cstheme="minorBidi"/>
                <w:b w:val="0"/>
                <w:szCs w:val="21"/>
              </w:rPr>
            </w:pPr>
          </w:p>
        </w:tc>
        <w:tc>
          <w:tcPr>
            <w:tcW w:w="1685" w:type="dxa"/>
          </w:tcPr>
          <w:p>
            <w:pPr>
              <w:rPr>
                <w:rFonts w:ascii="Arial"/>
                <w:szCs w:val="21"/>
              </w:rPr>
            </w:pPr>
          </w:p>
        </w:tc>
        <w:tc>
          <w:tcPr>
            <w:tcW w:w="1120" w:type="dxa"/>
            <w:vAlign w:val="center"/>
          </w:tcPr>
          <w:p>
            <w:pPr>
              <w:spacing w:line="360" w:lineRule="exact"/>
              <w:jc w:val="center"/>
              <w:rPr>
                <w:rFonts w:ascii="宋体" w:hAnsi="宋体" w:eastAsia="宋体" w:cs="宋体"/>
                <w:szCs w:val="21"/>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pStyle w:val="114"/>
              <w:rPr>
                <w:rFonts w:ascii="宋体" w:hAnsi="宋体" w:cstheme="minorBidi"/>
                <w:b w:val="0"/>
                <w:szCs w:val="21"/>
              </w:rPr>
            </w:pPr>
          </w:p>
        </w:tc>
        <w:tc>
          <w:tcPr>
            <w:tcW w:w="1685" w:type="dxa"/>
          </w:tcPr>
          <w:p>
            <w:pPr>
              <w:rPr>
                <w:rFonts w:ascii="Arial"/>
                <w:szCs w:val="21"/>
              </w:rPr>
            </w:pPr>
          </w:p>
        </w:tc>
        <w:tc>
          <w:tcPr>
            <w:tcW w:w="1120" w:type="dxa"/>
            <w:vAlign w:val="center"/>
          </w:tcPr>
          <w:p>
            <w:pPr>
              <w:spacing w:line="360" w:lineRule="exact"/>
              <w:jc w:val="center"/>
              <w:rPr>
                <w:rFonts w:ascii="宋体" w:hAnsi="宋体" w:eastAsia="宋体" w:cs="宋体"/>
                <w:szCs w:val="21"/>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center"/>
          </w:tcPr>
          <w:p>
            <w:pPr>
              <w:pStyle w:val="114"/>
              <w:rPr>
                <w:rFonts w:ascii="宋体" w:hAnsi="宋体" w:cstheme="minorBidi"/>
                <w:b w:val="0"/>
                <w:szCs w:val="21"/>
              </w:rPr>
            </w:pPr>
          </w:p>
        </w:tc>
        <w:tc>
          <w:tcPr>
            <w:tcW w:w="1685" w:type="dxa"/>
          </w:tcPr>
          <w:p>
            <w:pPr>
              <w:rPr>
                <w:rFonts w:ascii="Arial"/>
                <w:szCs w:val="21"/>
              </w:rPr>
            </w:pPr>
          </w:p>
        </w:tc>
        <w:tc>
          <w:tcPr>
            <w:tcW w:w="1120" w:type="dxa"/>
            <w:vAlign w:val="center"/>
          </w:tcPr>
          <w:p>
            <w:pPr>
              <w:spacing w:line="360" w:lineRule="exact"/>
              <w:jc w:val="center"/>
              <w:rPr>
                <w:rFonts w:ascii="宋体" w:hAnsi="宋体" w:eastAsia="宋体" w:cs="宋体"/>
                <w:szCs w:val="21"/>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vAlign w:val="center"/>
          </w:tcPr>
          <w:p>
            <w:pPr>
              <w:pStyle w:val="114"/>
              <w:rPr>
                <w:rFonts w:ascii="宋体" w:hAnsi="宋体" w:cstheme="minorBidi"/>
                <w:b w:val="0"/>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vAlign w:val="center"/>
          </w:tcPr>
          <w:p>
            <w:pPr>
              <w:pStyle w:val="114"/>
              <w:rPr>
                <w:rFonts w:ascii="宋体" w:hAnsi="宋体" w:cstheme="minorBidi"/>
                <w:b w:val="0"/>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792" w:type="dxa"/>
            <w:vAlign w:val="center"/>
          </w:tcPr>
          <w:p>
            <w:pPr>
              <w:pStyle w:val="114"/>
              <w:rPr>
                <w:rFonts w:ascii="宋体" w:hAnsi="宋体" w:cstheme="minorBidi"/>
                <w:b w:val="0"/>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792" w:type="dxa"/>
            <w:vAlign w:val="center"/>
          </w:tcPr>
          <w:p>
            <w:pPr>
              <w:pStyle w:val="124"/>
              <w:spacing w:before="60" w:after="60"/>
              <w:jc w:val="center"/>
              <w:rPr>
                <w:rFonts w:ascii="宋体" w:hAnsi="宋体" w:eastAsia="宋体"/>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9</w:t>
            </w:r>
          </w:p>
        </w:tc>
        <w:tc>
          <w:tcPr>
            <w:tcW w:w="2792" w:type="dxa"/>
            <w:vAlign w:val="center"/>
          </w:tcPr>
          <w:p>
            <w:pPr>
              <w:pStyle w:val="114"/>
              <w:rPr>
                <w:rFonts w:ascii="宋体" w:hAnsi="宋体"/>
                <w:b w:val="0"/>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792" w:type="dxa"/>
          </w:tcPr>
          <w:p>
            <w:pPr>
              <w:pStyle w:val="114"/>
              <w:rPr>
                <w:rFonts w:ascii="宋体" w:hAnsi="宋体"/>
                <w:b w:val="0"/>
                <w:szCs w:val="21"/>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rPr>
            </w:pPr>
            <w:r>
              <w:rPr>
                <w:rFonts w:hint="eastAsia" w:ascii="宋体" w:hAnsi="宋体" w:eastAsia="宋体" w:cs="宋体"/>
                <w:position w:val="1"/>
                <w:szCs w:val="21"/>
              </w:rPr>
              <w:t>11</w:t>
            </w:r>
          </w:p>
        </w:tc>
        <w:tc>
          <w:tcPr>
            <w:tcW w:w="2792" w:type="dxa"/>
          </w:tcPr>
          <w:p>
            <w:pPr>
              <w:rPr>
                <w:rFonts w:ascii="宋体" w:hAnsi="宋体" w:eastAsia="宋体" w:cs="宋体"/>
              </w:rPr>
            </w:pPr>
            <w:r>
              <w:rPr>
                <w:rFonts w:hint="eastAsia" w:ascii="宋体" w:hAnsi="宋体" w:eastAsia="宋体" w:cs="宋体"/>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z w:val="24"/>
          <w:szCs w:val="24"/>
          <w:lang w:eastAsia="zh-CN"/>
        </w:rPr>
        <w:t>CGZX2023050022</w:t>
      </w:r>
      <w:r>
        <w:rPr>
          <w:rFonts w:hint="eastAsia" w:ascii="宋体" w:hAnsi="宋体" w:eastAsia="宋体" w:cs="宋体"/>
          <w:sz w:val="24"/>
          <w:szCs w:val="24"/>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z w:val="24"/>
          <w:szCs w:val="24"/>
          <w:lang w:eastAsia="zh-CN"/>
        </w:rPr>
        <w:t>CGZX2023050022</w:t>
      </w:r>
      <w:r>
        <w:rPr>
          <w:rFonts w:hint="eastAsia" w:ascii="宋体" w:hAnsi="宋体" w:eastAsia="宋体" w:cs="宋体"/>
          <w:sz w:val="24"/>
          <w:szCs w:val="24"/>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z w:val="24"/>
          <w:szCs w:val="24"/>
          <w:lang w:eastAsia="zh-CN"/>
        </w:rPr>
        <w:t>CGZX2023050022</w:t>
      </w:r>
      <w:r>
        <w:rPr>
          <w:rFonts w:hint="eastAsia" w:ascii="宋体" w:hAnsi="宋体" w:eastAsia="宋体" w:cs="宋体"/>
          <w:sz w:val="24"/>
          <w:szCs w:val="24"/>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4"/>
              <w:spacing w:before="60" w:after="60"/>
              <w:jc w:val="center"/>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4"/>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4"/>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124"/>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4"/>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z w:val="24"/>
          <w:szCs w:val="24"/>
          <w:lang w:eastAsia="zh-CN"/>
        </w:rPr>
        <w:t>CGZX2023050022</w:t>
      </w:r>
      <w:r>
        <w:rPr>
          <w:rFonts w:hint="eastAsia" w:ascii="宋体" w:hAnsi="宋体" w:eastAsia="宋体" w:cs="宋体"/>
          <w:sz w:val="24"/>
          <w:szCs w:val="24"/>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28"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Times New Roman"/>
          <w:b/>
          <w:bCs/>
          <w:color w:val="000000"/>
          <w:sz w:val="24"/>
          <w:szCs w:val="24"/>
          <w:u w:val="single"/>
          <w:lang w:eastAsia="zh-CN"/>
        </w:rPr>
        <w:t>微机控制高低温电子万能试验机（1T）招标项目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4"/>
        <w:rPr>
          <w:rFonts w:ascii="宋体" w:hAnsi="宋体" w:cs="宋体"/>
          <w:szCs w:val="24"/>
        </w:rPr>
      </w:pPr>
    </w:p>
    <w:p>
      <w:pPr>
        <w:rPr>
          <w:rFonts w:ascii="宋体" w:hAnsi="宋体" w:eastAsia="宋体" w:cs="宋体"/>
          <w:sz w:val="24"/>
          <w:szCs w:val="24"/>
        </w:rPr>
      </w:pPr>
    </w:p>
    <w:p>
      <w:pPr>
        <w:pStyle w:val="4"/>
        <w:rPr>
          <w:rFonts w:ascii="宋体" w:hAnsi="宋体" w:cs="宋体"/>
          <w:szCs w:val="24"/>
        </w:rPr>
      </w:pPr>
    </w:p>
    <w:p/>
    <w:p/>
    <w:p/>
    <w:p/>
    <w:p>
      <w:pPr>
        <w:tabs>
          <w:tab w:val="left" w:pos="1511"/>
        </w:tabs>
        <w:jc w:val="left"/>
        <w:sectPr>
          <w:footerReference r:id="rId29"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b/>
          <w:bCs/>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 xml:space="preserve"> </w:t>
      </w:r>
      <w:r>
        <w:rPr>
          <w:rFonts w:hint="eastAsia" w:ascii="宋体" w:hAnsi="宋体" w:eastAsia="宋体" w:cs="Times New Roman"/>
          <w:b/>
          <w:bCs/>
          <w:color w:val="000000"/>
          <w:sz w:val="24"/>
          <w:szCs w:val="24"/>
          <w:u w:val="single"/>
          <w:lang w:eastAsia="zh-CN"/>
        </w:rPr>
        <w:t>微机控制高低温电子万能试验机（1T）招标项目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4"/>
        <w:rPr>
          <w:rFonts w:ascii="宋体" w:hAnsi="Calibri" w:cs="宋体"/>
          <w:color w:val="000000"/>
          <w:sz w:val="28"/>
          <w:szCs w:val="20"/>
        </w:rPr>
      </w:pPr>
    </w:p>
    <w:p>
      <w:pPr>
        <w:rPr>
          <w:rFonts w:ascii="宋体" w:hAnsi="Calibri" w:eastAsia="宋体" w:cs="宋体"/>
          <w:b/>
          <w:bCs/>
          <w:color w:val="000000"/>
          <w:sz w:val="28"/>
          <w:szCs w:val="20"/>
        </w:rPr>
      </w:pPr>
    </w:p>
    <w:p>
      <w:pPr>
        <w:pStyle w:val="4"/>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eastAsia="zh-CN"/>
              </w:rPr>
            </w:pPr>
            <w:r>
              <w:rPr>
                <w:rFonts w:hint="eastAsia" w:ascii="宋体" w:hAnsi="宋体" w:eastAsia="宋体" w:cs="宋体"/>
                <w:b/>
                <w:szCs w:val="20"/>
              </w:rPr>
              <w:t>项目名称：</w:t>
            </w:r>
            <w:r>
              <w:rPr>
                <w:rFonts w:hint="eastAsia" w:ascii="宋体" w:hAnsi="宋体" w:eastAsia="宋体" w:cs="宋体"/>
                <w:b/>
                <w:szCs w:val="20"/>
                <w:lang w:eastAsia="zh-CN"/>
              </w:rPr>
              <w:t>微机控制高低温电子万能试验机（1T）招标项目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pStyle w:val="4"/>
      </w:pPr>
    </w:p>
    <w:p>
      <w:pPr>
        <w:pStyle w:val="4"/>
        <w:sectPr>
          <w:pgSz w:w="11906" w:h="16839"/>
          <w:pgMar w:top="1431" w:right="1417" w:bottom="1179" w:left="1304" w:header="850" w:footer="992" w:gutter="0"/>
          <w:cols w:space="720" w:num="1"/>
        </w:sectPr>
      </w:pPr>
    </w:p>
    <w:p>
      <w:pPr>
        <w:keepNext/>
        <w:keepLines/>
        <w:spacing w:line="40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技术标评审表（50分）</w:t>
      </w: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25"/>
        <w:gridCol w:w="625"/>
        <w:gridCol w:w="3154"/>
        <w:gridCol w:w="646"/>
        <w:gridCol w:w="8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635" w:type="dxa"/>
            <w:vAlign w:val="center"/>
          </w:tcPr>
          <w:p>
            <w:pPr>
              <w:tabs>
                <w:tab w:val="left" w:pos="13965"/>
              </w:tabs>
              <w:spacing w:line="360" w:lineRule="auto"/>
              <w:ind w:right="-6"/>
              <w:jc w:val="center"/>
              <w:rPr>
                <w:rFonts w:ascii="宋体" w:hAnsi="Times New Roman" w:eastAsia="宋体" w:cs="Times New Roman"/>
                <w:b/>
                <w:sz w:val="15"/>
                <w:szCs w:val="15"/>
              </w:rPr>
            </w:pPr>
            <w:r>
              <w:rPr>
                <w:rFonts w:hint="eastAsia" w:ascii="宋体" w:hAnsi="宋体" w:eastAsia="宋体" w:cs="Times New Roman"/>
                <w:b/>
                <w:sz w:val="15"/>
                <w:szCs w:val="15"/>
              </w:rPr>
              <w:t>评价类型</w:t>
            </w:r>
          </w:p>
        </w:tc>
        <w:tc>
          <w:tcPr>
            <w:tcW w:w="625" w:type="dxa"/>
            <w:vAlign w:val="center"/>
          </w:tcPr>
          <w:p>
            <w:pPr>
              <w:tabs>
                <w:tab w:val="left" w:pos="13965"/>
              </w:tabs>
              <w:spacing w:line="360" w:lineRule="auto"/>
              <w:ind w:right="-6"/>
              <w:jc w:val="center"/>
              <w:rPr>
                <w:rFonts w:ascii="宋体" w:hAnsi="宋体" w:eastAsia="宋体" w:cs="Times New Roman"/>
                <w:b/>
                <w:sz w:val="15"/>
                <w:szCs w:val="15"/>
              </w:rPr>
            </w:pPr>
            <w:r>
              <w:rPr>
                <w:rFonts w:hint="eastAsia" w:ascii="宋体" w:hAnsi="宋体" w:eastAsia="宋体" w:cs="Times New Roman"/>
                <w:b/>
                <w:sz w:val="15"/>
                <w:szCs w:val="15"/>
              </w:rPr>
              <w:t>评审内容</w:t>
            </w:r>
          </w:p>
        </w:tc>
        <w:tc>
          <w:tcPr>
            <w:tcW w:w="625" w:type="dxa"/>
            <w:vAlign w:val="center"/>
          </w:tcPr>
          <w:p>
            <w:pPr>
              <w:tabs>
                <w:tab w:val="left" w:pos="13965"/>
              </w:tabs>
              <w:spacing w:line="360" w:lineRule="auto"/>
              <w:ind w:right="-6"/>
              <w:jc w:val="center"/>
              <w:rPr>
                <w:rFonts w:ascii="宋体" w:hAnsi="Times New Roman" w:eastAsia="宋体" w:cs="Times New Roman"/>
                <w:b/>
                <w:sz w:val="15"/>
                <w:szCs w:val="15"/>
              </w:rPr>
            </w:pPr>
            <w:r>
              <w:rPr>
                <w:rFonts w:hint="eastAsia" w:ascii="宋体" w:hAnsi="宋体" w:eastAsia="宋体" w:cs="Times New Roman"/>
                <w:b/>
                <w:sz w:val="15"/>
                <w:szCs w:val="15"/>
              </w:rPr>
              <w:t>序号</w:t>
            </w:r>
          </w:p>
        </w:tc>
        <w:tc>
          <w:tcPr>
            <w:tcW w:w="3154" w:type="dxa"/>
            <w:vAlign w:val="center"/>
          </w:tcPr>
          <w:p>
            <w:pPr>
              <w:tabs>
                <w:tab w:val="left" w:pos="13965"/>
              </w:tabs>
              <w:spacing w:line="360" w:lineRule="auto"/>
              <w:ind w:right="-6"/>
              <w:jc w:val="center"/>
              <w:rPr>
                <w:rFonts w:ascii="宋体" w:hAnsi="Times New Roman" w:eastAsia="宋体" w:cs="Times New Roman"/>
                <w:b/>
                <w:sz w:val="15"/>
                <w:szCs w:val="15"/>
              </w:rPr>
            </w:pPr>
            <w:r>
              <w:rPr>
                <w:rFonts w:hint="eastAsia" w:ascii="宋体" w:hAnsi="宋体" w:eastAsia="宋体" w:cs="Times New Roman"/>
                <w:b/>
                <w:sz w:val="15"/>
                <w:szCs w:val="15"/>
              </w:rPr>
              <w:t>内</w:t>
            </w:r>
            <w:r>
              <w:rPr>
                <w:rFonts w:ascii="宋体" w:hAnsi="宋体" w:eastAsia="宋体" w:cs="Times New Roman"/>
                <w:b/>
                <w:sz w:val="15"/>
                <w:szCs w:val="15"/>
              </w:rPr>
              <w:t xml:space="preserve">   </w:t>
            </w:r>
            <w:r>
              <w:rPr>
                <w:rFonts w:hint="eastAsia" w:ascii="宋体" w:hAnsi="宋体" w:eastAsia="宋体" w:cs="Times New Roman"/>
                <w:b/>
                <w:sz w:val="15"/>
                <w:szCs w:val="15"/>
              </w:rPr>
              <w:t>容</w:t>
            </w:r>
          </w:p>
        </w:tc>
        <w:tc>
          <w:tcPr>
            <w:tcW w:w="646" w:type="dxa"/>
            <w:vAlign w:val="center"/>
          </w:tcPr>
          <w:p>
            <w:pPr>
              <w:tabs>
                <w:tab w:val="left" w:pos="13965"/>
              </w:tabs>
              <w:spacing w:line="360" w:lineRule="auto"/>
              <w:ind w:right="-6"/>
              <w:jc w:val="center"/>
              <w:rPr>
                <w:rFonts w:ascii="宋体" w:hAnsi="Times New Roman" w:eastAsia="宋体" w:cs="Times New Roman"/>
                <w:b/>
                <w:sz w:val="15"/>
                <w:szCs w:val="15"/>
              </w:rPr>
            </w:pPr>
            <w:r>
              <w:rPr>
                <w:rFonts w:hint="eastAsia" w:ascii="宋体" w:hAnsi="宋体" w:eastAsia="宋体" w:cs="Times New Roman"/>
                <w:b/>
                <w:sz w:val="15"/>
                <w:szCs w:val="15"/>
              </w:rPr>
              <w:t>标准分</w:t>
            </w:r>
          </w:p>
        </w:tc>
        <w:tc>
          <w:tcPr>
            <w:tcW w:w="8026" w:type="dxa"/>
            <w:vAlign w:val="center"/>
          </w:tcPr>
          <w:p>
            <w:pPr>
              <w:tabs>
                <w:tab w:val="left" w:pos="13965"/>
              </w:tabs>
              <w:spacing w:line="360" w:lineRule="auto"/>
              <w:ind w:right="-6"/>
              <w:jc w:val="center"/>
              <w:rPr>
                <w:rFonts w:ascii="宋体" w:hAnsi="Times New Roman" w:eastAsia="宋体" w:cs="Times New Roman"/>
                <w:b/>
                <w:sz w:val="15"/>
                <w:szCs w:val="15"/>
              </w:rPr>
            </w:pPr>
            <w:r>
              <w:rPr>
                <w:rFonts w:hint="eastAsia" w:ascii="宋体" w:hAnsi="宋体" w:eastAsia="宋体" w:cs="Times New Roman"/>
                <w:b/>
                <w:sz w:val="15"/>
                <w:szCs w:val="15"/>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635" w:type="dxa"/>
            <w:vMerge w:val="restart"/>
            <w:vAlign w:val="center"/>
          </w:tcPr>
          <w:p>
            <w:pPr>
              <w:tabs>
                <w:tab w:val="left" w:pos="13965"/>
              </w:tabs>
              <w:spacing w:line="360" w:lineRule="auto"/>
              <w:ind w:right="-6"/>
              <w:jc w:val="center"/>
              <w:rPr>
                <w:rFonts w:ascii="宋体" w:hAnsi="Times New Roman" w:eastAsia="宋体" w:cs="Times New Roman"/>
                <w:sz w:val="15"/>
                <w:szCs w:val="15"/>
              </w:rPr>
            </w:pPr>
            <w:r>
              <w:rPr>
                <w:rFonts w:hint="eastAsia" w:ascii="宋体" w:hAnsi="宋体" w:eastAsia="宋体" w:cs="Times New Roman"/>
                <w:sz w:val="15"/>
                <w:szCs w:val="15"/>
              </w:rPr>
              <w:t>技术</w:t>
            </w:r>
          </w:p>
          <w:p>
            <w:pPr>
              <w:tabs>
                <w:tab w:val="left" w:pos="13965"/>
              </w:tabs>
              <w:spacing w:line="360" w:lineRule="auto"/>
              <w:ind w:right="-6"/>
              <w:jc w:val="center"/>
              <w:rPr>
                <w:rFonts w:ascii="宋体" w:hAnsi="Times New Roman" w:eastAsia="宋体" w:cs="Times New Roman"/>
                <w:sz w:val="15"/>
                <w:szCs w:val="15"/>
              </w:rPr>
            </w:pPr>
            <w:r>
              <w:rPr>
                <w:rFonts w:hint="eastAsia" w:ascii="宋体" w:hAnsi="宋体" w:eastAsia="宋体" w:cs="Times New Roman"/>
                <w:sz w:val="15"/>
                <w:szCs w:val="15"/>
              </w:rPr>
              <w:t>5</w:t>
            </w:r>
            <w:r>
              <w:rPr>
                <w:rFonts w:ascii="宋体" w:hAnsi="宋体" w:eastAsia="宋体" w:cs="Times New Roman"/>
                <w:sz w:val="15"/>
                <w:szCs w:val="15"/>
              </w:rPr>
              <w:t>0</w:t>
            </w:r>
            <w:r>
              <w:rPr>
                <w:rFonts w:hint="eastAsia" w:ascii="宋体" w:hAnsi="宋体" w:eastAsia="宋体" w:cs="Times New Roman"/>
                <w:sz w:val="15"/>
                <w:szCs w:val="15"/>
              </w:rPr>
              <w:t>分</w:t>
            </w:r>
          </w:p>
        </w:tc>
        <w:tc>
          <w:tcPr>
            <w:tcW w:w="625" w:type="dxa"/>
            <w:vAlign w:val="center"/>
          </w:tcPr>
          <w:p>
            <w:pPr>
              <w:tabs>
                <w:tab w:val="left" w:pos="13965"/>
              </w:tabs>
              <w:spacing w:line="420" w:lineRule="exact"/>
              <w:jc w:val="center"/>
              <w:rPr>
                <w:rFonts w:ascii="宋体" w:hAnsi="宋体" w:eastAsia="宋体" w:cs="Times New Roman"/>
                <w:sz w:val="15"/>
                <w:szCs w:val="15"/>
              </w:rPr>
            </w:pPr>
            <w:r>
              <w:rPr>
                <w:rFonts w:hint="eastAsia" w:ascii="宋体" w:hAnsi="宋体" w:eastAsia="宋体" w:cs="Times New Roman"/>
                <w:sz w:val="15"/>
                <w:szCs w:val="15"/>
              </w:rPr>
              <w:t>业绩</w:t>
            </w:r>
          </w:p>
        </w:tc>
        <w:tc>
          <w:tcPr>
            <w:tcW w:w="625" w:type="dxa"/>
            <w:vAlign w:val="center"/>
          </w:tcPr>
          <w:p>
            <w:pPr>
              <w:tabs>
                <w:tab w:val="left" w:pos="13965"/>
              </w:tabs>
              <w:spacing w:line="420" w:lineRule="exact"/>
              <w:jc w:val="center"/>
              <w:rPr>
                <w:rFonts w:ascii="宋体" w:hAnsi="宋体" w:eastAsia="宋体" w:cs="Times New Roman"/>
                <w:sz w:val="15"/>
                <w:szCs w:val="15"/>
              </w:rPr>
            </w:pPr>
            <w:r>
              <w:rPr>
                <w:rFonts w:ascii="宋体" w:hAnsi="宋体" w:eastAsia="宋体" w:cs="Times New Roman"/>
                <w:sz w:val="15"/>
                <w:szCs w:val="15"/>
              </w:rPr>
              <w:t>1</w:t>
            </w:r>
          </w:p>
        </w:tc>
        <w:tc>
          <w:tcPr>
            <w:tcW w:w="3154" w:type="dxa"/>
            <w:vAlign w:val="center"/>
          </w:tcPr>
          <w:p>
            <w:pPr>
              <w:spacing w:line="420" w:lineRule="exact"/>
              <w:rPr>
                <w:rFonts w:ascii="宋体" w:hAnsi="Times New Roman" w:eastAsia="宋体" w:cs="Times New Roman"/>
                <w:sz w:val="15"/>
                <w:szCs w:val="15"/>
              </w:rPr>
            </w:pPr>
            <w:r>
              <w:rPr>
                <w:rFonts w:hint="eastAsia" w:ascii="宋体" w:hAnsi="宋体" w:eastAsia="宋体" w:cs="Times New Roman"/>
                <w:sz w:val="15"/>
                <w:szCs w:val="15"/>
              </w:rPr>
              <w:t>设备制造商同类型项目业绩</w:t>
            </w:r>
          </w:p>
        </w:tc>
        <w:tc>
          <w:tcPr>
            <w:tcW w:w="646" w:type="dxa"/>
            <w:vAlign w:val="center"/>
          </w:tcPr>
          <w:p>
            <w:pPr>
              <w:tabs>
                <w:tab w:val="left" w:pos="13965"/>
              </w:tabs>
              <w:spacing w:line="420" w:lineRule="exact"/>
              <w:jc w:val="center"/>
              <w:rPr>
                <w:rFonts w:ascii="宋体" w:hAnsi="宋体" w:eastAsia="宋体" w:cs="Times New Roman"/>
                <w:sz w:val="15"/>
                <w:szCs w:val="15"/>
              </w:rPr>
            </w:pPr>
            <w:r>
              <w:rPr>
                <w:rFonts w:hint="eastAsia" w:ascii="宋体" w:hAnsi="宋体" w:eastAsia="宋体" w:cs="Times New Roman"/>
                <w:sz w:val="15"/>
                <w:szCs w:val="15"/>
              </w:rPr>
              <w:t>3</w:t>
            </w:r>
          </w:p>
        </w:tc>
        <w:tc>
          <w:tcPr>
            <w:tcW w:w="8026" w:type="dxa"/>
            <w:vAlign w:val="center"/>
          </w:tcPr>
          <w:p>
            <w:pPr>
              <w:spacing w:line="420" w:lineRule="exact"/>
              <w:rPr>
                <w:sz w:val="15"/>
                <w:szCs w:val="15"/>
              </w:rPr>
            </w:pPr>
            <w:r>
              <w:rPr>
                <w:rFonts w:hint="eastAsia" w:ascii="宋体" w:hAnsi="宋体" w:eastAsia="宋体" w:cs="Times New Roman"/>
                <w:bCs/>
                <w:sz w:val="15"/>
                <w:szCs w:val="15"/>
              </w:rPr>
              <w:t>由评标委员会成员独立进行客观、公正的评价，按照优、良、一般进行赋分，优得3分，良得2分，一般得1分（时间以签订日期为准）。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Merge w:val="restart"/>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产品技术</w:t>
            </w:r>
          </w:p>
        </w:tc>
        <w:tc>
          <w:tcPr>
            <w:tcW w:w="625" w:type="dxa"/>
            <w:vAlign w:val="center"/>
          </w:tcPr>
          <w:p>
            <w:pPr>
              <w:spacing w:line="420" w:lineRule="exact"/>
              <w:jc w:val="center"/>
              <w:rPr>
                <w:rFonts w:ascii="宋体" w:hAnsi="宋体" w:eastAsia="宋体" w:cs="Times New Roman"/>
                <w:sz w:val="15"/>
                <w:szCs w:val="15"/>
              </w:rPr>
            </w:pPr>
            <w:r>
              <w:rPr>
                <w:rFonts w:ascii="宋体" w:hAnsi="宋体" w:eastAsia="宋体" w:cs="Times New Roman"/>
                <w:sz w:val="15"/>
                <w:szCs w:val="15"/>
              </w:rPr>
              <w:t>2</w:t>
            </w:r>
          </w:p>
        </w:tc>
        <w:tc>
          <w:tcPr>
            <w:tcW w:w="3154"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设备制造商装备制造能力、生产设备、加工工艺、完善程度</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3</w:t>
            </w:r>
          </w:p>
        </w:tc>
        <w:tc>
          <w:tcPr>
            <w:tcW w:w="8026" w:type="dxa"/>
            <w:vAlign w:val="center"/>
          </w:tcPr>
          <w:p>
            <w:pPr>
              <w:spacing w:line="420" w:lineRule="exact"/>
              <w:rPr>
                <w:rFonts w:ascii="宋体" w:hAnsi="Times New Roman" w:eastAsia="宋体" w:cs="Times New Roman"/>
                <w:sz w:val="15"/>
                <w:szCs w:val="15"/>
              </w:rPr>
            </w:pPr>
            <w:r>
              <w:rPr>
                <w:rFonts w:hint="eastAsia" w:ascii="宋体" w:hAnsi="宋体" w:eastAsia="宋体" w:cs="Times New Roman"/>
                <w:bCs/>
                <w:sz w:val="15"/>
                <w:szCs w:val="15"/>
              </w:rPr>
              <w:t>由评标委员会成员独立进行客观、公正的评价，按照优、良、一般进行赋分，优得3分，良得2分，一般得</w:t>
            </w:r>
            <w:r>
              <w:rPr>
                <w:rFonts w:hint="eastAsia" w:ascii="宋体" w:hAnsi="Times New Roman" w:eastAsia="宋体" w:cs="Times New Roman"/>
                <w:bCs/>
                <w:sz w:val="15"/>
                <w:szCs w:val="15"/>
              </w:rPr>
              <w:t>1</w:t>
            </w:r>
            <w:r>
              <w:rPr>
                <w:rFonts w:hint="eastAsia" w:ascii="宋体" w:hAnsi="宋体" w:eastAsia="宋体" w:cs="Times New Roman"/>
                <w:bCs/>
                <w:sz w:val="15"/>
                <w:szCs w:val="15"/>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Merge w:val="continue"/>
            <w:vAlign w:val="center"/>
          </w:tcPr>
          <w:p>
            <w:pPr>
              <w:spacing w:line="420" w:lineRule="exact"/>
              <w:jc w:val="center"/>
              <w:rPr>
                <w:rFonts w:ascii="宋体" w:hAnsi="宋体" w:eastAsia="宋体" w:cs="Times New Roman"/>
                <w:sz w:val="15"/>
                <w:szCs w:val="15"/>
              </w:rPr>
            </w:pPr>
          </w:p>
        </w:tc>
        <w:tc>
          <w:tcPr>
            <w:tcW w:w="625"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3</w:t>
            </w:r>
          </w:p>
        </w:tc>
        <w:tc>
          <w:tcPr>
            <w:tcW w:w="3154"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产品方案技术先进、各系统完善、性能可靠，设备主要核心部件，具备自身技术优势</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25</w:t>
            </w:r>
          </w:p>
        </w:tc>
        <w:tc>
          <w:tcPr>
            <w:tcW w:w="8026" w:type="dxa"/>
            <w:vAlign w:val="center"/>
          </w:tcPr>
          <w:p>
            <w:pPr>
              <w:tabs>
                <w:tab w:val="left" w:pos="742"/>
              </w:tabs>
              <w:spacing w:line="420" w:lineRule="exact"/>
              <w:rPr>
                <w:rFonts w:ascii="宋体" w:hAnsi="宋体" w:eastAsia="宋体" w:cs="Times New Roman"/>
                <w:sz w:val="15"/>
                <w:szCs w:val="15"/>
              </w:rPr>
            </w:pPr>
            <w:r>
              <w:rPr>
                <w:rFonts w:hint="eastAsia" w:ascii="宋体" w:hAnsi="宋体" w:eastAsia="宋体" w:cs="Times New Roman"/>
                <w:sz w:val="15"/>
                <w:szCs w:val="15"/>
              </w:rPr>
              <w:t>以下各项由评标委员会成员独立进行客观、公正的评价打分。</w:t>
            </w:r>
            <w:r>
              <w:rPr>
                <w:rFonts w:ascii="宋体" w:hAnsi="宋体" w:eastAsia="宋体" w:cs="Times New Roman"/>
                <w:sz w:val="15"/>
                <w:szCs w:val="15"/>
              </w:rPr>
              <w:t xml:space="preserve"> </w:t>
            </w:r>
          </w:p>
          <w:p>
            <w:pPr>
              <w:numPr>
                <w:ilvl w:val="255"/>
                <w:numId w:val="0"/>
              </w:numPr>
              <w:tabs>
                <w:tab w:val="left" w:pos="742"/>
              </w:tabs>
              <w:spacing w:line="420" w:lineRule="exact"/>
              <w:rPr>
                <w:rFonts w:ascii="宋体" w:hAnsi="Times New Roman" w:eastAsia="宋体" w:cs="Times New Roman"/>
                <w:sz w:val="15"/>
                <w:szCs w:val="15"/>
              </w:rPr>
            </w:pPr>
            <w:r>
              <w:rPr>
                <w:rFonts w:hint="eastAsia" w:ascii="宋体" w:hAnsi="宋体" w:eastAsia="宋体" w:cs="Times New Roman"/>
                <w:bCs/>
                <w:sz w:val="15"/>
                <w:szCs w:val="15"/>
              </w:rPr>
              <w:t>投标文件中设备技术参数满足招标要求，关键技术资料完整，打分</w:t>
            </w:r>
            <w:r>
              <w:rPr>
                <w:rFonts w:ascii="宋体" w:hAnsi="宋体" w:eastAsia="宋体" w:cs="Times New Roman"/>
                <w:bCs/>
                <w:sz w:val="15"/>
                <w:szCs w:val="15"/>
              </w:rPr>
              <w:t>0-</w:t>
            </w:r>
            <w:r>
              <w:rPr>
                <w:rFonts w:hint="eastAsia" w:ascii="宋体" w:hAnsi="宋体" w:eastAsia="宋体" w:cs="Times New Roman"/>
                <w:bCs/>
                <w:sz w:val="15"/>
                <w:szCs w:val="15"/>
              </w:rPr>
              <w:t>8分。投标文件中配置与试剂满足招标要求、无偏离，打分</w:t>
            </w:r>
            <w:r>
              <w:rPr>
                <w:rFonts w:ascii="宋体" w:hAnsi="宋体" w:eastAsia="宋体" w:cs="Times New Roman"/>
                <w:bCs/>
                <w:sz w:val="15"/>
                <w:szCs w:val="15"/>
              </w:rPr>
              <w:t>0-</w:t>
            </w:r>
            <w:r>
              <w:rPr>
                <w:rFonts w:hint="eastAsia" w:ascii="宋体" w:hAnsi="宋体" w:eastAsia="宋体" w:cs="Times New Roman"/>
                <w:bCs/>
                <w:sz w:val="15"/>
                <w:szCs w:val="15"/>
              </w:rPr>
              <w:t>8分</w:t>
            </w:r>
            <w:r>
              <w:rPr>
                <w:rFonts w:hint="eastAsia" w:ascii="宋体" w:hAnsi="宋体" w:eastAsia="宋体" w:cs="Times New Roman"/>
                <w:sz w:val="15"/>
                <w:szCs w:val="15"/>
              </w:rPr>
              <w:t>。硬件接口能完美匹配、软件系统兼容，</w:t>
            </w:r>
            <w:r>
              <w:rPr>
                <w:rFonts w:hint="eastAsia" w:ascii="宋体" w:hAnsi="宋体" w:eastAsia="宋体" w:cs="Times New Roman"/>
                <w:bCs/>
                <w:sz w:val="15"/>
                <w:szCs w:val="15"/>
              </w:rPr>
              <w:t>打分</w:t>
            </w:r>
            <w:r>
              <w:rPr>
                <w:rFonts w:ascii="宋体" w:hAnsi="宋体" w:eastAsia="宋体" w:cs="Times New Roman"/>
                <w:bCs/>
                <w:sz w:val="15"/>
                <w:szCs w:val="15"/>
              </w:rPr>
              <w:t>0-</w:t>
            </w:r>
            <w:r>
              <w:rPr>
                <w:rFonts w:hint="eastAsia" w:ascii="宋体" w:hAnsi="宋体" w:eastAsia="宋体" w:cs="Times New Roman"/>
                <w:bCs/>
                <w:sz w:val="15"/>
                <w:szCs w:val="15"/>
              </w:rPr>
              <w:t>5分</w:t>
            </w:r>
            <w:r>
              <w:rPr>
                <w:rFonts w:hint="eastAsia" w:ascii="宋体" w:hAnsi="宋体" w:eastAsia="宋体" w:cs="Times New Roman"/>
                <w:sz w:val="15"/>
                <w:szCs w:val="15"/>
              </w:rPr>
              <w:t>。综合评价，</w:t>
            </w:r>
            <w:r>
              <w:rPr>
                <w:rFonts w:hint="eastAsia" w:ascii="宋体" w:hAnsi="宋体" w:eastAsia="宋体" w:cs="Times New Roman"/>
                <w:bCs/>
                <w:sz w:val="15"/>
                <w:szCs w:val="15"/>
              </w:rPr>
              <w:t>打分</w:t>
            </w:r>
            <w:r>
              <w:rPr>
                <w:rFonts w:ascii="宋体" w:hAnsi="宋体" w:eastAsia="宋体" w:cs="Times New Roman"/>
                <w:bCs/>
                <w:sz w:val="15"/>
                <w:szCs w:val="15"/>
              </w:rPr>
              <w:t>0-</w:t>
            </w:r>
            <w:r>
              <w:rPr>
                <w:rFonts w:hint="eastAsia" w:ascii="宋体" w:hAnsi="宋体" w:eastAsia="宋体" w:cs="Times New Roman"/>
                <w:bCs/>
                <w:sz w:val="15"/>
                <w:szCs w:val="15"/>
              </w:rPr>
              <w:t>4分</w:t>
            </w:r>
            <w:r>
              <w:rPr>
                <w:rFonts w:hint="eastAsia" w:ascii="宋体" w:hAnsi="宋体" w:eastAsia="宋体" w:cs="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答疑</w:t>
            </w:r>
          </w:p>
        </w:tc>
        <w:tc>
          <w:tcPr>
            <w:tcW w:w="625"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4</w:t>
            </w:r>
          </w:p>
        </w:tc>
        <w:tc>
          <w:tcPr>
            <w:tcW w:w="3154"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现场答疑</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4</w:t>
            </w:r>
          </w:p>
        </w:tc>
        <w:tc>
          <w:tcPr>
            <w:tcW w:w="8026"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sz w:val="15"/>
                <w:szCs w:val="15"/>
              </w:rPr>
              <w:t>投标人代表对方案、技术优势的讲解，以及就该项目难点回答评标专家现场提问，打分0-4分。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技术偏离</w:t>
            </w:r>
          </w:p>
        </w:tc>
        <w:tc>
          <w:tcPr>
            <w:tcW w:w="625" w:type="dxa"/>
            <w:vAlign w:val="center"/>
          </w:tcPr>
          <w:p>
            <w:pPr>
              <w:spacing w:line="420" w:lineRule="exact"/>
              <w:jc w:val="center"/>
              <w:rPr>
                <w:rFonts w:ascii="宋体" w:hAnsi="宋体" w:eastAsia="宋体" w:cs="Times New Roman"/>
                <w:sz w:val="15"/>
                <w:szCs w:val="15"/>
              </w:rPr>
            </w:pPr>
            <w:r>
              <w:rPr>
                <w:rFonts w:ascii="宋体" w:hAnsi="宋体" w:eastAsia="宋体" w:cs="Times New Roman"/>
                <w:sz w:val="15"/>
                <w:szCs w:val="15"/>
              </w:rPr>
              <w:t>5</w:t>
            </w:r>
          </w:p>
        </w:tc>
        <w:tc>
          <w:tcPr>
            <w:tcW w:w="3154" w:type="dxa"/>
            <w:vAlign w:val="center"/>
          </w:tcPr>
          <w:p>
            <w:pPr>
              <w:spacing w:line="420" w:lineRule="exact"/>
              <w:rPr>
                <w:rFonts w:ascii="宋体" w:hAnsi="Times New Roman" w:eastAsia="宋体" w:cs="Times New Roman"/>
                <w:sz w:val="15"/>
                <w:szCs w:val="15"/>
              </w:rPr>
            </w:pPr>
            <w:r>
              <w:rPr>
                <w:rFonts w:hint="eastAsia" w:ascii="宋体" w:hAnsi="宋体" w:eastAsia="宋体" w:cs="Times New Roman"/>
                <w:bCs/>
                <w:sz w:val="15"/>
                <w:szCs w:val="15"/>
              </w:rPr>
              <w:t>技术偏离</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6</w:t>
            </w:r>
          </w:p>
        </w:tc>
        <w:tc>
          <w:tcPr>
            <w:tcW w:w="8026" w:type="dxa"/>
            <w:vAlign w:val="center"/>
          </w:tcPr>
          <w:p>
            <w:pPr>
              <w:spacing w:line="420" w:lineRule="exact"/>
              <w:jc w:val="left"/>
              <w:rPr>
                <w:rFonts w:ascii="宋体" w:hAnsi="Times New Roman" w:eastAsia="宋体" w:cs="Times New Roman"/>
                <w:bCs/>
                <w:sz w:val="15"/>
                <w:szCs w:val="15"/>
              </w:rPr>
            </w:pPr>
            <w:r>
              <w:rPr>
                <w:rFonts w:hint="eastAsia" w:ascii="宋体" w:hAnsi="宋体" w:eastAsia="宋体" w:cs="Times New Roman"/>
                <w:bCs/>
                <w:sz w:val="15"/>
                <w:szCs w:val="15"/>
              </w:rPr>
              <w:t>由评标委员会成员独立进行客观、公正的评价，根据各投标单位的核心产品的配置参数、技术偏离情况，在满足我司技术基本要求的前提下偏离，无偏离得满分6分，较大偏离每一项扣</w:t>
            </w:r>
            <w:r>
              <w:rPr>
                <w:rFonts w:ascii="宋体" w:hAnsi="宋体" w:eastAsia="宋体" w:cs="Times New Roman"/>
                <w:bCs/>
                <w:sz w:val="15"/>
                <w:szCs w:val="15"/>
              </w:rPr>
              <w:t>2</w:t>
            </w:r>
            <w:r>
              <w:rPr>
                <w:rFonts w:hint="eastAsia" w:ascii="宋体" w:hAnsi="宋体" w:eastAsia="宋体" w:cs="Times New Roman"/>
                <w:bCs/>
                <w:sz w:val="15"/>
                <w:szCs w:val="15"/>
              </w:rPr>
              <w:t>分，一般偏离每一项扣</w:t>
            </w:r>
            <w:r>
              <w:rPr>
                <w:rFonts w:ascii="宋体" w:hAnsi="宋体" w:eastAsia="宋体" w:cs="Times New Roman"/>
                <w:bCs/>
                <w:sz w:val="15"/>
                <w:szCs w:val="15"/>
              </w:rPr>
              <w:t>1</w:t>
            </w:r>
            <w:r>
              <w:rPr>
                <w:rFonts w:hint="eastAsia" w:ascii="宋体" w:hAnsi="宋体" w:eastAsia="宋体" w:cs="Times New Roman"/>
                <w:bCs/>
                <w:sz w:val="15"/>
                <w:szCs w:val="15"/>
              </w:rPr>
              <w:t>分，最低</w:t>
            </w:r>
            <w:r>
              <w:rPr>
                <w:rFonts w:ascii="宋体" w:hAnsi="Times New Roman" w:eastAsia="宋体" w:cs="Times New Roman"/>
                <w:bCs/>
                <w:sz w:val="15"/>
                <w:szCs w:val="15"/>
              </w:rPr>
              <w:t>0</w:t>
            </w:r>
            <w:r>
              <w:rPr>
                <w:rFonts w:hint="eastAsia" w:ascii="宋体" w:hAnsi="宋体" w:eastAsia="宋体" w:cs="Times New Roman"/>
                <w:bCs/>
                <w:sz w:val="15"/>
                <w:szCs w:val="15"/>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Merge w:val="restart"/>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售后服务</w:t>
            </w:r>
          </w:p>
        </w:tc>
        <w:tc>
          <w:tcPr>
            <w:tcW w:w="625" w:type="dxa"/>
            <w:vAlign w:val="center"/>
          </w:tcPr>
          <w:p>
            <w:pPr>
              <w:spacing w:line="420" w:lineRule="exact"/>
              <w:jc w:val="center"/>
              <w:rPr>
                <w:rFonts w:ascii="宋体" w:hAnsi="宋体" w:eastAsia="宋体" w:cs="Times New Roman"/>
                <w:sz w:val="15"/>
                <w:szCs w:val="15"/>
              </w:rPr>
            </w:pPr>
            <w:r>
              <w:rPr>
                <w:rFonts w:ascii="宋体" w:hAnsi="宋体" w:eastAsia="宋体" w:cs="Times New Roman"/>
                <w:sz w:val="15"/>
                <w:szCs w:val="15"/>
              </w:rPr>
              <w:t>6</w:t>
            </w:r>
          </w:p>
        </w:tc>
        <w:tc>
          <w:tcPr>
            <w:tcW w:w="3154" w:type="dxa"/>
            <w:vAlign w:val="center"/>
          </w:tcPr>
          <w:p>
            <w:pPr>
              <w:spacing w:line="420" w:lineRule="exact"/>
              <w:rPr>
                <w:rFonts w:ascii="宋体" w:hAnsi="Times New Roman" w:eastAsia="宋体" w:cs="Times New Roman"/>
                <w:sz w:val="15"/>
                <w:szCs w:val="15"/>
              </w:rPr>
            </w:pPr>
            <w:r>
              <w:rPr>
                <w:rFonts w:hint="eastAsia" w:ascii="宋体" w:hAnsi="宋体" w:eastAsia="宋体" w:cs="Times New Roman"/>
                <w:sz w:val="15"/>
                <w:szCs w:val="15"/>
              </w:rPr>
              <w:t>技术培训方案：对采购方人员的技术培训方案安排科学、合理、可行</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3</w:t>
            </w:r>
          </w:p>
        </w:tc>
        <w:tc>
          <w:tcPr>
            <w:tcW w:w="8026"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Merge w:val="continue"/>
            <w:vAlign w:val="center"/>
          </w:tcPr>
          <w:p>
            <w:pPr>
              <w:spacing w:line="420" w:lineRule="exact"/>
              <w:jc w:val="center"/>
              <w:rPr>
                <w:rFonts w:ascii="宋体" w:hAnsi="宋体" w:eastAsia="宋体" w:cs="Times New Roman"/>
                <w:sz w:val="15"/>
                <w:szCs w:val="15"/>
              </w:rPr>
            </w:pPr>
          </w:p>
        </w:tc>
        <w:tc>
          <w:tcPr>
            <w:tcW w:w="625" w:type="dxa"/>
            <w:vAlign w:val="center"/>
          </w:tcPr>
          <w:p>
            <w:pPr>
              <w:spacing w:line="420" w:lineRule="exact"/>
              <w:jc w:val="center"/>
              <w:rPr>
                <w:rFonts w:ascii="宋体" w:hAnsi="宋体" w:eastAsia="宋体" w:cs="Times New Roman"/>
                <w:sz w:val="15"/>
                <w:szCs w:val="15"/>
              </w:rPr>
            </w:pPr>
            <w:r>
              <w:rPr>
                <w:rFonts w:ascii="宋体" w:hAnsi="宋体" w:eastAsia="宋体" w:cs="Times New Roman"/>
                <w:sz w:val="15"/>
                <w:szCs w:val="15"/>
              </w:rPr>
              <w:t>7</w:t>
            </w:r>
          </w:p>
        </w:tc>
        <w:tc>
          <w:tcPr>
            <w:tcW w:w="3154" w:type="dxa"/>
            <w:shd w:val="clear" w:color="auto" w:fill="auto"/>
            <w:vAlign w:val="center"/>
          </w:tcPr>
          <w:p>
            <w:pPr>
              <w:spacing w:line="420" w:lineRule="exact"/>
              <w:rPr>
                <w:rFonts w:ascii="宋体" w:hAnsi="Times New Roman" w:eastAsia="宋体" w:cs="Times New Roman"/>
                <w:sz w:val="15"/>
                <w:szCs w:val="15"/>
              </w:rPr>
            </w:pPr>
            <w:r>
              <w:rPr>
                <w:rFonts w:hint="eastAsia" w:ascii="宋体" w:hAnsi="宋体" w:eastAsia="宋体" w:cs="Times New Roman"/>
                <w:bCs/>
                <w:sz w:val="15"/>
                <w:szCs w:val="15"/>
              </w:rPr>
              <w:t>投标人在中国有常驻的专业技术力量的维保机构并具有实施本项目维保的专业技术人员</w:t>
            </w:r>
          </w:p>
        </w:tc>
        <w:tc>
          <w:tcPr>
            <w:tcW w:w="646" w:type="dxa"/>
            <w:shd w:val="clear" w:color="auto" w:fill="auto"/>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bCs/>
                <w:sz w:val="15"/>
                <w:szCs w:val="15"/>
              </w:rPr>
              <w:t>3</w:t>
            </w:r>
          </w:p>
        </w:tc>
        <w:tc>
          <w:tcPr>
            <w:tcW w:w="8026" w:type="dxa"/>
            <w:shd w:val="clear" w:color="auto" w:fill="auto"/>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35" w:type="dxa"/>
            <w:vMerge w:val="continue"/>
            <w:vAlign w:val="center"/>
          </w:tcPr>
          <w:p>
            <w:pPr>
              <w:spacing w:line="360" w:lineRule="auto"/>
              <w:jc w:val="center"/>
              <w:rPr>
                <w:rFonts w:ascii="宋体" w:hAnsi="Times New Roman" w:eastAsia="宋体" w:cs="Times New Roman"/>
                <w:sz w:val="15"/>
                <w:szCs w:val="15"/>
              </w:rPr>
            </w:pPr>
          </w:p>
        </w:tc>
        <w:tc>
          <w:tcPr>
            <w:tcW w:w="625" w:type="dxa"/>
            <w:vMerge w:val="continue"/>
            <w:vAlign w:val="center"/>
          </w:tcPr>
          <w:p>
            <w:pPr>
              <w:spacing w:line="420" w:lineRule="exact"/>
              <w:jc w:val="center"/>
              <w:rPr>
                <w:rFonts w:ascii="宋体" w:hAnsi="宋体" w:eastAsia="宋体" w:cs="Times New Roman"/>
                <w:sz w:val="15"/>
                <w:szCs w:val="15"/>
              </w:rPr>
            </w:pPr>
          </w:p>
        </w:tc>
        <w:tc>
          <w:tcPr>
            <w:tcW w:w="625" w:type="dxa"/>
            <w:vAlign w:val="center"/>
          </w:tcPr>
          <w:p>
            <w:pPr>
              <w:spacing w:line="420" w:lineRule="exact"/>
              <w:jc w:val="center"/>
              <w:rPr>
                <w:rFonts w:ascii="宋体" w:hAnsi="宋体" w:eastAsia="宋体" w:cs="Times New Roman"/>
                <w:sz w:val="15"/>
                <w:szCs w:val="15"/>
              </w:rPr>
            </w:pPr>
            <w:r>
              <w:rPr>
                <w:rFonts w:ascii="宋体" w:hAnsi="宋体" w:eastAsia="宋体" w:cs="Times New Roman"/>
                <w:sz w:val="15"/>
                <w:szCs w:val="15"/>
              </w:rPr>
              <w:t>8</w:t>
            </w:r>
          </w:p>
        </w:tc>
        <w:tc>
          <w:tcPr>
            <w:tcW w:w="3154" w:type="dxa"/>
            <w:vAlign w:val="center"/>
          </w:tcPr>
          <w:p>
            <w:pPr>
              <w:spacing w:line="420" w:lineRule="exact"/>
              <w:rPr>
                <w:rFonts w:ascii="宋体" w:hAnsi="Times New Roman" w:eastAsia="宋体" w:cs="Times New Roman"/>
                <w:sz w:val="15"/>
                <w:szCs w:val="15"/>
              </w:rPr>
            </w:pPr>
            <w:r>
              <w:rPr>
                <w:rFonts w:hint="eastAsia" w:ascii="宋体" w:hAnsi="宋体" w:eastAsia="宋体" w:cs="Times New Roman"/>
                <w:sz w:val="15"/>
                <w:szCs w:val="15"/>
              </w:rPr>
              <w:t>售后服务及时周到，有相应的服务承诺和具体的保证措施</w:t>
            </w:r>
          </w:p>
        </w:tc>
        <w:tc>
          <w:tcPr>
            <w:tcW w:w="646" w:type="dxa"/>
            <w:vAlign w:val="center"/>
          </w:tcPr>
          <w:p>
            <w:pPr>
              <w:spacing w:line="420" w:lineRule="exact"/>
              <w:jc w:val="center"/>
              <w:rPr>
                <w:rFonts w:ascii="宋体" w:hAnsi="宋体" w:eastAsia="宋体" w:cs="Times New Roman"/>
                <w:sz w:val="15"/>
                <w:szCs w:val="15"/>
              </w:rPr>
            </w:pPr>
            <w:r>
              <w:rPr>
                <w:rFonts w:hint="eastAsia" w:ascii="宋体" w:hAnsi="宋体" w:eastAsia="宋体" w:cs="Times New Roman"/>
                <w:sz w:val="15"/>
                <w:szCs w:val="15"/>
              </w:rPr>
              <w:t>3</w:t>
            </w:r>
          </w:p>
        </w:tc>
        <w:tc>
          <w:tcPr>
            <w:tcW w:w="8026" w:type="dxa"/>
            <w:vAlign w:val="center"/>
          </w:tcPr>
          <w:p>
            <w:pPr>
              <w:spacing w:line="420" w:lineRule="exact"/>
              <w:rPr>
                <w:rFonts w:ascii="宋体" w:hAnsi="Times New Roman" w:eastAsia="宋体" w:cs="Times New Roman"/>
                <w:bCs/>
                <w:sz w:val="15"/>
                <w:szCs w:val="15"/>
              </w:rPr>
            </w:pPr>
            <w:r>
              <w:rPr>
                <w:rFonts w:hint="eastAsia" w:ascii="宋体" w:hAnsi="宋体" w:eastAsia="宋体" w:cs="Times New Roman"/>
                <w:bCs/>
                <w:sz w:val="15"/>
                <w:szCs w:val="15"/>
              </w:rPr>
              <w:t>由评标委员会成员独立进行客观、公正的评价，按照优、良、一般进行赋分，优得3分，良得2分，一般得1分。</w:t>
            </w:r>
          </w:p>
        </w:tc>
      </w:tr>
    </w:tbl>
    <w:p>
      <w:pPr>
        <w:pStyle w:val="2"/>
        <w:rPr>
          <w:rFonts w:hAnsi="宋体" w:eastAsia="宋体" w:cs="Times New Roman"/>
          <w:b/>
          <w:color w:val="000000"/>
          <w:sz w:val="24"/>
          <w:szCs w:val="24"/>
        </w:rPr>
      </w:pPr>
    </w:p>
    <w:p>
      <w:pPr>
        <w:pStyle w:val="4"/>
        <w:sectPr>
          <w:headerReference r:id="rId31" w:type="first"/>
          <w:footerReference r:id="rId33" w:type="first"/>
          <w:headerReference r:id="rId30" w:type="default"/>
          <w:footerReference r:id="rId32" w:type="default"/>
          <w:pgSz w:w="16838" w:h="11906" w:orient="landscape"/>
          <w:pgMar w:top="1418" w:right="1588" w:bottom="1418" w:left="1134" w:header="851" w:footer="992" w:gutter="0"/>
          <w:cols w:space="720" w:num="1"/>
          <w:titlePg/>
          <w:docGrid w:type="lines" w:linePitch="312" w:charSpace="0"/>
        </w:sectPr>
      </w:pPr>
    </w:p>
    <w:p>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方正舒体"/>
    <w:panose1 w:val="00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num w:numId="1">
    <w:abstractNumId w:val="7"/>
  </w:num>
  <w:num w:numId="2">
    <w:abstractNumId w:val="0"/>
  </w:num>
  <w:num w:numId="3">
    <w:abstractNumId w:val="1"/>
  </w:num>
  <w:num w:numId="4">
    <w:abstractNumId w:val="4"/>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YzZkOThlYjgxNjNkNzhhZTU0MGFlZDdkNzA5NmMifQ=="/>
  </w:docVars>
  <w:rsids>
    <w:rsidRoot w:val="0056018A"/>
    <w:rsid w:val="000139F5"/>
    <w:rsid w:val="00022B06"/>
    <w:rsid w:val="00036836"/>
    <w:rsid w:val="0005777A"/>
    <w:rsid w:val="00065382"/>
    <w:rsid w:val="00080223"/>
    <w:rsid w:val="000A5309"/>
    <w:rsid w:val="000D6A51"/>
    <w:rsid w:val="000F45A3"/>
    <w:rsid w:val="001439C1"/>
    <w:rsid w:val="001A2968"/>
    <w:rsid w:val="001C1EE3"/>
    <w:rsid w:val="001C713C"/>
    <w:rsid w:val="001D75B9"/>
    <w:rsid w:val="00200F05"/>
    <w:rsid w:val="00220056"/>
    <w:rsid w:val="00237727"/>
    <w:rsid w:val="002626ED"/>
    <w:rsid w:val="00265A40"/>
    <w:rsid w:val="00282FDE"/>
    <w:rsid w:val="0029130A"/>
    <w:rsid w:val="003A3386"/>
    <w:rsid w:val="003A4540"/>
    <w:rsid w:val="003B39B2"/>
    <w:rsid w:val="003B4D7D"/>
    <w:rsid w:val="003E0AB3"/>
    <w:rsid w:val="00401C42"/>
    <w:rsid w:val="004076DE"/>
    <w:rsid w:val="00460AFB"/>
    <w:rsid w:val="00470130"/>
    <w:rsid w:val="00483B0A"/>
    <w:rsid w:val="004A7DDF"/>
    <w:rsid w:val="004B5126"/>
    <w:rsid w:val="004C556B"/>
    <w:rsid w:val="004F7838"/>
    <w:rsid w:val="00503391"/>
    <w:rsid w:val="00552960"/>
    <w:rsid w:val="0056018A"/>
    <w:rsid w:val="00567344"/>
    <w:rsid w:val="005829DC"/>
    <w:rsid w:val="00595D06"/>
    <w:rsid w:val="005C0B4E"/>
    <w:rsid w:val="005C421F"/>
    <w:rsid w:val="005F16F0"/>
    <w:rsid w:val="005F4F10"/>
    <w:rsid w:val="00610058"/>
    <w:rsid w:val="0065185D"/>
    <w:rsid w:val="00680629"/>
    <w:rsid w:val="00686C52"/>
    <w:rsid w:val="006F1414"/>
    <w:rsid w:val="007432BF"/>
    <w:rsid w:val="007525BF"/>
    <w:rsid w:val="007800DC"/>
    <w:rsid w:val="007838AA"/>
    <w:rsid w:val="00783D5E"/>
    <w:rsid w:val="00785FD6"/>
    <w:rsid w:val="007A533D"/>
    <w:rsid w:val="007B212D"/>
    <w:rsid w:val="007D0261"/>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C072E"/>
    <w:rsid w:val="00AE6633"/>
    <w:rsid w:val="00B01FF1"/>
    <w:rsid w:val="00B167CC"/>
    <w:rsid w:val="00B177F0"/>
    <w:rsid w:val="00B52F39"/>
    <w:rsid w:val="00B6248A"/>
    <w:rsid w:val="00B72516"/>
    <w:rsid w:val="00B92C97"/>
    <w:rsid w:val="00BA3C70"/>
    <w:rsid w:val="00BB4E42"/>
    <w:rsid w:val="00BD533C"/>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21A30"/>
    <w:rsid w:val="00E34C35"/>
    <w:rsid w:val="00E650A8"/>
    <w:rsid w:val="00E878B4"/>
    <w:rsid w:val="00EB3D00"/>
    <w:rsid w:val="00F71720"/>
    <w:rsid w:val="00FE040F"/>
    <w:rsid w:val="00FE42B3"/>
    <w:rsid w:val="012D2227"/>
    <w:rsid w:val="014832F2"/>
    <w:rsid w:val="014D51C1"/>
    <w:rsid w:val="01C43A72"/>
    <w:rsid w:val="01C52478"/>
    <w:rsid w:val="0240504A"/>
    <w:rsid w:val="027408EE"/>
    <w:rsid w:val="02963F39"/>
    <w:rsid w:val="02BA7274"/>
    <w:rsid w:val="03251978"/>
    <w:rsid w:val="0325718A"/>
    <w:rsid w:val="03545DBF"/>
    <w:rsid w:val="03BA08C7"/>
    <w:rsid w:val="042921B6"/>
    <w:rsid w:val="04AD02B8"/>
    <w:rsid w:val="04DF17D4"/>
    <w:rsid w:val="05412745"/>
    <w:rsid w:val="05491761"/>
    <w:rsid w:val="05A351AD"/>
    <w:rsid w:val="05AA653C"/>
    <w:rsid w:val="05F9748A"/>
    <w:rsid w:val="061413F1"/>
    <w:rsid w:val="0624009C"/>
    <w:rsid w:val="06266F78"/>
    <w:rsid w:val="063E7B7A"/>
    <w:rsid w:val="06582413"/>
    <w:rsid w:val="067E33B8"/>
    <w:rsid w:val="06D118A6"/>
    <w:rsid w:val="06E82FCB"/>
    <w:rsid w:val="06F34B95"/>
    <w:rsid w:val="07106873"/>
    <w:rsid w:val="07571DAC"/>
    <w:rsid w:val="07BE7CD4"/>
    <w:rsid w:val="08E64121"/>
    <w:rsid w:val="0942017F"/>
    <w:rsid w:val="09A3345C"/>
    <w:rsid w:val="09BA1FBB"/>
    <w:rsid w:val="09C120A6"/>
    <w:rsid w:val="09CB139F"/>
    <w:rsid w:val="09F07AF1"/>
    <w:rsid w:val="0A0106F5"/>
    <w:rsid w:val="0A112AB7"/>
    <w:rsid w:val="0AD71BC7"/>
    <w:rsid w:val="0AF420EB"/>
    <w:rsid w:val="0B2B2BF5"/>
    <w:rsid w:val="0B2F3908"/>
    <w:rsid w:val="0B3F6206"/>
    <w:rsid w:val="0BE12DB6"/>
    <w:rsid w:val="0C365707"/>
    <w:rsid w:val="0C626CE4"/>
    <w:rsid w:val="0D0C2B7B"/>
    <w:rsid w:val="0D9308F8"/>
    <w:rsid w:val="0E1A1D85"/>
    <w:rsid w:val="0E5432D4"/>
    <w:rsid w:val="0E750568"/>
    <w:rsid w:val="0E8E053E"/>
    <w:rsid w:val="0F2D7A80"/>
    <w:rsid w:val="0F4277E5"/>
    <w:rsid w:val="0F663BF7"/>
    <w:rsid w:val="0FA75561"/>
    <w:rsid w:val="0FB83603"/>
    <w:rsid w:val="0FCA77F1"/>
    <w:rsid w:val="10270545"/>
    <w:rsid w:val="103539E9"/>
    <w:rsid w:val="108A1D4B"/>
    <w:rsid w:val="1099001F"/>
    <w:rsid w:val="10A10111"/>
    <w:rsid w:val="10BE093E"/>
    <w:rsid w:val="111B0FE9"/>
    <w:rsid w:val="115F67A8"/>
    <w:rsid w:val="116D5C58"/>
    <w:rsid w:val="119A7465"/>
    <w:rsid w:val="11C07DA5"/>
    <w:rsid w:val="11F76665"/>
    <w:rsid w:val="12491386"/>
    <w:rsid w:val="129F2533"/>
    <w:rsid w:val="12BE53D5"/>
    <w:rsid w:val="12E60579"/>
    <w:rsid w:val="13695B36"/>
    <w:rsid w:val="1372609F"/>
    <w:rsid w:val="13BA3B64"/>
    <w:rsid w:val="145A6A37"/>
    <w:rsid w:val="1467440F"/>
    <w:rsid w:val="147831AA"/>
    <w:rsid w:val="148461AA"/>
    <w:rsid w:val="15433A9B"/>
    <w:rsid w:val="15A71F89"/>
    <w:rsid w:val="15FC2F04"/>
    <w:rsid w:val="16181FAC"/>
    <w:rsid w:val="16750AB1"/>
    <w:rsid w:val="168756A0"/>
    <w:rsid w:val="16D276A1"/>
    <w:rsid w:val="16F94849"/>
    <w:rsid w:val="17045E51"/>
    <w:rsid w:val="172011D4"/>
    <w:rsid w:val="17252C3B"/>
    <w:rsid w:val="173F0A2E"/>
    <w:rsid w:val="17770BC2"/>
    <w:rsid w:val="17A119AA"/>
    <w:rsid w:val="17F43647"/>
    <w:rsid w:val="18480522"/>
    <w:rsid w:val="18586F2B"/>
    <w:rsid w:val="18FF4051"/>
    <w:rsid w:val="194D1260"/>
    <w:rsid w:val="19A766B9"/>
    <w:rsid w:val="19C57049"/>
    <w:rsid w:val="19CE76BA"/>
    <w:rsid w:val="19F26070"/>
    <w:rsid w:val="19FF46E1"/>
    <w:rsid w:val="1A1523CE"/>
    <w:rsid w:val="1A6500FE"/>
    <w:rsid w:val="1AA730BD"/>
    <w:rsid w:val="1B264783"/>
    <w:rsid w:val="1B333D5D"/>
    <w:rsid w:val="1B587618"/>
    <w:rsid w:val="1B5F19C7"/>
    <w:rsid w:val="1BB17D1D"/>
    <w:rsid w:val="1C1C709B"/>
    <w:rsid w:val="1D5C514E"/>
    <w:rsid w:val="1D865D14"/>
    <w:rsid w:val="1D8705EC"/>
    <w:rsid w:val="1E01086B"/>
    <w:rsid w:val="1E43150B"/>
    <w:rsid w:val="1EA93E80"/>
    <w:rsid w:val="1ED33FB6"/>
    <w:rsid w:val="1EE81332"/>
    <w:rsid w:val="1F2B3DF2"/>
    <w:rsid w:val="1F32415A"/>
    <w:rsid w:val="1F4719E1"/>
    <w:rsid w:val="1F6F7ECE"/>
    <w:rsid w:val="1FC55BA1"/>
    <w:rsid w:val="1FDF698A"/>
    <w:rsid w:val="20107567"/>
    <w:rsid w:val="20AB56C6"/>
    <w:rsid w:val="21104A68"/>
    <w:rsid w:val="21167382"/>
    <w:rsid w:val="21602B55"/>
    <w:rsid w:val="2176507C"/>
    <w:rsid w:val="217F0425"/>
    <w:rsid w:val="21BE35AF"/>
    <w:rsid w:val="21C11174"/>
    <w:rsid w:val="22244B28"/>
    <w:rsid w:val="22467FD4"/>
    <w:rsid w:val="227448C1"/>
    <w:rsid w:val="229451FD"/>
    <w:rsid w:val="22A12DB6"/>
    <w:rsid w:val="22BC5EBB"/>
    <w:rsid w:val="23C962E8"/>
    <w:rsid w:val="247E4FED"/>
    <w:rsid w:val="24B30BE8"/>
    <w:rsid w:val="24E34060"/>
    <w:rsid w:val="2513335E"/>
    <w:rsid w:val="253A0491"/>
    <w:rsid w:val="25E036B2"/>
    <w:rsid w:val="25E9082A"/>
    <w:rsid w:val="25F42473"/>
    <w:rsid w:val="2652070C"/>
    <w:rsid w:val="26AF2D79"/>
    <w:rsid w:val="26B34B91"/>
    <w:rsid w:val="270D66E8"/>
    <w:rsid w:val="278B0DAB"/>
    <w:rsid w:val="27A64735"/>
    <w:rsid w:val="27CC4DF2"/>
    <w:rsid w:val="27ED433A"/>
    <w:rsid w:val="281864F2"/>
    <w:rsid w:val="286903EF"/>
    <w:rsid w:val="287F5DD3"/>
    <w:rsid w:val="288047CB"/>
    <w:rsid w:val="289E62FA"/>
    <w:rsid w:val="2916410F"/>
    <w:rsid w:val="291E2CA6"/>
    <w:rsid w:val="29331862"/>
    <w:rsid w:val="295245B5"/>
    <w:rsid w:val="29763DAA"/>
    <w:rsid w:val="299E147F"/>
    <w:rsid w:val="29CF26DC"/>
    <w:rsid w:val="29E51041"/>
    <w:rsid w:val="2A1C5DA0"/>
    <w:rsid w:val="2A200D39"/>
    <w:rsid w:val="2A507EFF"/>
    <w:rsid w:val="2A881101"/>
    <w:rsid w:val="2ABF3E12"/>
    <w:rsid w:val="2ADC05A4"/>
    <w:rsid w:val="2B6F0D7F"/>
    <w:rsid w:val="2B8716BD"/>
    <w:rsid w:val="2B8B356D"/>
    <w:rsid w:val="2D025012"/>
    <w:rsid w:val="2D0D0FDB"/>
    <w:rsid w:val="2D265BF9"/>
    <w:rsid w:val="2D4178F0"/>
    <w:rsid w:val="2DAE631A"/>
    <w:rsid w:val="2DD877E0"/>
    <w:rsid w:val="2DE616C9"/>
    <w:rsid w:val="2DFC2451"/>
    <w:rsid w:val="2E6E566D"/>
    <w:rsid w:val="2E7F188E"/>
    <w:rsid w:val="2E8B1366"/>
    <w:rsid w:val="2EB711FE"/>
    <w:rsid w:val="2EBC0905"/>
    <w:rsid w:val="2EC73739"/>
    <w:rsid w:val="2F5C684F"/>
    <w:rsid w:val="2F6B3D97"/>
    <w:rsid w:val="307776D1"/>
    <w:rsid w:val="30862574"/>
    <w:rsid w:val="30B631E1"/>
    <w:rsid w:val="311933AA"/>
    <w:rsid w:val="317D15BB"/>
    <w:rsid w:val="31D07E6C"/>
    <w:rsid w:val="323F65DA"/>
    <w:rsid w:val="32412074"/>
    <w:rsid w:val="32BB5035"/>
    <w:rsid w:val="32DE0199"/>
    <w:rsid w:val="335B2774"/>
    <w:rsid w:val="33A4642E"/>
    <w:rsid w:val="33D4039C"/>
    <w:rsid w:val="33D47E05"/>
    <w:rsid w:val="3413677D"/>
    <w:rsid w:val="342B544B"/>
    <w:rsid w:val="349A7C69"/>
    <w:rsid w:val="34C06413"/>
    <w:rsid w:val="34DE1E4F"/>
    <w:rsid w:val="34F07DB1"/>
    <w:rsid w:val="35B2048C"/>
    <w:rsid w:val="35D354B8"/>
    <w:rsid w:val="35D4025C"/>
    <w:rsid w:val="362666BC"/>
    <w:rsid w:val="367B5207"/>
    <w:rsid w:val="368045CB"/>
    <w:rsid w:val="368A6B11"/>
    <w:rsid w:val="37085B1F"/>
    <w:rsid w:val="372E04CB"/>
    <w:rsid w:val="38233888"/>
    <w:rsid w:val="390D33AB"/>
    <w:rsid w:val="391E6D06"/>
    <w:rsid w:val="39665CFB"/>
    <w:rsid w:val="39900E42"/>
    <w:rsid w:val="39A736F9"/>
    <w:rsid w:val="3A074847"/>
    <w:rsid w:val="3A7A7584"/>
    <w:rsid w:val="3A942275"/>
    <w:rsid w:val="3AA90FE6"/>
    <w:rsid w:val="3AA9318F"/>
    <w:rsid w:val="3AB62DA0"/>
    <w:rsid w:val="3B7D3FD5"/>
    <w:rsid w:val="3B823DDF"/>
    <w:rsid w:val="3C096E11"/>
    <w:rsid w:val="3C237ED3"/>
    <w:rsid w:val="3C8446EA"/>
    <w:rsid w:val="3CAA596A"/>
    <w:rsid w:val="3CB1587B"/>
    <w:rsid w:val="3CB735F2"/>
    <w:rsid w:val="3D0F48FB"/>
    <w:rsid w:val="3D186684"/>
    <w:rsid w:val="3D8B2178"/>
    <w:rsid w:val="3D934BE4"/>
    <w:rsid w:val="3DA32BB0"/>
    <w:rsid w:val="3DD115F5"/>
    <w:rsid w:val="3DDD61ED"/>
    <w:rsid w:val="3DE435F0"/>
    <w:rsid w:val="3DE5122C"/>
    <w:rsid w:val="3DF37E53"/>
    <w:rsid w:val="3E693B97"/>
    <w:rsid w:val="3ED26DE9"/>
    <w:rsid w:val="3EED17D0"/>
    <w:rsid w:val="3F0C0304"/>
    <w:rsid w:val="3FEC147E"/>
    <w:rsid w:val="401069C0"/>
    <w:rsid w:val="40376375"/>
    <w:rsid w:val="406C796F"/>
    <w:rsid w:val="412732B7"/>
    <w:rsid w:val="4127791F"/>
    <w:rsid w:val="41281794"/>
    <w:rsid w:val="413C1FDF"/>
    <w:rsid w:val="41831414"/>
    <w:rsid w:val="41B0259C"/>
    <w:rsid w:val="41BC6F1C"/>
    <w:rsid w:val="41C55588"/>
    <w:rsid w:val="41EF2363"/>
    <w:rsid w:val="41F77860"/>
    <w:rsid w:val="42323A7F"/>
    <w:rsid w:val="424A4B98"/>
    <w:rsid w:val="42581D3A"/>
    <w:rsid w:val="42FE0080"/>
    <w:rsid w:val="431467C7"/>
    <w:rsid w:val="43315D2E"/>
    <w:rsid w:val="43824A1C"/>
    <w:rsid w:val="43D110E1"/>
    <w:rsid w:val="43E873C9"/>
    <w:rsid w:val="44905B1F"/>
    <w:rsid w:val="451231DA"/>
    <w:rsid w:val="45316885"/>
    <w:rsid w:val="45A95EE9"/>
    <w:rsid w:val="45FB0F21"/>
    <w:rsid w:val="46EF2615"/>
    <w:rsid w:val="47200EE3"/>
    <w:rsid w:val="472753AE"/>
    <w:rsid w:val="47435AC2"/>
    <w:rsid w:val="47544B78"/>
    <w:rsid w:val="47587AF7"/>
    <w:rsid w:val="47745A86"/>
    <w:rsid w:val="47E239AC"/>
    <w:rsid w:val="480F4B73"/>
    <w:rsid w:val="485A1120"/>
    <w:rsid w:val="489932EC"/>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341C88"/>
    <w:rsid w:val="4C5A284D"/>
    <w:rsid w:val="4CB96B43"/>
    <w:rsid w:val="4CD63947"/>
    <w:rsid w:val="4CFC49F4"/>
    <w:rsid w:val="4D073D73"/>
    <w:rsid w:val="4D1E27BA"/>
    <w:rsid w:val="4D23574A"/>
    <w:rsid w:val="4D4C4DB0"/>
    <w:rsid w:val="4D632E30"/>
    <w:rsid w:val="4D7322D5"/>
    <w:rsid w:val="4DD7034C"/>
    <w:rsid w:val="4DE312CB"/>
    <w:rsid w:val="4E127DA7"/>
    <w:rsid w:val="4E1F4862"/>
    <w:rsid w:val="4E2E4393"/>
    <w:rsid w:val="4E535EF2"/>
    <w:rsid w:val="4E604FB7"/>
    <w:rsid w:val="4EAA19A9"/>
    <w:rsid w:val="4EFD0A57"/>
    <w:rsid w:val="4F08773C"/>
    <w:rsid w:val="4F31409F"/>
    <w:rsid w:val="4F846A83"/>
    <w:rsid w:val="4FA90297"/>
    <w:rsid w:val="50070E2C"/>
    <w:rsid w:val="500A342C"/>
    <w:rsid w:val="504B57F2"/>
    <w:rsid w:val="50C62BC7"/>
    <w:rsid w:val="50E65BBF"/>
    <w:rsid w:val="50ED1473"/>
    <w:rsid w:val="50F72A66"/>
    <w:rsid w:val="50FF75E4"/>
    <w:rsid w:val="511F2F07"/>
    <w:rsid w:val="51214ABB"/>
    <w:rsid w:val="5123368C"/>
    <w:rsid w:val="5130747C"/>
    <w:rsid w:val="515C765A"/>
    <w:rsid w:val="51905BB3"/>
    <w:rsid w:val="51946FCB"/>
    <w:rsid w:val="51DD796B"/>
    <w:rsid w:val="51DF373B"/>
    <w:rsid w:val="51F43C48"/>
    <w:rsid w:val="523E560F"/>
    <w:rsid w:val="52EF4CB5"/>
    <w:rsid w:val="52F959F0"/>
    <w:rsid w:val="5302488E"/>
    <w:rsid w:val="539A4AC7"/>
    <w:rsid w:val="539C282C"/>
    <w:rsid w:val="54672CD7"/>
    <w:rsid w:val="54A61722"/>
    <w:rsid w:val="54B31FAF"/>
    <w:rsid w:val="55326D63"/>
    <w:rsid w:val="5550794C"/>
    <w:rsid w:val="555D1A10"/>
    <w:rsid w:val="56356469"/>
    <w:rsid w:val="56AC4A78"/>
    <w:rsid w:val="56DB16B9"/>
    <w:rsid w:val="573047DA"/>
    <w:rsid w:val="577A3463"/>
    <w:rsid w:val="57C15D0E"/>
    <w:rsid w:val="57F967AD"/>
    <w:rsid w:val="58052975"/>
    <w:rsid w:val="58E525CA"/>
    <w:rsid w:val="58F72073"/>
    <w:rsid w:val="593D045A"/>
    <w:rsid w:val="59531176"/>
    <w:rsid w:val="5960739E"/>
    <w:rsid w:val="59896D0A"/>
    <w:rsid w:val="59B72684"/>
    <w:rsid w:val="5A9579AE"/>
    <w:rsid w:val="5AC468CD"/>
    <w:rsid w:val="5B342B9A"/>
    <w:rsid w:val="5B630802"/>
    <w:rsid w:val="5B807F68"/>
    <w:rsid w:val="5C034D53"/>
    <w:rsid w:val="5C1B0C00"/>
    <w:rsid w:val="5CA36CB7"/>
    <w:rsid w:val="5E1D6F56"/>
    <w:rsid w:val="5E52187F"/>
    <w:rsid w:val="5E6A13CD"/>
    <w:rsid w:val="5E705D15"/>
    <w:rsid w:val="5E93326C"/>
    <w:rsid w:val="5EE20C16"/>
    <w:rsid w:val="5EFB4BA4"/>
    <w:rsid w:val="5F5F46B5"/>
    <w:rsid w:val="5FA12D39"/>
    <w:rsid w:val="5FBA3CC0"/>
    <w:rsid w:val="5FD90D61"/>
    <w:rsid w:val="60177697"/>
    <w:rsid w:val="602329DB"/>
    <w:rsid w:val="60632801"/>
    <w:rsid w:val="607777D6"/>
    <w:rsid w:val="60BC76A1"/>
    <w:rsid w:val="610B7637"/>
    <w:rsid w:val="615F5624"/>
    <w:rsid w:val="61D215CF"/>
    <w:rsid w:val="62546789"/>
    <w:rsid w:val="625C563D"/>
    <w:rsid w:val="626A1704"/>
    <w:rsid w:val="62B362C8"/>
    <w:rsid w:val="62C1330E"/>
    <w:rsid w:val="631A1780"/>
    <w:rsid w:val="6342085E"/>
    <w:rsid w:val="63631E53"/>
    <w:rsid w:val="636F415C"/>
    <w:rsid w:val="646E3CD1"/>
    <w:rsid w:val="64786E14"/>
    <w:rsid w:val="64917820"/>
    <w:rsid w:val="64AA1CC5"/>
    <w:rsid w:val="64E262CE"/>
    <w:rsid w:val="65463A24"/>
    <w:rsid w:val="656B2909"/>
    <w:rsid w:val="65A3045D"/>
    <w:rsid w:val="65D97752"/>
    <w:rsid w:val="65E25E59"/>
    <w:rsid w:val="66307F76"/>
    <w:rsid w:val="66580EAF"/>
    <w:rsid w:val="66694D0D"/>
    <w:rsid w:val="66C00C35"/>
    <w:rsid w:val="66F041A8"/>
    <w:rsid w:val="6721178A"/>
    <w:rsid w:val="6739399A"/>
    <w:rsid w:val="673F39DE"/>
    <w:rsid w:val="674C5D22"/>
    <w:rsid w:val="67663AF8"/>
    <w:rsid w:val="67762CFD"/>
    <w:rsid w:val="677A678D"/>
    <w:rsid w:val="67AA61B4"/>
    <w:rsid w:val="68011379"/>
    <w:rsid w:val="68252C37"/>
    <w:rsid w:val="685E210F"/>
    <w:rsid w:val="68817BAC"/>
    <w:rsid w:val="689A5E59"/>
    <w:rsid w:val="68EE72DF"/>
    <w:rsid w:val="69485FEA"/>
    <w:rsid w:val="69677DC0"/>
    <w:rsid w:val="69937EC7"/>
    <w:rsid w:val="69D64558"/>
    <w:rsid w:val="6A042548"/>
    <w:rsid w:val="6A471EFD"/>
    <w:rsid w:val="6A652B72"/>
    <w:rsid w:val="6A761055"/>
    <w:rsid w:val="6AB57116"/>
    <w:rsid w:val="6B17424A"/>
    <w:rsid w:val="6B2218FA"/>
    <w:rsid w:val="6B5E00AD"/>
    <w:rsid w:val="6B691672"/>
    <w:rsid w:val="6B767770"/>
    <w:rsid w:val="6C387C5F"/>
    <w:rsid w:val="6C5E6A51"/>
    <w:rsid w:val="6C6513C3"/>
    <w:rsid w:val="6C744268"/>
    <w:rsid w:val="6CAB788B"/>
    <w:rsid w:val="6CD62D03"/>
    <w:rsid w:val="6CD97FB6"/>
    <w:rsid w:val="6D2B6338"/>
    <w:rsid w:val="6D390A55"/>
    <w:rsid w:val="6D6F26C8"/>
    <w:rsid w:val="6D930013"/>
    <w:rsid w:val="6DBE0F5A"/>
    <w:rsid w:val="6E1A1656"/>
    <w:rsid w:val="6E5024FA"/>
    <w:rsid w:val="6E5A5288"/>
    <w:rsid w:val="6E91666F"/>
    <w:rsid w:val="6E942996"/>
    <w:rsid w:val="6ECB016F"/>
    <w:rsid w:val="6EE013EE"/>
    <w:rsid w:val="6EE079F1"/>
    <w:rsid w:val="6EE42C42"/>
    <w:rsid w:val="6F1A4920"/>
    <w:rsid w:val="6F7F7CB0"/>
    <w:rsid w:val="6FC30AAA"/>
    <w:rsid w:val="6FE0165C"/>
    <w:rsid w:val="6FEA4288"/>
    <w:rsid w:val="70222744"/>
    <w:rsid w:val="706D2B21"/>
    <w:rsid w:val="707B1384"/>
    <w:rsid w:val="70857A34"/>
    <w:rsid w:val="70985D3C"/>
    <w:rsid w:val="71047C73"/>
    <w:rsid w:val="7109004F"/>
    <w:rsid w:val="71103167"/>
    <w:rsid w:val="712E56F7"/>
    <w:rsid w:val="71691ABB"/>
    <w:rsid w:val="71AE1AEA"/>
    <w:rsid w:val="71CF3B6C"/>
    <w:rsid w:val="722922C6"/>
    <w:rsid w:val="732D4B5D"/>
    <w:rsid w:val="73393C88"/>
    <w:rsid w:val="73612AB3"/>
    <w:rsid w:val="7362513F"/>
    <w:rsid w:val="73771D49"/>
    <w:rsid w:val="73A1354E"/>
    <w:rsid w:val="73A63AAE"/>
    <w:rsid w:val="74273CFD"/>
    <w:rsid w:val="744523D5"/>
    <w:rsid w:val="747E3B9D"/>
    <w:rsid w:val="74A11E7D"/>
    <w:rsid w:val="75590B0A"/>
    <w:rsid w:val="7582279F"/>
    <w:rsid w:val="75BB71AF"/>
    <w:rsid w:val="75F01962"/>
    <w:rsid w:val="75F56562"/>
    <w:rsid w:val="7601232C"/>
    <w:rsid w:val="760E19DF"/>
    <w:rsid w:val="765D721E"/>
    <w:rsid w:val="76676A53"/>
    <w:rsid w:val="76B620A1"/>
    <w:rsid w:val="77462524"/>
    <w:rsid w:val="779C40BA"/>
    <w:rsid w:val="77A21064"/>
    <w:rsid w:val="77E34EB2"/>
    <w:rsid w:val="781564B8"/>
    <w:rsid w:val="78224ACF"/>
    <w:rsid w:val="786170B2"/>
    <w:rsid w:val="78CD6DCC"/>
    <w:rsid w:val="78D07CAF"/>
    <w:rsid w:val="78DE12D7"/>
    <w:rsid w:val="791D122B"/>
    <w:rsid w:val="79210683"/>
    <w:rsid w:val="799C3465"/>
    <w:rsid w:val="79B14EC4"/>
    <w:rsid w:val="79B46E76"/>
    <w:rsid w:val="7A2A6B4A"/>
    <w:rsid w:val="7A666C01"/>
    <w:rsid w:val="7A681070"/>
    <w:rsid w:val="7A860C7C"/>
    <w:rsid w:val="7AB879FE"/>
    <w:rsid w:val="7B167D97"/>
    <w:rsid w:val="7B3264DD"/>
    <w:rsid w:val="7B81188A"/>
    <w:rsid w:val="7B9E2902"/>
    <w:rsid w:val="7BC854E2"/>
    <w:rsid w:val="7C0562EC"/>
    <w:rsid w:val="7C27683F"/>
    <w:rsid w:val="7C376AA7"/>
    <w:rsid w:val="7C461AE9"/>
    <w:rsid w:val="7C865339"/>
    <w:rsid w:val="7CB14B4D"/>
    <w:rsid w:val="7CD25041"/>
    <w:rsid w:val="7CEF7382"/>
    <w:rsid w:val="7CF26969"/>
    <w:rsid w:val="7D8C7017"/>
    <w:rsid w:val="7DB23041"/>
    <w:rsid w:val="7E5F7809"/>
    <w:rsid w:val="7ED56C53"/>
    <w:rsid w:val="7EEA1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Char"/>
    <w:basedOn w:val="37"/>
    <w:link w:val="3"/>
    <w:qFormat/>
    <w:uiPriority w:val="9"/>
    <w:rPr>
      <w:rFonts w:ascii="Calibri" w:hAnsi="Calibri" w:eastAsia="宋体" w:cs="Times New Roman"/>
      <w:b/>
      <w:bCs/>
      <w:kern w:val="44"/>
      <w:sz w:val="36"/>
      <w:szCs w:val="44"/>
    </w:rPr>
  </w:style>
  <w:style w:type="character" w:customStyle="1" w:styleId="46">
    <w:name w:val="标题 2 Char"/>
    <w:basedOn w:val="37"/>
    <w:link w:val="4"/>
    <w:qFormat/>
    <w:uiPriority w:val="9"/>
    <w:rPr>
      <w:rFonts w:ascii="Arial" w:hAnsi="Arial" w:eastAsia="宋体" w:cs="Times New Roman"/>
      <w:b/>
      <w:bCs/>
      <w:sz w:val="24"/>
      <w:szCs w:val="32"/>
    </w:rPr>
  </w:style>
  <w:style w:type="character" w:customStyle="1" w:styleId="47">
    <w:name w:val="标题 3 Char"/>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Char"/>
    <w:link w:val="19"/>
    <w:qFormat/>
    <w:locked/>
    <w:uiPriority w:val="0"/>
  </w:style>
  <w:style w:type="character" w:customStyle="1" w:styleId="50">
    <w:name w:val="批注主题 Char1"/>
    <w:link w:val="33"/>
    <w:qFormat/>
    <w:locked/>
    <w:uiPriority w:val="0"/>
    <w:rPr>
      <w:b/>
    </w:rPr>
  </w:style>
  <w:style w:type="character" w:customStyle="1" w:styleId="51">
    <w:name w:val="正文文本缩进 3 Char"/>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99"/>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Char"/>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Char1"/>
    <w:link w:val="11"/>
    <w:qFormat/>
    <w:locked/>
    <w:uiPriority w:val="0"/>
  </w:style>
  <w:style w:type="character" w:customStyle="1" w:styleId="60">
    <w:name w:val="标题 Char"/>
    <w:link w:val="32"/>
    <w:qFormat/>
    <w:locked/>
    <w:uiPriority w:val="0"/>
    <w:rPr>
      <w:rFonts w:ascii="Arial" w:hAnsi="Arial"/>
      <w:b/>
      <w:sz w:val="32"/>
    </w:rPr>
  </w:style>
  <w:style w:type="character" w:customStyle="1" w:styleId="61">
    <w:name w:val="日期 Char"/>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Char"/>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Char"/>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Char1"/>
    <w:link w:val="2"/>
    <w:qFormat/>
    <w:locked/>
    <w:uiPriority w:val="0"/>
    <w:rPr>
      <w:rFonts w:ascii="宋体" w:hAnsi="Courier New"/>
    </w:rPr>
  </w:style>
  <w:style w:type="character" w:customStyle="1" w:styleId="71">
    <w:name w:val="页脚 Char1"/>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Char"/>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Char"/>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CC354-B404-49F3-BC7A-A82BEB395C3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72</Pages>
  <Words>32510</Words>
  <Characters>34389</Characters>
  <Lines>309</Lines>
  <Paragraphs>87</Paragraphs>
  <TotalTime>4</TotalTime>
  <ScaleCrop>false</ScaleCrop>
  <LinksUpToDate>false</LinksUpToDate>
  <CharactersWithSpaces>40600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郭俊杰</cp:lastModifiedBy>
  <cp:lastPrinted>2022-07-01T03:19:00Z</cp:lastPrinted>
  <dcterms:modified xsi:type="dcterms:W3CDTF">2023-06-09T01:08:07Z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DC1CBE82B7BB4700A923DF3E2ED16990_13</vt:lpwstr>
  </property>
</Properties>
</file>