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28"/>
          <w:szCs w:val="28"/>
        </w:rPr>
      </w:pPr>
      <w:bookmarkStart w:id="0" w:name="SectionMark4"/>
      <w:r>
        <w:rPr>
          <w:rFonts w:hint="eastAsia"/>
          <w:b/>
          <w:sz w:val="28"/>
          <w:szCs w:val="28"/>
        </w:rPr>
        <w:t>冲压件零件</w:t>
      </w:r>
      <w:r>
        <w:rPr>
          <w:b/>
          <w:sz w:val="28"/>
          <w:szCs w:val="28"/>
        </w:rPr>
        <w:t>质量判定标准</w:t>
      </w:r>
    </w:p>
    <w:p>
      <w:pPr>
        <w:pStyle w:val="59"/>
        <w:spacing w:before="312" w:beforeLines="100" w:after="312" w:afterLines="100"/>
      </w:pPr>
      <w:r>
        <w:rPr>
          <w:rFonts w:hint="eastAsia"/>
        </w:rPr>
        <w:t>冲压件在整车上的分区定义</w:t>
      </w:r>
    </w:p>
    <w:p>
      <w:pPr>
        <w:pStyle w:val="60"/>
        <w:spacing w:before="156" w:beforeLines="50" w:after="156" w:afterLines="50"/>
        <w:ind w:left="283"/>
      </w:pPr>
      <w:r>
        <w:rPr>
          <w:rFonts w:hint="eastAsia"/>
        </w:rPr>
        <w:t>外观评价区域定义：</w:t>
      </w:r>
    </w:p>
    <w:p>
      <w:pPr>
        <w:pStyle w:val="58"/>
        <w:ind w:firstLine="420"/>
      </w:pPr>
      <w:r>
        <w:rPr>
          <w:rFonts w:hint="eastAsia"/>
        </w:rPr>
        <w:t>根据冲压件在车身所处位置划分为三个区域。</w:t>
      </w:r>
    </w:p>
    <w:p>
      <w:pPr>
        <w:pStyle w:val="60"/>
        <w:numPr>
          <w:ilvl w:val="0"/>
          <w:numId w:val="0"/>
        </w:numPr>
        <w:spacing w:before="156" w:beforeLines="50" w:after="156" w:afterLines="50"/>
        <w:ind w:left="283"/>
        <w:rPr>
          <w:rFonts w:ascii="宋体" w:hAnsi="宋体" w:eastAsia="宋体"/>
        </w:rPr>
      </w:pPr>
      <w:r>
        <w:rPr>
          <w:rFonts w:hint="eastAsia" w:ascii="宋体" w:hAnsi="宋体" w:eastAsia="宋体"/>
          <w:b/>
          <w:bCs/>
        </w:rPr>
        <w:t>1区：</w:t>
      </w:r>
      <w:r>
        <w:rPr>
          <w:rFonts w:hint="eastAsia" w:ascii="宋体" w:hAnsi="宋体" w:eastAsia="宋体"/>
        </w:rPr>
        <w:t>能直接被人发现缺陷的整车内外表面称为1区。该区的缺陷严重影响整车外观质量。</w:t>
      </w:r>
    </w:p>
    <w:p>
      <w:pPr>
        <w:pStyle w:val="60"/>
        <w:numPr>
          <w:ilvl w:val="0"/>
          <w:numId w:val="0"/>
        </w:numPr>
        <w:spacing w:before="156" w:beforeLines="50" w:after="156" w:afterLines="50"/>
        <w:ind w:left="283"/>
        <w:rPr>
          <w:rFonts w:ascii="宋体" w:hAnsi="宋体" w:eastAsia="宋体"/>
        </w:rPr>
      </w:pPr>
      <w:r>
        <w:rPr>
          <w:rFonts w:hint="eastAsia" w:ascii="宋体" w:hAnsi="宋体" w:eastAsia="宋体"/>
        </w:rPr>
        <w:t>比如：</w:t>
      </w:r>
    </w:p>
    <w:p>
      <w:pPr>
        <w:pStyle w:val="60"/>
        <w:numPr>
          <w:ilvl w:val="0"/>
          <w:numId w:val="0"/>
        </w:numPr>
        <w:spacing w:before="156" w:beforeLines="50" w:after="156" w:afterLines="50"/>
        <w:ind w:left="283"/>
        <w:rPr>
          <w:rFonts w:ascii="宋体" w:hAnsi="宋体" w:eastAsia="宋体"/>
        </w:rPr>
      </w:pPr>
      <w:r>
        <w:rPr>
          <w:rFonts w:hint="eastAsia" w:ascii="宋体" w:hAnsi="宋体" w:eastAsia="宋体"/>
        </w:rPr>
        <w:t>1）侧围外板、翼子板、车门外表面、发动机罩外表面、后背门外表面、高度低于170cm的顶盖外表面；</w:t>
      </w:r>
    </w:p>
    <w:p>
      <w:pPr>
        <w:pStyle w:val="60"/>
        <w:numPr>
          <w:ilvl w:val="0"/>
          <w:numId w:val="0"/>
        </w:numPr>
        <w:spacing w:before="156" w:beforeLines="50" w:after="156" w:afterLines="50"/>
        <w:ind w:left="283"/>
        <w:rPr>
          <w:rFonts w:ascii="宋体" w:hAnsi="宋体" w:eastAsia="宋体"/>
        </w:rPr>
      </w:pPr>
      <w:r>
        <w:rPr>
          <w:rFonts w:ascii="宋体" w:hAnsi="宋体" w:eastAsia="宋体"/>
        </w:rPr>
        <w:t>2</w:t>
      </w:r>
      <w:r>
        <w:rPr>
          <w:rFonts w:hint="eastAsia" w:ascii="宋体" w:hAnsi="宋体" w:eastAsia="宋体"/>
        </w:rPr>
        <w:t>）皮卡车型货箱外漏A面区域；</w:t>
      </w:r>
    </w:p>
    <w:p>
      <w:pPr>
        <w:pStyle w:val="60"/>
        <w:numPr>
          <w:ilvl w:val="0"/>
          <w:numId w:val="0"/>
        </w:numPr>
        <w:spacing w:before="156" w:beforeLines="50" w:after="156" w:afterLines="50"/>
        <w:ind w:left="283"/>
        <w:rPr>
          <w:rFonts w:ascii="宋体" w:hAnsi="宋体" w:eastAsia="宋体"/>
        </w:rPr>
      </w:pPr>
      <w:r>
        <w:rPr>
          <w:rFonts w:hint="eastAsia" w:ascii="宋体" w:hAnsi="宋体" w:eastAsia="宋体"/>
          <w:b/>
          <w:bCs/>
        </w:rPr>
        <w:t>2区：</w:t>
      </w:r>
      <w:r>
        <w:rPr>
          <w:rFonts w:hint="eastAsia" w:ascii="宋体" w:hAnsi="宋体" w:eastAsia="宋体"/>
        </w:rPr>
        <w:t>不能直接被人发现缺陷或须稍加注意才能发现缺陷的整车内外表面称为2区。该区的缺陷对整车外观质量有较大影响。</w:t>
      </w:r>
    </w:p>
    <w:p>
      <w:pPr>
        <w:pStyle w:val="60"/>
        <w:numPr>
          <w:ilvl w:val="0"/>
          <w:numId w:val="0"/>
        </w:numPr>
        <w:spacing w:before="156" w:beforeLines="50" w:after="156" w:afterLines="50"/>
        <w:ind w:left="283"/>
        <w:rPr>
          <w:rFonts w:ascii="宋体" w:hAnsi="宋体" w:eastAsia="宋体"/>
        </w:rPr>
      </w:pPr>
      <w:r>
        <w:rPr>
          <w:rFonts w:hint="eastAsia" w:ascii="宋体" w:hAnsi="宋体" w:eastAsia="宋体"/>
        </w:rPr>
        <w:t>比如：</w:t>
      </w:r>
    </w:p>
    <w:p>
      <w:pPr>
        <w:pStyle w:val="60"/>
        <w:numPr>
          <w:ilvl w:val="0"/>
          <w:numId w:val="0"/>
        </w:numPr>
        <w:spacing w:before="156" w:beforeLines="50" w:after="156" w:afterLines="50"/>
        <w:ind w:left="283"/>
        <w:rPr>
          <w:rFonts w:ascii="宋体" w:hAnsi="宋体" w:eastAsia="宋体"/>
        </w:rPr>
      </w:pPr>
      <w:r>
        <w:rPr>
          <w:rFonts w:hint="eastAsia" w:ascii="宋体" w:hAnsi="宋体" w:eastAsia="宋体"/>
        </w:rPr>
        <w:t>1）“五门一盖”、油箱盖打开后能看到的，无覆盖物的内表面；</w:t>
      </w:r>
    </w:p>
    <w:p>
      <w:pPr>
        <w:pStyle w:val="60"/>
        <w:numPr>
          <w:ilvl w:val="0"/>
          <w:numId w:val="0"/>
        </w:numPr>
        <w:spacing w:before="156" w:beforeLines="50" w:after="156" w:afterLines="50"/>
        <w:ind w:left="283"/>
        <w:rPr>
          <w:rFonts w:ascii="宋体" w:hAnsi="宋体" w:eastAsia="宋体"/>
        </w:rPr>
      </w:pPr>
      <w:r>
        <w:rPr>
          <w:rFonts w:ascii="宋体" w:hAnsi="宋体" w:eastAsia="宋体"/>
        </w:rPr>
        <w:t>2</w:t>
      </w:r>
      <w:r>
        <w:rPr>
          <w:rFonts w:hint="eastAsia" w:ascii="宋体" w:hAnsi="宋体" w:eastAsia="宋体"/>
        </w:rPr>
        <w:t>）皮卡车型顶盖“上”表面；</w:t>
      </w:r>
    </w:p>
    <w:p>
      <w:pPr>
        <w:pStyle w:val="60"/>
        <w:numPr>
          <w:ilvl w:val="0"/>
          <w:numId w:val="0"/>
        </w:numPr>
        <w:spacing w:before="156" w:beforeLines="50" w:after="156" w:afterLines="50"/>
        <w:ind w:left="283"/>
        <w:rPr>
          <w:rFonts w:ascii="宋体" w:hAnsi="宋体" w:eastAsia="宋体"/>
        </w:rPr>
      </w:pPr>
      <w:r>
        <w:rPr>
          <w:rFonts w:ascii="宋体" w:hAnsi="宋体" w:eastAsia="宋体"/>
        </w:rPr>
        <w:t>3</w:t>
      </w:r>
      <w:r>
        <w:rPr>
          <w:rFonts w:hint="eastAsia" w:ascii="宋体" w:hAnsi="宋体" w:eastAsia="宋体"/>
        </w:rPr>
        <w:t>）厢式车裙部以下的外表面、轮罩下面的可见部分；</w:t>
      </w:r>
    </w:p>
    <w:p>
      <w:pPr>
        <w:pStyle w:val="60"/>
        <w:numPr>
          <w:ilvl w:val="0"/>
          <w:numId w:val="0"/>
        </w:numPr>
        <w:spacing w:before="156" w:beforeLines="50" w:after="156" w:afterLines="50"/>
        <w:ind w:left="283"/>
        <w:rPr>
          <w:rFonts w:ascii="宋体" w:hAnsi="宋体" w:eastAsia="宋体"/>
        </w:rPr>
      </w:pPr>
      <w:r>
        <w:rPr>
          <w:rFonts w:hint="eastAsia" w:ascii="宋体" w:hAnsi="宋体" w:eastAsia="宋体"/>
          <w:b/>
          <w:bCs/>
        </w:rPr>
        <w:t>3区：</w:t>
      </w:r>
      <w:r>
        <w:rPr>
          <w:rFonts w:hint="eastAsia" w:ascii="宋体" w:hAnsi="宋体" w:eastAsia="宋体"/>
        </w:rPr>
        <w:t>所有被其它零件覆盖住的整车内外表面，以及在车辆使用过程中很少或短时间内不易看到的整车内外表面称为</w:t>
      </w:r>
      <w:r>
        <w:rPr>
          <w:rFonts w:ascii="宋体" w:hAnsi="宋体" w:eastAsia="宋体"/>
        </w:rPr>
        <w:t>3</w:t>
      </w:r>
      <w:r>
        <w:rPr>
          <w:rFonts w:hint="eastAsia" w:ascii="宋体" w:hAnsi="宋体" w:eastAsia="宋体"/>
        </w:rPr>
        <w:t>区。该区的缺陷对整车外观质量影响较小。</w:t>
      </w:r>
    </w:p>
    <w:p>
      <w:pPr>
        <w:pStyle w:val="60"/>
        <w:numPr>
          <w:ilvl w:val="0"/>
          <w:numId w:val="0"/>
        </w:numPr>
        <w:spacing w:before="156" w:beforeLines="50" w:after="156" w:afterLines="50"/>
        <w:ind w:left="283"/>
        <w:rPr>
          <w:rFonts w:ascii="宋体" w:hAnsi="宋体" w:eastAsia="宋体"/>
        </w:rPr>
      </w:pPr>
      <w:r>
        <w:rPr>
          <w:rFonts w:hint="eastAsia" w:ascii="宋体" w:hAnsi="宋体" w:eastAsia="宋体"/>
        </w:rPr>
        <w:t>比如：</w:t>
      </w:r>
    </w:p>
    <w:p>
      <w:pPr>
        <w:pStyle w:val="60"/>
        <w:numPr>
          <w:ilvl w:val="0"/>
          <w:numId w:val="0"/>
        </w:numPr>
        <w:spacing w:before="156" w:beforeLines="50" w:after="156" w:afterLines="50"/>
        <w:ind w:left="283"/>
        <w:rPr>
          <w:rFonts w:ascii="宋体" w:hAnsi="宋体" w:eastAsia="宋体"/>
        </w:rPr>
      </w:pPr>
      <w:r>
        <w:rPr>
          <w:rFonts w:hint="eastAsia" w:ascii="宋体" w:hAnsi="宋体" w:eastAsia="宋体"/>
        </w:rPr>
        <w:t>1）所有不可见的内外表面；</w:t>
      </w:r>
    </w:p>
    <w:p>
      <w:pPr>
        <w:pStyle w:val="60"/>
        <w:numPr>
          <w:ilvl w:val="0"/>
          <w:numId w:val="0"/>
        </w:numPr>
        <w:spacing w:before="156" w:beforeLines="50" w:after="156" w:afterLines="50"/>
        <w:ind w:left="283"/>
        <w:rPr>
          <w:rFonts w:ascii="宋体" w:hAnsi="宋体" w:eastAsia="宋体"/>
        </w:rPr>
      </w:pPr>
      <w:r>
        <w:rPr>
          <w:rFonts w:ascii="宋体" w:hAnsi="宋体" w:eastAsia="宋体"/>
        </w:rPr>
        <w:t>2</w:t>
      </w:r>
      <w:r>
        <w:rPr>
          <w:rFonts w:hint="eastAsia" w:ascii="宋体" w:hAnsi="宋体" w:eastAsia="宋体"/>
        </w:rPr>
        <w:t>）厢式车、卡车顶盖上表面、门槛下面部分；</w:t>
      </w:r>
    </w:p>
    <w:p>
      <w:pPr>
        <w:pStyle w:val="60"/>
        <w:numPr>
          <w:ilvl w:val="0"/>
          <w:numId w:val="0"/>
        </w:numPr>
        <w:spacing w:before="156" w:beforeLines="50" w:after="156" w:afterLines="50"/>
        <w:ind w:left="283"/>
        <w:rPr>
          <w:rFonts w:ascii="宋体" w:hAnsi="宋体" w:eastAsia="宋体"/>
        </w:rPr>
      </w:pPr>
      <w:r>
        <w:rPr>
          <w:rFonts w:ascii="宋体" w:hAnsi="宋体" w:eastAsia="宋体"/>
        </w:rPr>
        <w:t>3</w:t>
      </w:r>
      <w:r>
        <w:rPr>
          <w:rFonts w:hint="eastAsia" w:ascii="宋体" w:hAnsi="宋体" w:eastAsia="宋体"/>
        </w:rPr>
        <w:t>）皮卡车货箱内表面。</w:t>
      </w:r>
    </w:p>
    <w:p>
      <w:pPr>
        <w:pStyle w:val="59"/>
        <w:spacing w:before="312" w:beforeLines="100" w:after="312" w:afterLines="100"/>
      </w:pPr>
      <w:r>
        <w:rPr>
          <w:rFonts w:hint="eastAsia"/>
        </w:rPr>
        <w:t>冲压件外观缺陷等级和分类</w:t>
      </w:r>
    </w:p>
    <w:p>
      <w:pPr>
        <w:pStyle w:val="58"/>
        <w:ind w:firstLine="420"/>
      </w:pPr>
      <w:bookmarkStart w:id="1" w:name="_Hlk74568301"/>
      <w:r>
        <w:rPr>
          <w:rFonts w:hint="eastAsia"/>
        </w:rPr>
        <w:t>将冲压件缺陷分为A、B、C类三个等级，其缺陷分值越高，代表缺陷越严重</w:t>
      </w:r>
    </w:p>
    <w:p>
      <w:pPr>
        <w:pStyle w:val="60"/>
        <w:spacing w:before="156" w:beforeLines="50" w:after="156" w:afterLines="50"/>
        <w:ind w:left="283"/>
      </w:pPr>
      <w:r>
        <w:rPr>
          <w:rFonts w:hint="eastAsia"/>
        </w:rPr>
        <w:t>按严重度和缺陷识别手段定义</w:t>
      </w:r>
      <w:r>
        <w:t>：</w:t>
      </w:r>
    </w:p>
    <w:p>
      <w:pPr>
        <w:pStyle w:val="58"/>
        <w:ind w:firstLine="420"/>
      </w:pPr>
      <w:r>
        <w:t>A类问题是指在800Lux的光线下能够目视发现的凸凹点(痕)、划伤、棱线清晰、过渡圆滑、外露部分无走料痕迹等问题。</w:t>
      </w:r>
    </w:p>
    <w:p>
      <w:pPr>
        <w:pStyle w:val="58"/>
        <w:ind w:firstLine="420"/>
      </w:pPr>
      <w:r>
        <w:t>B类问题是指在800Lux的光线下目视不出，但可以通过手感感觉出的凸凹点（痕）。</w:t>
      </w:r>
    </w:p>
    <w:p>
      <w:pPr>
        <w:pStyle w:val="58"/>
        <w:ind w:firstLine="420"/>
      </w:pPr>
      <w:r>
        <w:t>C类问题是指手感无法感觉出，但通过油石</w:t>
      </w:r>
      <w:r>
        <w:rPr>
          <w:rFonts w:hint="eastAsia"/>
        </w:rPr>
        <w:t>打磨零件表面可以发现</w:t>
      </w:r>
      <w:r>
        <w:t>的凸凹点（痕）。</w:t>
      </w:r>
    </w:p>
    <w:p>
      <w:pPr>
        <w:pStyle w:val="60"/>
        <w:spacing w:before="156" w:beforeLines="50" w:after="156" w:afterLines="50"/>
        <w:ind w:left="283"/>
      </w:pPr>
      <w:r>
        <w:rPr>
          <w:rFonts w:hint="eastAsia"/>
        </w:rPr>
        <w:t>从客户角度及AUDIT缺陷分值定义：</w:t>
      </w:r>
    </w:p>
    <w:p>
      <w:pPr>
        <w:pStyle w:val="58"/>
        <w:ind w:firstLine="420"/>
        <w:jc w:val="center"/>
      </w:pPr>
      <w:r>
        <w:rPr>
          <w:rFonts w:hint="eastAsia"/>
        </w:rPr>
        <w:t>表1：冲压件AUDIT缺陷类型及分值定义</w:t>
      </w:r>
    </w:p>
    <w:bookmarkEnd w:id="1"/>
    <w:tbl>
      <w:tblPr>
        <w:tblStyle w:val="34"/>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340"/>
        <w:gridCol w:w="1699"/>
        <w:gridCol w:w="1892"/>
        <w:gridCol w:w="1828"/>
        <w:gridCol w:w="85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Merge w:val="restart"/>
            <w:vAlign w:val="center"/>
          </w:tcPr>
          <w:p>
            <w:pPr>
              <w:jc w:val="center"/>
              <w:rPr>
                <w:sz w:val="20"/>
              </w:rPr>
            </w:pPr>
            <w:r>
              <w:rPr>
                <w:rFonts w:hint="eastAsia"/>
                <w:sz w:val="20"/>
              </w:rPr>
              <w:t>缺陷类型</w:t>
            </w:r>
          </w:p>
        </w:tc>
        <w:tc>
          <w:tcPr>
            <w:tcW w:w="1567" w:type="pct"/>
            <w:gridSpan w:val="2"/>
            <w:vAlign w:val="center"/>
          </w:tcPr>
          <w:p>
            <w:pPr>
              <w:jc w:val="center"/>
              <w:rPr>
                <w:sz w:val="20"/>
              </w:rPr>
            </w:pPr>
            <w:r>
              <w:rPr>
                <w:rFonts w:hint="eastAsia"/>
                <w:sz w:val="20"/>
              </w:rPr>
              <w:t>A类缺陷</w:t>
            </w:r>
          </w:p>
        </w:tc>
        <w:tc>
          <w:tcPr>
            <w:tcW w:w="1919" w:type="pct"/>
            <w:gridSpan w:val="2"/>
            <w:vAlign w:val="center"/>
          </w:tcPr>
          <w:p>
            <w:pPr>
              <w:jc w:val="center"/>
              <w:rPr>
                <w:sz w:val="20"/>
              </w:rPr>
            </w:pPr>
            <w:r>
              <w:rPr>
                <w:rFonts w:hint="eastAsia"/>
                <w:sz w:val="20"/>
              </w:rPr>
              <w:t>B类缺陷</w:t>
            </w:r>
          </w:p>
        </w:tc>
        <w:tc>
          <w:tcPr>
            <w:tcW w:w="818" w:type="pct"/>
            <w:gridSpan w:val="2"/>
            <w:vAlign w:val="center"/>
          </w:tcPr>
          <w:p>
            <w:pPr>
              <w:jc w:val="center"/>
              <w:rPr>
                <w:sz w:val="20"/>
              </w:rPr>
            </w:pPr>
            <w:r>
              <w:rPr>
                <w:rFonts w:hint="eastAsia"/>
                <w:sz w:val="20"/>
              </w:rPr>
              <w:t>C类缺陷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Merge w:val="continue"/>
          </w:tcPr>
          <w:p>
            <w:pPr>
              <w:rPr>
                <w:sz w:val="20"/>
              </w:rPr>
            </w:pPr>
          </w:p>
        </w:tc>
        <w:tc>
          <w:tcPr>
            <w:tcW w:w="691" w:type="pct"/>
            <w:vAlign w:val="center"/>
          </w:tcPr>
          <w:p>
            <w:pPr>
              <w:jc w:val="center"/>
              <w:rPr>
                <w:sz w:val="20"/>
              </w:rPr>
            </w:pPr>
            <w:r>
              <w:rPr>
                <w:rFonts w:hint="eastAsia"/>
                <w:sz w:val="20"/>
              </w:rPr>
              <w:t>A1</w:t>
            </w:r>
          </w:p>
        </w:tc>
        <w:tc>
          <w:tcPr>
            <w:tcW w:w="876" w:type="pct"/>
            <w:vAlign w:val="center"/>
          </w:tcPr>
          <w:p>
            <w:pPr>
              <w:jc w:val="center"/>
              <w:rPr>
                <w:sz w:val="20"/>
              </w:rPr>
            </w:pPr>
            <w:r>
              <w:rPr>
                <w:rFonts w:hint="eastAsia"/>
                <w:sz w:val="20"/>
              </w:rPr>
              <w:t>A</w:t>
            </w:r>
          </w:p>
        </w:tc>
        <w:tc>
          <w:tcPr>
            <w:tcW w:w="976" w:type="pct"/>
            <w:vAlign w:val="center"/>
          </w:tcPr>
          <w:p>
            <w:pPr>
              <w:jc w:val="center"/>
              <w:rPr>
                <w:sz w:val="20"/>
              </w:rPr>
            </w:pPr>
            <w:r>
              <w:rPr>
                <w:rFonts w:hint="eastAsia"/>
                <w:sz w:val="20"/>
              </w:rPr>
              <w:t>B1</w:t>
            </w:r>
          </w:p>
        </w:tc>
        <w:tc>
          <w:tcPr>
            <w:tcW w:w="943" w:type="pct"/>
            <w:vAlign w:val="center"/>
          </w:tcPr>
          <w:p>
            <w:pPr>
              <w:jc w:val="center"/>
              <w:rPr>
                <w:sz w:val="20"/>
              </w:rPr>
            </w:pPr>
            <w:r>
              <w:rPr>
                <w:rFonts w:hint="eastAsia"/>
                <w:sz w:val="20"/>
              </w:rPr>
              <w:t>B</w:t>
            </w:r>
          </w:p>
        </w:tc>
        <w:tc>
          <w:tcPr>
            <w:tcW w:w="440" w:type="pct"/>
            <w:vAlign w:val="center"/>
          </w:tcPr>
          <w:p>
            <w:pPr>
              <w:jc w:val="center"/>
              <w:rPr>
                <w:sz w:val="20"/>
              </w:rPr>
            </w:pPr>
            <w:r>
              <w:rPr>
                <w:rFonts w:hint="eastAsia"/>
                <w:sz w:val="20"/>
              </w:rPr>
              <w:t>C1</w:t>
            </w:r>
          </w:p>
        </w:tc>
        <w:tc>
          <w:tcPr>
            <w:tcW w:w="378" w:type="pct"/>
            <w:vAlign w:val="center"/>
          </w:tcPr>
          <w:p>
            <w:pPr>
              <w:jc w:val="center"/>
              <w:rPr>
                <w:sz w:val="20"/>
              </w:rPr>
            </w:pPr>
            <w:r>
              <w:rPr>
                <w:rFonts w:hint="eastAsia"/>
                <w:sz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tcPr>
          <w:p>
            <w:pPr>
              <w:jc w:val="center"/>
              <w:rPr>
                <w:sz w:val="20"/>
              </w:rPr>
            </w:pPr>
            <w:r>
              <w:rPr>
                <w:rFonts w:hint="eastAsia"/>
                <w:sz w:val="20"/>
              </w:rPr>
              <w:t>缺陷分值</w:t>
            </w:r>
          </w:p>
        </w:tc>
        <w:tc>
          <w:tcPr>
            <w:tcW w:w="691" w:type="pct"/>
            <w:vAlign w:val="center"/>
          </w:tcPr>
          <w:p>
            <w:pPr>
              <w:jc w:val="center"/>
              <w:rPr>
                <w:sz w:val="20"/>
              </w:rPr>
            </w:pPr>
            <w:r>
              <w:rPr>
                <w:rFonts w:hint="eastAsia"/>
                <w:sz w:val="20"/>
              </w:rPr>
              <w:t>140</w:t>
            </w:r>
          </w:p>
        </w:tc>
        <w:tc>
          <w:tcPr>
            <w:tcW w:w="876" w:type="pct"/>
            <w:vAlign w:val="center"/>
          </w:tcPr>
          <w:p>
            <w:pPr>
              <w:jc w:val="center"/>
              <w:rPr>
                <w:sz w:val="20"/>
              </w:rPr>
            </w:pPr>
            <w:r>
              <w:rPr>
                <w:rFonts w:hint="eastAsia"/>
                <w:sz w:val="20"/>
              </w:rPr>
              <w:t>80</w:t>
            </w:r>
          </w:p>
        </w:tc>
        <w:tc>
          <w:tcPr>
            <w:tcW w:w="976" w:type="pct"/>
            <w:vAlign w:val="center"/>
          </w:tcPr>
          <w:p>
            <w:pPr>
              <w:jc w:val="center"/>
              <w:rPr>
                <w:sz w:val="20"/>
              </w:rPr>
            </w:pPr>
            <w:r>
              <w:rPr>
                <w:rFonts w:hint="eastAsia"/>
                <w:sz w:val="20"/>
              </w:rPr>
              <w:t>60</w:t>
            </w:r>
          </w:p>
        </w:tc>
        <w:tc>
          <w:tcPr>
            <w:tcW w:w="943" w:type="pct"/>
            <w:vAlign w:val="center"/>
          </w:tcPr>
          <w:p>
            <w:pPr>
              <w:jc w:val="center"/>
              <w:rPr>
                <w:sz w:val="20"/>
              </w:rPr>
            </w:pPr>
            <w:r>
              <w:rPr>
                <w:rFonts w:hint="eastAsia"/>
                <w:sz w:val="20"/>
              </w:rPr>
              <w:t>40</w:t>
            </w:r>
          </w:p>
        </w:tc>
        <w:tc>
          <w:tcPr>
            <w:tcW w:w="440" w:type="pct"/>
            <w:vAlign w:val="center"/>
          </w:tcPr>
          <w:p>
            <w:pPr>
              <w:jc w:val="center"/>
              <w:rPr>
                <w:sz w:val="20"/>
              </w:rPr>
            </w:pPr>
            <w:r>
              <w:rPr>
                <w:rFonts w:hint="eastAsia"/>
                <w:sz w:val="20"/>
              </w:rPr>
              <w:t>20</w:t>
            </w:r>
          </w:p>
        </w:tc>
        <w:tc>
          <w:tcPr>
            <w:tcW w:w="378" w:type="pct"/>
            <w:vAlign w:val="center"/>
          </w:tcPr>
          <w:p>
            <w:pPr>
              <w:jc w:val="center"/>
              <w:rPr>
                <w:sz w:val="20"/>
              </w:rPr>
            </w:pPr>
            <w:r>
              <w:rPr>
                <w:rFonts w:hint="eastAsia"/>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Align w:val="center"/>
          </w:tcPr>
          <w:p>
            <w:pPr>
              <w:jc w:val="center"/>
              <w:rPr>
                <w:sz w:val="20"/>
              </w:rPr>
            </w:pPr>
            <w:r>
              <w:rPr>
                <w:rFonts w:hint="eastAsia"/>
                <w:sz w:val="20"/>
              </w:rPr>
              <w:t>缺陷评定</w:t>
            </w:r>
          </w:p>
        </w:tc>
        <w:tc>
          <w:tcPr>
            <w:tcW w:w="691" w:type="pct"/>
            <w:vAlign w:val="center"/>
          </w:tcPr>
          <w:p>
            <w:pPr>
              <w:jc w:val="left"/>
              <w:rPr>
                <w:sz w:val="20"/>
              </w:rPr>
            </w:pPr>
            <w:r>
              <w:rPr>
                <w:rFonts w:hint="eastAsia"/>
                <w:sz w:val="20"/>
              </w:rPr>
              <w:t>安全性存在危险；</w:t>
            </w:r>
          </w:p>
          <w:p>
            <w:pPr>
              <w:jc w:val="left"/>
              <w:rPr>
                <w:sz w:val="20"/>
              </w:rPr>
            </w:pPr>
            <w:r>
              <w:rPr>
                <w:rFonts w:hint="eastAsia"/>
                <w:sz w:val="20"/>
              </w:rPr>
              <w:t>不可出售的整车；</w:t>
            </w:r>
          </w:p>
        </w:tc>
        <w:tc>
          <w:tcPr>
            <w:tcW w:w="876" w:type="pct"/>
            <w:vAlign w:val="center"/>
          </w:tcPr>
          <w:p>
            <w:pPr>
              <w:jc w:val="left"/>
              <w:rPr>
                <w:sz w:val="20"/>
              </w:rPr>
            </w:pPr>
            <w:r>
              <w:rPr>
                <w:rFonts w:hint="eastAsia"/>
                <w:sz w:val="20"/>
              </w:rPr>
              <w:t>不可接受；</w:t>
            </w:r>
          </w:p>
          <w:p>
            <w:pPr>
              <w:jc w:val="left"/>
              <w:rPr>
                <w:sz w:val="20"/>
              </w:rPr>
            </w:pPr>
            <w:r>
              <w:rPr>
                <w:rFonts w:hint="eastAsia"/>
                <w:sz w:val="20"/>
              </w:rPr>
              <w:t>导致安全性缺陷；</w:t>
            </w:r>
          </w:p>
          <w:p>
            <w:pPr>
              <w:jc w:val="left"/>
              <w:rPr>
                <w:sz w:val="20"/>
              </w:rPr>
            </w:pPr>
            <w:r>
              <w:rPr>
                <w:rFonts w:hint="eastAsia"/>
                <w:sz w:val="20"/>
              </w:rPr>
              <w:t>严重的表面缺陷</w:t>
            </w:r>
          </w:p>
        </w:tc>
        <w:tc>
          <w:tcPr>
            <w:tcW w:w="976" w:type="pct"/>
            <w:vAlign w:val="center"/>
          </w:tcPr>
          <w:p>
            <w:pPr>
              <w:jc w:val="left"/>
              <w:rPr>
                <w:sz w:val="20"/>
              </w:rPr>
            </w:pPr>
            <w:r>
              <w:rPr>
                <w:rFonts w:hint="eastAsia"/>
                <w:sz w:val="20"/>
              </w:rPr>
              <w:t>不愉快干扰性的缺陷，并导致一般用户就此提出索赔；</w:t>
            </w:r>
          </w:p>
          <w:p>
            <w:pPr>
              <w:jc w:val="left"/>
              <w:rPr>
                <w:sz w:val="20"/>
              </w:rPr>
            </w:pPr>
            <w:r>
              <w:rPr>
                <w:rFonts w:hint="eastAsia"/>
                <w:sz w:val="20"/>
              </w:rPr>
              <w:t>存在质量问题</w:t>
            </w:r>
          </w:p>
        </w:tc>
        <w:tc>
          <w:tcPr>
            <w:tcW w:w="943" w:type="pct"/>
            <w:vAlign w:val="center"/>
          </w:tcPr>
          <w:p>
            <w:pPr>
              <w:jc w:val="left"/>
              <w:rPr>
                <w:sz w:val="20"/>
              </w:rPr>
            </w:pPr>
            <w:r>
              <w:rPr>
                <w:rFonts w:hint="eastAsia"/>
                <w:sz w:val="20"/>
              </w:rPr>
              <w:t>有改进的必要，要求高的用户所抱怨的的缺陷；</w:t>
            </w:r>
          </w:p>
          <w:p>
            <w:pPr>
              <w:jc w:val="left"/>
              <w:rPr>
                <w:sz w:val="20"/>
              </w:rPr>
            </w:pPr>
            <w:r>
              <w:rPr>
                <w:rFonts w:hint="eastAsia"/>
                <w:sz w:val="20"/>
              </w:rPr>
              <w:t>未满足质量要求</w:t>
            </w:r>
          </w:p>
        </w:tc>
        <w:tc>
          <w:tcPr>
            <w:tcW w:w="818" w:type="pct"/>
            <w:gridSpan w:val="2"/>
            <w:vAlign w:val="center"/>
          </w:tcPr>
          <w:p>
            <w:pPr>
              <w:jc w:val="left"/>
              <w:rPr>
                <w:sz w:val="20"/>
              </w:rPr>
            </w:pPr>
            <w:r>
              <w:rPr>
                <w:rFonts w:hint="eastAsia"/>
                <w:sz w:val="20"/>
              </w:rPr>
              <w:t>要求高的用户所频繁抱怨的缺陷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Align w:val="center"/>
          </w:tcPr>
          <w:p>
            <w:pPr>
              <w:tabs>
                <w:tab w:val="left" w:pos="701"/>
              </w:tabs>
              <w:jc w:val="center"/>
              <w:rPr>
                <w:sz w:val="20"/>
              </w:rPr>
            </w:pPr>
            <w:r>
              <w:rPr>
                <w:rFonts w:hint="eastAsia"/>
                <w:sz w:val="20"/>
              </w:rPr>
              <w:t>给用户带来的后果</w:t>
            </w:r>
          </w:p>
        </w:tc>
        <w:tc>
          <w:tcPr>
            <w:tcW w:w="691" w:type="pct"/>
            <w:vAlign w:val="center"/>
          </w:tcPr>
          <w:p>
            <w:pPr>
              <w:jc w:val="left"/>
              <w:rPr>
                <w:sz w:val="20"/>
              </w:rPr>
            </w:pPr>
            <w:r>
              <w:rPr>
                <w:rFonts w:hint="eastAsia"/>
                <w:sz w:val="20"/>
              </w:rPr>
              <w:t>整车不可使用</w:t>
            </w:r>
          </w:p>
        </w:tc>
        <w:tc>
          <w:tcPr>
            <w:tcW w:w="876" w:type="pct"/>
            <w:vAlign w:val="center"/>
          </w:tcPr>
          <w:p>
            <w:pPr>
              <w:jc w:val="left"/>
              <w:rPr>
                <w:sz w:val="20"/>
              </w:rPr>
            </w:pPr>
            <w:r>
              <w:rPr>
                <w:rFonts w:hint="eastAsia"/>
                <w:sz w:val="20"/>
              </w:rPr>
              <w:t>整车必须送往维修站维修</w:t>
            </w:r>
          </w:p>
        </w:tc>
        <w:tc>
          <w:tcPr>
            <w:tcW w:w="976" w:type="pct"/>
            <w:vAlign w:val="center"/>
          </w:tcPr>
          <w:p>
            <w:pPr>
              <w:jc w:val="left"/>
              <w:rPr>
                <w:sz w:val="20"/>
              </w:rPr>
            </w:pPr>
            <w:r>
              <w:rPr>
                <w:rFonts w:hint="eastAsia"/>
                <w:sz w:val="20"/>
              </w:rPr>
              <w:t>缺陷将在最近的维修服务中消除</w:t>
            </w:r>
          </w:p>
        </w:tc>
        <w:tc>
          <w:tcPr>
            <w:tcW w:w="943" w:type="pct"/>
            <w:vAlign w:val="center"/>
          </w:tcPr>
          <w:p>
            <w:pPr>
              <w:jc w:val="left"/>
              <w:rPr>
                <w:sz w:val="20"/>
              </w:rPr>
            </w:pPr>
            <w:r>
              <w:rPr>
                <w:rFonts w:hint="eastAsia"/>
                <w:sz w:val="20"/>
              </w:rPr>
              <w:t>用户期待部分修正缺陷</w:t>
            </w:r>
          </w:p>
        </w:tc>
        <w:tc>
          <w:tcPr>
            <w:tcW w:w="818" w:type="pct"/>
            <w:gridSpan w:val="2"/>
            <w:vAlign w:val="center"/>
          </w:tcPr>
          <w:p>
            <w:pPr>
              <w:jc w:val="left"/>
              <w:rPr>
                <w:sz w:val="20"/>
              </w:rPr>
            </w:pPr>
            <w:r>
              <w:rPr>
                <w:rFonts w:hint="eastAsia"/>
                <w:sz w:val="20"/>
              </w:rPr>
              <w:t>用户抱怨质量水平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Merge w:val="restart"/>
            <w:vAlign w:val="center"/>
          </w:tcPr>
          <w:p>
            <w:pPr>
              <w:jc w:val="center"/>
              <w:rPr>
                <w:sz w:val="20"/>
              </w:rPr>
            </w:pPr>
            <w:r>
              <w:rPr>
                <w:rFonts w:hint="eastAsia"/>
                <w:sz w:val="20"/>
              </w:rPr>
              <w:t>发现者</w:t>
            </w:r>
          </w:p>
        </w:tc>
        <w:tc>
          <w:tcPr>
            <w:tcW w:w="1567" w:type="pct"/>
            <w:gridSpan w:val="2"/>
            <w:vAlign w:val="center"/>
          </w:tcPr>
          <w:p>
            <w:pPr>
              <w:jc w:val="left"/>
              <w:rPr>
                <w:sz w:val="20"/>
              </w:rPr>
            </w:pPr>
            <w:r>
              <w:rPr>
                <w:rFonts w:hint="eastAsia"/>
                <w:sz w:val="20"/>
              </w:rPr>
              <w:t>所有用户</w:t>
            </w:r>
          </w:p>
        </w:tc>
        <w:tc>
          <w:tcPr>
            <w:tcW w:w="2736" w:type="pct"/>
            <w:gridSpan w:val="4"/>
            <w:vAlign w:val="center"/>
          </w:tcPr>
          <w:p>
            <w:pPr>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Merge w:val="continue"/>
            <w:vAlign w:val="center"/>
          </w:tcPr>
          <w:p>
            <w:pPr>
              <w:jc w:val="center"/>
              <w:rPr>
                <w:sz w:val="20"/>
              </w:rPr>
            </w:pPr>
          </w:p>
        </w:tc>
        <w:tc>
          <w:tcPr>
            <w:tcW w:w="2543" w:type="pct"/>
            <w:gridSpan w:val="3"/>
            <w:vAlign w:val="center"/>
          </w:tcPr>
          <w:p>
            <w:pPr>
              <w:jc w:val="left"/>
              <w:rPr>
                <w:sz w:val="20"/>
              </w:rPr>
            </w:pPr>
            <w:r>
              <w:rPr>
                <w:rFonts w:hint="eastAsia"/>
                <w:sz w:val="20"/>
              </w:rPr>
              <w:t>一般用户</w:t>
            </w:r>
          </w:p>
        </w:tc>
        <w:tc>
          <w:tcPr>
            <w:tcW w:w="943" w:type="pct"/>
            <w:vAlign w:val="center"/>
          </w:tcPr>
          <w:p>
            <w:pPr>
              <w:jc w:val="left"/>
              <w:rPr>
                <w:sz w:val="20"/>
              </w:rPr>
            </w:pPr>
          </w:p>
        </w:tc>
        <w:tc>
          <w:tcPr>
            <w:tcW w:w="818" w:type="pct"/>
            <w:gridSpan w:val="2"/>
            <w:vAlign w:val="center"/>
          </w:tcPr>
          <w:p>
            <w:pPr>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Merge w:val="continue"/>
            <w:vAlign w:val="center"/>
          </w:tcPr>
          <w:p>
            <w:pPr>
              <w:jc w:val="center"/>
              <w:rPr>
                <w:sz w:val="20"/>
              </w:rPr>
            </w:pPr>
          </w:p>
        </w:tc>
        <w:tc>
          <w:tcPr>
            <w:tcW w:w="4304" w:type="pct"/>
            <w:gridSpan w:val="6"/>
            <w:vAlign w:val="center"/>
          </w:tcPr>
          <w:p>
            <w:pPr>
              <w:jc w:val="left"/>
              <w:rPr>
                <w:sz w:val="20"/>
              </w:rPr>
            </w:pPr>
            <w:r>
              <w:rPr>
                <w:rFonts w:hint="eastAsia"/>
                <w:sz w:val="20"/>
              </w:rPr>
              <w:t>要求高的用户和熟知内部质量标准并经培训的奥迪特评审员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Align w:val="center"/>
          </w:tcPr>
          <w:p>
            <w:pPr>
              <w:jc w:val="center"/>
              <w:rPr>
                <w:sz w:val="20"/>
              </w:rPr>
            </w:pPr>
            <w:r>
              <w:rPr>
                <w:rFonts w:hint="eastAsia"/>
                <w:sz w:val="20"/>
              </w:rPr>
              <w:t>消除缺陷</w:t>
            </w:r>
          </w:p>
        </w:tc>
        <w:tc>
          <w:tcPr>
            <w:tcW w:w="2543" w:type="pct"/>
            <w:gridSpan w:val="3"/>
            <w:vAlign w:val="center"/>
          </w:tcPr>
          <w:p>
            <w:pPr>
              <w:jc w:val="left"/>
              <w:rPr>
                <w:sz w:val="20"/>
              </w:rPr>
            </w:pPr>
            <w:r>
              <w:rPr>
                <w:rFonts w:hint="eastAsia"/>
                <w:sz w:val="20"/>
              </w:rPr>
              <w:t>缺陷必须消除，并确保：</w:t>
            </w:r>
          </w:p>
          <w:p>
            <w:pPr>
              <w:jc w:val="left"/>
              <w:rPr>
                <w:sz w:val="20"/>
              </w:rPr>
            </w:pPr>
            <w:r>
              <w:rPr>
                <w:rFonts w:hint="eastAsia"/>
                <w:sz w:val="20"/>
              </w:rPr>
              <w:t>没有一台带有这样缺陷的整车流到用户</w:t>
            </w:r>
          </w:p>
        </w:tc>
        <w:tc>
          <w:tcPr>
            <w:tcW w:w="943" w:type="pct"/>
            <w:vAlign w:val="center"/>
          </w:tcPr>
          <w:p>
            <w:pPr>
              <w:jc w:val="left"/>
              <w:rPr>
                <w:sz w:val="20"/>
              </w:rPr>
            </w:pPr>
          </w:p>
        </w:tc>
        <w:tc>
          <w:tcPr>
            <w:tcW w:w="818" w:type="pct"/>
            <w:gridSpan w:val="2"/>
            <w:vAlign w:val="center"/>
          </w:tcPr>
          <w:p>
            <w:pPr>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pct"/>
            <w:vAlign w:val="center"/>
          </w:tcPr>
          <w:p>
            <w:pPr>
              <w:jc w:val="center"/>
              <w:rPr>
                <w:sz w:val="20"/>
              </w:rPr>
            </w:pPr>
            <w:r>
              <w:rPr>
                <w:rFonts w:hint="eastAsia"/>
                <w:sz w:val="20"/>
              </w:rPr>
              <w:t>批量生产中改进措施</w:t>
            </w:r>
          </w:p>
        </w:tc>
        <w:tc>
          <w:tcPr>
            <w:tcW w:w="2543" w:type="pct"/>
            <w:gridSpan w:val="3"/>
            <w:vAlign w:val="center"/>
          </w:tcPr>
          <w:p>
            <w:pPr>
              <w:jc w:val="left"/>
              <w:rPr>
                <w:sz w:val="20"/>
              </w:rPr>
            </w:pPr>
            <w:r>
              <w:rPr>
                <w:rFonts w:hint="eastAsia"/>
                <w:sz w:val="20"/>
              </w:rPr>
              <w:t>采取措施消除原因，使同样缺陷不再发生</w:t>
            </w:r>
          </w:p>
        </w:tc>
        <w:tc>
          <w:tcPr>
            <w:tcW w:w="943" w:type="pct"/>
            <w:vAlign w:val="center"/>
          </w:tcPr>
          <w:p>
            <w:pPr>
              <w:jc w:val="left"/>
              <w:rPr>
                <w:sz w:val="20"/>
              </w:rPr>
            </w:pPr>
            <w:r>
              <w:rPr>
                <w:rFonts w:hint="eastAsia"/>
                <w:sz w:val="20"/>
              </w:rPr>
              <w:t>在缺陷发生到一定频次时，采取措施</w:t>
            </w:r>
          </w:p>
        </w:tc>
        <w:tc>
          <w:tcPr>
            <w:tcW w:w="818" w:type="pct"/>
            <w:gridSpan w:val="2"/>
            <w:vAlign w:val="center"/>
          </w:tcPr>
          <w:p>
            <w:pPr>
              <w:jc w:val="left"/>
              <w:rPr>
                <w:sz w:val="20"/>
              </w:rPr>
            </w:pPr>
            <w:r>
              <w:rPr>
                <w:rFonts w:hint="eastAsia"/>
                <w:sz w:val="20"/>
              </w:rPr>
              <w:t>注意：</w:t>
            </w:r>
          </w:p>
          <w:p>
            <w:pPr>
              <w:jc w:val="left"/>
              <w:rPr>
                <w:sz w:val="20"/>
              </w:rPr>
            </w:pPr>
            <w:r>
              <w:rPr>
                <w:rFonts w:hint="eastAsia"/>
                <w:sz w:val="20"/>
              </w:rPr>
              <w:t>避免缺陷恶劣</w:t>
            </w:r>
          </w:p>
        </w:tc>
      </w:tr>
      <w:bookmarkEnd w:id="0"/>
    </w:tbl>
    <w:p>
      <w:pPr>
        <w:pStyle w:val="59"/>
        <w:spacing w:before="312" w:beforeLines="100" w:after="312" w:afterLines="100"/>
      </w:pPr>
      <w:r>
        <w:rPr>
          <w:rFonts w:hint="eastAsia"/>
        </w:rPr>
        <w:t>冲压件外观质量判定标准</w:t>
      </w:r>
    </w:p>
    <w:p>
      <w:pPr>
        <w:pStyle w:val="60"/>
        <w:spacing w:before="156" w:beforeLines="50" w:after="156" w:afterLines="50"/>
        <w:ind w:left="283"/>
      </w:pPr>
      <w:r>
        <w:rPr>
          <w:rFonts w:hint="eastAsia"/>
        </w:rPr>
        <w:t>冲压件外观缺陷判定标准</w:t>
      </w:r>
    </w:p>
    <w:p>
      <w:pPr>
        <w:pStyle w:val="58"/>
        <w:ind w:firstLine="420"/>
      </w:pPr>
      <w:bookmarkStart w:id="2" w:name="_Hlk74568340"/>
      <w:r>
        <w:rPr>
          <w:rFonts w:hint="eastAsia"/>
        </w:rPr>
        <w:t>通过对外观冲压件表面质量进行检验，识别表面缺陷类型，并根据在车身的分区和缺陷的严重程度进行分级、扣分，并最终确定外观冲压件的AUDIT等级。</w:t>
      </w:r>
    </w:p>
    <w:bookmarkEnd w:id="2"/>
    <w:p>
      <w:pPr>
        <w:pStyle w:val="61"/>
        <w:spacing w:before="156" w:beforeLines="50" w:after="156" w:afterLines="50"/>
        <w:ind w:left="420" w:leftChars="200"/>
        <w:rPr>
          <w:b/>
          <w:sz w:val="24"/>
        </w:rPr>
      </w:pPr>
      <w:r>
        <w:rPr>
          <w:rFonts w:hint="eastAsia" w:hAnsi="黑体"/>
        </w:rPr>
        <w:t>包/坑：表面上</w:t>
      </w:r>
      <w:r>
        <w:rPr>
          <w:rFonts w:hint="eastAsia"/>
          <w:sz w:val="20"/>
        </w:rPr>
        <w:t>的突出</w:t>
      </w:r>
      <w:r>
        <w:rPr>
          <w:sz w:val="20"/>
        </w:rPr>
        <w:t xml:space="preserve"> (</w:t>
      </w:r>
      <w:r>
        <w:rPr>
          <w:rFonts w:hint="eastAsia"/>
          <w:sz w:val="20"/>
        </w:rPr>
        <w:t>包</w:t>
      </w:r>
      <w:r>
        <w:rPr>
          <w:sz w:val="20"/>
        </w:rPr>
        <w:t xml:space="preserve">), </w:t>
      </w:r>
      <w:r>
        <w:rPr>
          <w:rFonts w:hint="eastAsia"/>
          <w:sz w:val="20"/>
        </w:rPr>
        <w:t>凹陷</w:t>
      </w:r>
      <w:r>
        <w:rPr>
          <w:sz w:val="20"/>
        </w:rPr>
        <w:t xml:space="preserve"> (</w:t>
      </w:r>
      <w:r>
        <w:rPr>
          <w:rFonts w:hint="eastAsia"/>
          <w:sz w:val="20"/>
        </w:rPr>
        <w:t>坑</w:t>
      </w:r>
      <w:r>
        <w:rPr>
          <w:sz w:val="20"/>
        </w:rPr>
        <w:t>,</w:t>
      </w:r>
      <w:r>
        <w:rPr>
          <w:rFonts w:hint="eastAsia"/>
          <w:sz w:val="20"/>
        </w:rPr>
        <w:t>凹坑</w:t>
      </w:r>
      <w:r>
        <w:rPr>
          <w:sz w:val="20"/>
        </w:rPr>
        <w:t>)</w:t>
      </w:r>
    </w:p>
    <w:p>
      <w:pPr>
        <w:rPr>
          <w:b/>
          <w:sz w:val="28"/>
        </w:rPr>
      </w:pPr>
      <w:r>
        <w:rPr>
          <w:rFonts w:hint="eastAsia"/>
          <w:sz w:val="20"/>
        </w:rPr>
        <w:t>说明</w:t>
      </w:r>
      <w:r>
        <w:rPr>
          <w:rFonts w:hint="eastAsia" w:ascii="Arial" w:hAnsi="Arial" w:cs="Arial"/>
          <w:kern w:val="0"/>
          <w:sz w:val="19"/>
          <w:szCs w:val="19"/>
        </w:rPr>
        <w:t xml:space="preserve">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45" w:type="dxa"/>
            <w:vAlign w:val="center"/>
          </w:tcPr>
          <w:p>
            <w:pPr>
              <w:rPr>
                <w:b/>
                <w:sz w:val="28"/>
              </w:rPr>
            </w:pPr>
            <w:r>
              <w:rPr>
                <w:rFonts w:hint="eastAsia"/>
                <w:sz w:val="20"/>
              </w:rPr>
              <w:t>极其明显的包/坑</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r>
              <w:rPr>
                <w:rFonts w:hint="eastAsia"/>
                <w:b/>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45" w:type="dxa"/>
            <w:vAlign w:val="center"/>
          </w:tcPr>
          <w:p>
            <w:pPr>
              <w:rPr>
                <w:sz w:val="20"/>
              </w:rPr>
            </w:pPr>
            <w:r>
              <w:rPr>
                <w:rFonts w:hint="eastAsia"/>
                <w:sz w:val="20"/>
              </w:rPr>
              <w:t>从各个角度明显可见的坑/包，目视有尖的突起</w:t>
            </w:r>
          </w:p>
          <w:p>
            <w:pPr>
              <w:rPr>
                <w:sz w:val="20"/>
              </w:rPr>
            </w:pPr>
            <w:r>
              <w:rPr>
                <w:rFonts w:hint="eastAsia"/>
                <w:sz w:val="20"/>
              </w:rPr>
              <w:t>棱线边缘处的包/坑</w:t>
            </w:r>
          </w:p>
          <w:p>
            <w:pPr>
              <w:rPr>
                <w:b/>
                <w:sz w:val="28"/>
              </w:rPr>
            </w:pPr>
            <w:r>
              <w:rPr>
                <w:rFonts w:hint="eastAsia"/>
                <w:sz w:val="20"/>
              </w:rPr>
              <w:t>在一个零件上有多个脏点</w:t>
            </w:r>
          </w:p>
        </w:tc>
        <w:tc>
          <w:tcPr>
            <w:tcW w:w="567" w:type="dxa"/>
            <w:vAlign w:val="center"/>
          </w:tcPr>
          <w:p>
            <w:pPr>
              <w:jc w:val="center"/>
              <w:rPr>
                <w:b/>
                <w:sz w:val="18"/>
                <w:szCs w:val="18"/>
              </w:rPr>
            </w:pPr>
            <w:r>
              <w:rPr>
                <w:rFonts w:hint="eastAsia"/>
                <w:b/>
                <w:sz w:val="18"/>
                <w:szCs w:val="18"/>
              </w:rPr>
              <w:t>B1</w:t>
            </w:r>
          </w:p>
        </w:tc>
        <w:tc>
          <w:tcPr>
            <w:tcW w:w="567" w:type="dxa"/>
            <w:vAlign w:val="center"/>
          </w:tcPr>
          <w:p>
            <w:pPr>
              <w:jc w:val="center"/>
              <w:rPr>
                <w:b/>
                <w:sz w:val="18"/>
                <w:szCs w:val="18"/>
              </w:rPr>
            </w:pPr>
            <w:r>
              <w:rPr>
                <w:rFonts w:hint="eastAsia"/>
                <w:b/>
                <w:sz w:val="18"/>
                <w:szCs w:val="18"/>
              </w:rPr>
              <w:t>B</w:t>
            </w:r>
          </w:p>
        </w:tc>
        <w:tc>
          <w:tcPr>
            <w:tcW w:w="567" w:type="dxa"/>
            <w:vAlign w:val="center"/>
          </w:tcPr>
          <w:p>
            <w:pPr>
              <w:jc w:val="center"/>
              <w:rPr>
                <w:b/>
                <w:sz w:val="18"/>
                <w:szCs w:val="18"/>
              </w:rPr>
            </w:pPr>
            <w:r>
              <w:rPr>
                <w:rFonts w:hint="eastAsia"/>
                <w:b/>
                <w:sz w:val="18"/>
                <w:szCs w:val="18"/>
              </w:rPr>
              <w:t>C1</w:t>
            </w: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45" w:type="dxa"/>
            <w:vAlign w:val="center"/>
          </w:tcPr>
          <w:p>
            <w:pPr>
              <w:rPr>
                <w:b/>
                <w:sz w:val="28"/>
              </w:rPr>
            </w:pPr>
            <w:r>
              <w:rPr>
                <w:rFonts w:hint="eastAsia"/>
                <w:sz w:val="20"/>
              </w:rPr>
              <w:t>包、坑、脏点（可见可感觉）</w:t>
            </w:r>
          </w:p>
        </w:tc>
        <w:tc>
          <w:tcPr>
            <w:tcW w:w="567" w:type="dxa"/>
            <w:vAlign w:val="center"/>
          </w:tcPr>
          <w:p>
            <w:pPr>
              <w:jc w:val="center"/>
              <w:rPr>
                <w:b/>
                <w:sz w:val="18"/>
                <w:szCs w:val="18"/>
              </w:rPr>
            </w:pPr>
            <w:r>
              <w:rPr>
                <w:rFonts w:hint="eastAsia"/>
                <w:b/>
                <w:sz w:val="18"/>
                <w:szCs w:val="18"/>
              </w:rPr>
              <w:t>B</w:t>
            </w:r>
          </w:p>
        </w:tc>
        <w:tc>
          <w:tcPr>
            <w:tcW w:w="567" w:type="dxa"/>
            <w:vAlign w:val="center"/>
          </w:tcPr>
          <w:p>
            <w:pPr>
              <w:jc w:val="center"/>
              <w:rPr>
                <w:b/>
                <w:sz w:val="18"/>
                <w:szCs w:val="18"/>
              </w:rPr>
            </w:pPr>
            <w:r>
              <w:rPr>
                <w:rFonts w:hint="eastAsia"/>
                <w:b/>
                <w:sz w:val="18"/>
                <w:szCs w:val="18"/>
              </w:rPr>
              <w:t>C1</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345" w:type="dxa"/>
            <w:vAlign w:val="center"/>
          </w:tcPr>
          <w:p>
            <w:pPr>
              <w:rPr>
                <w:b/>
                <w:sz w:val="28"/>
              </w:rPr>
            </w:pPr>
            <w:r>
              <w:rPr>
                <w:rFonts w:hint="eastAsia"/>
                <w:sz w:val="20"/>
              </w:rPr>
              <w:t>轻微的包</w:t>
            </w:r>
            <w:r>
              <w:rPr>
                <w:sz w:val="20"/>
              </w:rPr>
              <w:t xml:space="preserve"> / </w:t>
            </w:r>
            <w:r>
              <w:rPr>
                <w:rFonts w:hint="eastAsia"/>
                <w:sz w:val="20"/>
              </w:rPr>
              <w:t>坑</w:t>
            </w:r>
            <w:r>
              <w:rPr>
                <w:sz w:val="20"/>
              </w:rPr>
              <w:t xml:space="preserve"> </w:t>
            </w:r>
            <w:r>
              <w:rPr>
                <w:rFonts w:hint="eastAsia"/>
                <w:sz w:val="20"/>
              </w:rPr>
              <w:t>，仅能看到脏点</w:t>
            </w:r>
          </w:p>
        </w:tc>
        <w:tc>
          <w:tcPr>
            <w:tcW w:w="567" w:type="dxa"/>
            <w:vAlign w:val="center"/>
          </w:tcPr>
          <w:p>
            <w:pPr>
              <w:jc w:val="center"/>
              <w:rPr>
                <w:b/>
                <w:sz w:val="18"/>
                <w:szCs w:val="18"/>
              </w:rPr>
            </w:pPr>
            <w:r>
              <w:rPr>
                <w:rFonts w:hint="eastAsia"/>
                <w:b/>
                <w:sz w:val="18"/>
                <w:szCs w:val="18"/>
              </w:rPr>
              <w:t>C1</w:t>
            </w:r>
          </w:p>
        </w:tc>
        <w:tc>
          <w:tcPr>
            <w:tcW w:w="567" w:type="dxa"/>
            <w:vAlign w:val="center"/>
          </w:tcPr>
          <w:p>
            <w:pPr>
              <w:jc w:val="center"/>
              <w:rPr>
                <w:b/>
                <w:sz w:val="18"/>
                <w:szCs w:val="18"/>
              </w:rPr>
            </w:pPr>
          </w:p>
        </w:tc>
        <w:tc>
          <w:tcPr>
            <w:tcW w:w="567" w:type="dxa"/>
            <w:vAlign w:val="center"/>
          </w:tcPr>
          <w:p>
            <w:pPr>
              <w:jc w:val="center"/>
              <w:rPr>
                <w:b/>
                <w:sz w:val="18"/>
                <w:szCs w:val="18"/>
              </w:rPr>
            </w:pPr>
          </w:p>
        </w:tc>
        <w:tc>
          <w:tcPr>
            <w:tcW w:w="567" w:type="dxa"/>
            <w:vAlign w:val="center"/>
          </w:tcPr>
          <w:p>
            <w:pPr>
              <w:jc w:val="center"/>
              <w:rPr>
                <w:b/>
                <w:sz w:val="18"/>
                <w:szCs w:val="18"/>
              </w:rPr>
            </w:pPr>
          </w:p>
        </w:tc>
      </w:tr>
    </w:tbl>
    <w:p>
      <w:pPr>
        <w:pStyle w:val="61"/>
        <w:spacing w:before="156" w:beforeLines="50" w:after="156" w:afterLines="50"/>
        <w:ind w:left="420" w:leftChars="200"/>
        <w:rPr>
          <w:rFonts w:hAnsi="黑体"/>
        </w:rPr>
      </w:pPr>
      <w:r>
        <w:rPr>
          <w:rFonts w:hint="eastAsia" w:hAnsi="黑体"/>
        </w:rPr>
        <w:t>褶皱、冲击线、滑移线：在</w:t>
      </w:r>
      <w:r>
        <w:rPr>
          <w:rFonts w:hint="eastAsia"/>
          <w:sz w:val="20"/>
        </w:rPr>
        <w:t>拉延过程中产生的缺陷，具有不规则的现象。</w:t>
      </w:r>
      <w:r>
        <w:rPr>
          <w:sz w:val="20"/>
        </w:rPr>
        <w:t>(</w:t>
      </w:r>
      <w:r>
        <w:rPr>
          <w:rFonts w:hint="eastAsia"/>
          <w:sz w:val="20"/>
        </w:rPr>
        <w:t>拉延褶皱、滑移线、冲击线</w:t>
      </w:r>
      <w:r>
        <w:rPr>
          <w:sz w:val="20"/>
        </w:rPr>
        <w:t>)</w:t>
      </w:r>
    </w:p>
    <w:p>
      <w:pPr>
        <w:rPr>
          <w:b/>
          <w:sz w:val="28"/>
        </w:rPr>
      </w:pPr>
      <w:r>
        <w:rPr>
          <w:rFonts w:hint="eastAsia"/>
          <w:sz w:val="20"/>
        </w:rPr>
        <w:t>说明</w:t>
      </w:r>
      <w:r>
        <w:rPr>
          <w:rFonts w:hint="eastAsia" w:ascii="Arial" w:hAnsi="Arial" w:cs="Arial"/>
          <w:kern w:val="0"/>
          <w:sz w:val="19"/>
          <w:szCs w:val="19"/>
        </w:rPr>
        <w:t xml:space="preserve">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jc w:val="left"/>
              <w:rPr>
                <w:b/>
                <w:sz w:val="28"/>
              </w:rPr>
            </w:pPr>
            <w:r>
              <w:rPr>
                <w:rFonts w:hint="eastAsia"/>
                <w:sz w:val="20"/>
              </w:rPr>
              <w:t>明显清晰的拉延褶皱、滑移线、冲击线</w:t>
            </w:r>
          </w:p>
        </w:tc>
        <w:tc>
          <w:tcPr>
            <w:tcW w:w="567" w:type="dxa"/>
            <w:vAlign w:val="center"/>
          </w:tcPr>
          <w:p>
            <w:pPr>
              <w:jc w:val="center"/>
              <w:rPr>
                <w:b/>
                <w:sz w:val="18"/>
                <w:szCs w:val="18"/>
              </w:rPr>
            </w:pPr>
            <w:r>
              <w:rPr>
                <w:rFonts w:hint="eastAsia"/>
                <w:b/>
                <w:sz w:val="18"/>
                <w:szCs w:val="18"/>
              </w:rPr>
              <w:t>A</w:t>
            </w:r>
          </w:p>
        </w:tc>
        <w:tc>
          <w:tcPr>
            <w:tcW w:w="567" w:type="dxa"/>
            <w:vAlign w:val="center"/>
          </w:tcPr>
          <w:p>
            <w:pPr>
              <w:jc w:val="center"/>
              <w:rPr>
                <w:b/>
                <w:sz w:val="18"/>
                <w:szCs w:val="18"/>
              </w:rPr>
            </w:pPr>
            <w:r>
              <w:rPr>
                <w:rFonts w:hint="eastAsia"/>
                <w:b/>
                <w:sz w:val="18"/>
                <w:szCs w:val="18"/>
              </w:rPr>
              <w:t>B</w:t>
            </w:r>
          </w:p>
        </w:tc>
        <w:tc>
          <w:tcPr>
            <w:tcW w:w="567" w:type="dxa"/>
            <w:vAlign w:val="center"/>
          </w:tcPr>
          <w:p>
            <w:pPr>
              <w:jc w:val="center"/>
              <w:rPr>
                <w:b/>
                <w:sz w:val="18"/>
                <w:szCs w:val="18"/>
              </w:rPr>
            </w:pPr>
          </w:p>
        </w:tc>
        <w:tc>
          <w:tcPr>
            <w:tcW w:w="567" w:type="dxa"/>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jc w:val="left"/>
              <w:rPr>
                <w:sz w:val="20"/>
              </w:rPr>
            </w:pPr>
            <w:r>
              <w:rPr>
                <w:rFonts w:hint="eastAsia"/>
                <w:sz w:val="20"/>
              </w:rPr>
              <w:t>可见的拉延褶皱、滑移线、冲击线。</w:t>
            </w:r>
          </w:p>
        </w:tc>
        <w:tc>
          <w:tcPr>
            <w:tcW w:w="567" w:type="dxa"/>
            <w:vAlign w:val="center"/>
          </w:tcPr>
          <w:p>
            <w:pPr>
              <w:jc w:val="center"/>
              <w:rPr>
                <w:b/>
                <w:sz w:val="18"/>
                <w:szCs w:val="18"/>
              </w:rPr>
            </w:pPr>
            <w:r>
              <w:rPr>
                <w:rFonts w:hint="eastAsia"/>
                <w:b/>
                <w:sz w:val="18"/>
                <w:szCs w:val="18"/>
              </w:rPr>
              <w:t>B</w:t>
            </w:r>
          </w:p>
        </w:tc>
        <w:tc>
          <w:tcPr>
            <w:tcW w:w="567" w:type="dxa"/>
            <w:vAlign w:val="center"/>
          </w:tcPr>
          <w:p>
            <w:pPr>
              <w:jc w:val="center"/>
              <w:rPr>
                <w:b/>
                <w:sz w:val="18"/>
                <w:szCs w:val="18"/>
              </w:rPr>
            </w:pPr>
            <w:r>
              <w:rPr>
                <w:rFonts w:hint="eastAsia"/>
                <w:b/>
                <w:sz w:val="18"/>
                <w:szCs w:val="18"/>
              </w:rPr>
              <w:t>C1</w:t>
            </w:r>
          </w:p>
        </w:tc>
        <w:tc>
          <w:tcPr>
            <w:tcW w:w="567" w:type="dxa"/>
            <w:vAlign w:val="center"/>
          </w:tcPr>
          <w:p>
            <w:pPr>
              <w:jc w:val="center"/>
              <w:rPr>
                <w:b/>
                <w:sz w:val="18"/>
                <w:szCs w:val="18"/>
              </w:rPr>
            </w:pPr>
          </w:p>
        </w:tc>
        <w:tc>
          <w:tcPr>
            <w:tcW w:w="567" w:type="dxa"/>
            <w:vAlign w:val="center"/>
          </w:tcPr>
          <w:p>
            <w:pPr>
              <w:jc w:val="center"/>
              <w:rPr>
                <w:b/>
                <w:sz w:val="18"/>
                <w:szCs w:val="18"/>
              </w:rPr>
            </w:pPr>
          </w:p>
        </w:tc>
      </w:tr>
    </w:tbl>
    <w:p>
      <w:pPr>
        <w:pStyle w:val="61"/>
        <w:spacing w:before="156" w:beforeLines="50" w:after="156" w:afterLines="50"/>
        <w:ind w:left="420" w:leftChars="200"/>
        <w:rPr>
          <w:rFonts w:hAnsi="黑体"/>
        </w:rPr>
      </w:pPr>
      <w:r>
        <w:rPr>
          <w:rFonts w:hint="eastAsia" w:hAnsi="黑体"/>
        </w:rPr>
        <w:t>轮廓偏差：金属材料的轮廓偏差和切边</w:t>
      </w:r>
    </w:p>
    <w:p>
      <w:pPr>
        <w:rPr>
          <w:b/>
          <w:sz w:val="28"/>
        </w:rPr>
      </w:pPr>
      <w:r>
        <w:rPr>
          <w:rFonts w:hint="eastAsia"/>
          <w:sz w:val="20"/>
        </w:rPr>
        <w:t>说明</w:t>
      </w:r>
      <w:r>
        <w:rPr>
          <w:rFonts w:hint="eastAsia" w:ascii="Arial" w:hAnsi="Arial" w:cs="Arial"/>
          <w:kern w:val="0"/>
          <w:sz w:val="19"/>
          <w:szCs w:val="19"/>
        </w:rPr>
        <w:t xml:space="preserve">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c>
          <w:tcPr>
            <w:tcW w:w="6345" w:type="dxa"/>
            <w:vAlign w:val="center"/>
          </w:tcPr>
          <w:p>
            <w:pPr>
              <w:rPr>
                <w:sz w:val="20"/>
              </w:rPr>
            </w:pPr>
            <w:r>
              <w:rPr>
                <w:rFonts w:hint="eastAsia"/>
                <w:sz w:val="20"/>
              </w:rPr>
              <w:t>明显可见的轮廓偏差（具有功能影响）</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明显的轮廓偏差</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C1</w:t>
            </w:r>
          </w:p>
        </w:tc>
      </w:tr>
    </w:tbl>
    <w:p>
      <w:pPr>
        <w:pStyle w:val="61"/>
        <w:spacing w:before="156" w:beforeLines="50" w:after="156" w:afterLines="50"/>
        <w:ind w:left="420" w:leftChars="200"/>
        <w:rPr>
          <w:rFonts w:hAnsi="黑体"/>
        </w:rPr>
      </w:pPr>
      <w:r>
        <w:rPr>
          <w:rFonts w:hint="eastAsia" w:hAnsi="黑体"/>
        </w:rPr>
        <w:t>压痕：有杂质附着于钢板或模具表面，在冲压后使零件表面产生的点状缺陷</w:t>
      </w:r>
    </w:p>
    <w:p>
      <w:pPr>
        <w:rPr>
          <w:b/>
          <w:sz w:val="28"/>
        </w:rPr>
      </w:pPr>
      <w:r>
        <w:rPr>
          <w:rFonts w:hint="eastAsia"/>
          <w:sz w:val="20"/>
        </w:rPr>
        <w:t>说明</w:t>
      </w:r>
      <w:r>
        <w:rPr>
          <w:rFonts w:hint="eastAsia" w:ascii="Arial" w:hAnsi="Arial" w:cs="Arial"/>
          <w:kern w:val="0"/>
          <w:sz w:val="19"/>
          <w:szCs w:val="19"/>
        </w:rPr>
        <w:t xml:space="preserve">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c>
          <w:tcPr>
            <w:tcW w:w="6345" w:type="dxa"/>
            <w:vAlign w:val="center"/>
          </w:tcPr>
          <w:p>
            <w:pPr>
              <w:rPr>
                <w:sz w:val="20"/>
              </w:rPr>
            </w:pPr>
            <w:r>
              <w:rPr>
                <w:rFonts w:hint="eastAsia"/>
                <w:sz w:val="20"/>
              </w:rPr>
              <w:t>明显可见的</w:t>
            </w:r>
            <w:r>
              <w:rPr>
                <w:sz w:val="20"/>
              </w:rPr>
              <w:t>/</w:t>
            </w:r>
            <w:r>
              <w:rPr>
                <w:rFonts w:hint="eastAsia"/>
                <w:sz w:val="20"/>
              </w:rPr>
              <w:t>可触摸的</w:t>
            </w:r>
            <w:r>
              <w:rPr>
                <w:sz w:val="20"/>
              </w:rPr>
              <w:t xml:space="preserve"> (</w:t>
            </w:r>
            <w:r>
              <w:rPr>
                <w:rFonts w:hint="eastAsia"/>
                <w:sz w:val="20"/>
              </w:rPr>
              <w:t>在后序的生产过程中可见</w:t>
            </w:r>
            <w:r>
              <w:rPr>
                <w:sz w:val="20"/>
              </w:rPr>
              <w:t>)</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突出的压痕</w:t>
            </w:r>
            <w:r>
              <w:rPr>
                <w:sz w:val="20"/>
              </w:rPr>
              <w:t>,</w:t>
            </w:r>
            <w:r>
              <w:rPr>
                <w:rFonts w:hint="eastAsia"/>
                <w:sz w:val="20"/>
              </w:rPr>
              <w:t>白色裂纹</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r>
              <w:rPr>
                <w:rFonts w:hint="eastAsia"/>
                <w:b/>
                <w:sz w:val="18"/>
                <w:szCs w:val="18"/>
              </w:rPr>
              <w:t>C</w:t>
            </w:r>
          </w:p>
        </w:tc>
        <w:tc>
          <w:tcPr>
            <w:tcW w:w="567" w:type="dxa"/>
          </w:tcPr>
          <w:p>
            <w:pPr>
              <w:jc w:val="center"/>
              <w:rPr>
                <w:b/>
                <w:sz w:val="18"/>
                <w:szCs w:val="18"/>
              </w:rPr>
            </w:pPr>
          </w:p>
        </w:tc>
      </w:tr>
    </w:tbl>
    <w:p>
      <w:pPr>
        <w:pStyle w:val="61"/>
        <w:spacing w:before="156" w:beforeLines="50" w:after="156" w:afterLines="50"/>
        <w:ind w:left="420" w:leftChars="200"/>
        <w:rPr>
          <w:rFonts w:hAnsi="黑体"/>
        </w:rPr>
      </w:pPr>
      <w:r>
        <w:rPr>
          <w:rFonts w:hint="eastAsia" w:hAnsi="黑体"/>
        </w:rPr>
        <w:t>圆弧缺陷：由于压合和冲压工艺造成的圆角轮廓变形</w:t>
      </w:r>
    </w:p>
    <w:p>
      <w:pPr>
        <w:rPr>
          <w:b/>
          <w:sz w:val="28"/>
        </w:rPr>
      </w:pPr>
      <w:r>
        <w:rPr>
          <w:rFonts w:hint="eastAsia"/>
          <w:sz w:val="20"/>
        </w:rPr>
        <w:t>说明</w:t>
      </w:r>
      <w:r>
        <w:rPr>
          <w:rFonts w:hint="eastAsia" w:ascii="Arial" w:hAnsi="Arial" w:cs="Arial"/>
          <w:kern w:val="0"/>
          <w:sz w:val="19"/>
          <w:szCs w:val="19"/>
        </w:rPr>
        <w:t xml:space="preserve">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CellMar>
            <w:top w:w="0" w:type="dxa"/>
            <w:left w:w="108" w:type="dxa"/>
            <w:bottom w:w="0" w:type="dxa"/>
            <w:right w:w="108" w:type="dxa"/>
          </w:tblCellMar>
        </w:tblPrEx>
        <w:tc>
          <w:tcPr>
            <w:tcW w:w="6345" w:type="dxa"/>
            <w:vAlign w:val="center"/>
          </w:tcPr>
          <w:p>
            <w:pPr>
              <w:rPr>
                <w:sz w:val="20"/>
              </w:rPr>
            </w:pPr>
            <w:r>
              <w:rPr>
                <w:rFonts w:hint="eastAsia"/>
                <w:sz w:val="20"/>
              </w:rPr>
              <w:t>明显可见的不圆滑的过渡</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p>
        </w:tc>
        <w:tc>
          <w:tcPr>
            <w:tcW w:w="567" w:type="dxa"/>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明显的不圆滑的过渡</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r>
              <w:rPr>
                <w:rFonts w:hint="eastAsia"/>
                <w:b/>
                <w:sz w:val="18"/>
                <w:szCs w:val="18"/>
              </w:rPr>
              <w:t>C</w:t>
            </w:r>
          </w:p>
        </w:tc>
        <w:tc>
          <w:tcPr>
            <w:tcW w:w="567" w:type="dxa"/>
          </w:tcPr>
          <w:p>
            <w:pPr>
              <w:jc w:val="center"/>
              <w:rPr>
                <w:b/>
                <w:sz w:val="18"/>
                <w:szCs w:val="18"/>
              </w:rPr>
            </w:pPr>
          </w:p>
        </w:tc>
        <w:tc>
          <w:tcPr>
            <w:tcW w:w="567" w:type="dxa"/>
          </w:tcPr>
          <w:p>
            <w:pPr>
              <w:jc w:val="center"/>
              <w:rPr>
                <w:b/>
                <w:sz w:val="18"/>
                <w:szCs w:val="18"/>
              </w:rPr>
            </w:pPr>
          </w:p>
        </w:tc>
      </w:tr>
    </w:tbl>
    <w:p>
      <w:pPr>
        <w:pStyle w:val="61"/>
        <w:spacing w:before="156" w:beforeLines="50" w:after="156" w:afterLines="50"/>
        <w:ind w:left="420" w:leftChars="200"/>
        <w:rPr>
          <w:rFonts w:hAnsi="黑体"/>
        </w:rPr>
      </w:pPr>
      <w:r>
        <w:rPr>
          <w:rFonts w:hint="eastAsia" w:hAnsi="黑体"/>
        </w:rPr>
        <w:t>波浪：生产工艺所决定的在表面上的波浪，不平整，凹坑</w:t>
      </w:r>
    </w:p>
    <w:p>
      <w:pPr>
        <w:rPr>
          <w:b/>
          <w:sz w:val="28"/>
        </w:rPr>
      </w:pPr>
      <w:r>
        <w:rPr>
          <w:rFonts w:hint="eastAsia"/>
          <w:sz w:val="20"/>
        </w:rPr>
        <w:t>说明</w:t>
      </w:r>
      <w:r>
        <w:rPr>
          <w:rFonts w:hint="eastAsia" w:ascii="Arial" w:hAnsi="Arial" w:cs="Arial"/>
          <w:kern w:val="0"/>
          <w:sz w:val="19"/>
          <w:szCs w:val="19"/>
        </w:rPr>
        <w:t xml:space="preserve">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极其严重的钢板变形，类似坑包，不可返修</w:t>
            </w:r>
          </w:p>
          <w:p>
            <w:pPr>
              <w:rPr>
                <w:sz w:val="20"/>
              </w:rPr>
            </w:pPr>
            <w:r>
              <w:rPr>
                <w:rFonts w:hint="eastAsia"/>
                <w:sz w:val="20"/>
              </w:rPr>
              <w:t>影响匹配、焊接等后序工作的</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极其明显的钢板变形，外观类似坑包</w:t>
            </w:r>
          </w:p>
          <w:p>
            <w:pPr>
              <w:rPr>
                <w:sz w:val="20"/>
              </w:rPr>
            </w:pPr>
            <w:r>
              <w:rPr>
                <w:rFonts w:hint="eastAsia"/>
                <w:sz w:val="20"/>
              </w:rPr>
              <w:t>不影响匹配、焊接等后序工作的</w:t>
            </w:r>
          </w:p>
        </w:tc>
        <w:tc>
          <w:tcPr>
            <w:tcW w:w="567" w:type="dxa"/>
          </w:tcPr>
          <w:p>
            <w:pPr>
              <w:jc w:val="center"/>
              <w:rPr>
                <w:b/>
                <w:sz w:val="18"/>
                <w:szCs w:val="18"/>
              </w:rPr>
            </w:pPr>
            <w:r>
              <w:rPr>
                <w:rFonts w:hint="eastAsia"/>
                <w:b/>
                <w:sz w:val="18"/>
                <w:szCs w:val="18"/>
              </w:rPr>
              <w:t>B1</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清晰可见，外观类似坑、包的钢板变形（单件、白车身上能触摸到）</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r>
              <w:rPr>
                <w:rFonts w:hint="eastAsia"/>
                <w:b/>
                <w:sz w:val="18"/>
                <w:szCs w:val="18"/>
              </w:rPr>
              <w:t>C</w:t>
            </w:r>
          </w:p>
        </w:tc>
        <w:tc>
          <w:tcPr>
            <w:tcW w:w="567" w:type="dxa"/>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明显的钢板变形（单件、白车身触摸不出，油石检验后可见）</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r>
              <w:rPr>
                <w:rFonts w:hint="eastAsia"/>
                <w:b/>
                <w:sz w:val="18"/>
                <w:szCs w:val="18"/>
              </w:rPr>
              <w:t>C</w:t>
            </w:r>
          </w:p>
        </w:tc>
        <w:tc>
          <w:tcPr>
            <w:tcW w:w="567" w:type="dxa"/>
          </w:tcPr>
          <w:p>
            <w:pPr>
              <w:jc w:val="center"/>
              <w:rPr>
                <w:b/>
                <w:sz w:val="18"/>
                <w:szCs w:val="18"/>
              </w:rPr>
            </w:pPr>
          </w:p>
        </w:tc>
        <w:tc>
          <w:tcPr>
            <w:tcW w:w="567" w:type="dxa"/>
          </w:tcPr>
          <w:p>
            <w:pPr>
              <w:jc w:val="center"/>
              <w:rPr>
                <w:b/>
                <w:sz w:val="18"/>
                <w:szCs w:val="18"/>
              </w:rPr>
            </w:pPr>
          </w:p>
        </w:tc>
      </w:tr>
    </w:tbl>
    <w:p>
      <w:pPr>
        <w:pStyle w:val="61"/>
        <w:spacing w:before="156" w:beforeLines="50" w:after="156" w:afterLines="50"/>
        <w:ind w:left="420" w:leftChars="200"/>
        <w:rPr>
          <w:rFonts w:hAnsi="黑体"/>
        </w:rPr>
      </w:pPr>
      <w:r>
        <w:rPr>
          <w:rFonts w:hint="eastAsia" w:hAnsi="黑体"/>
        </w:rPr>
        <w:t>剪切毛刺：零件在切边或冲孔时产生的毛刺。会引起腐蚀、拧紧力矩不够或伤害的危险。</w:t>
      </w:r>
    </w:p>
    <w:p>
      <w:pPr>
        <w:rPr>
          <w:b/>
          <w:sz w:val="28"/>
        </w:rPr>
      </w:pPr>
      <w:r>
        <w:rPr>
          <w:rFonts w:hint="eastAsia"/>
          <w:sz w:val="20"/>
        </w:rPr>
        <w:t>说明</w:t>
      </w:r>
      <w:r>
        <w:rPr>
          <w:rFonts w:hint="eastAsia" w:ascii="Arial" w:hAnsi="Arial" w:cs="Arial"/>
          <w:kern w:val="0"/>
          <w:sz w:val="19"/>
          <w:szCs w:val="19"/>
        </w:rPr>
        <w:t xml:space="preserve">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autoSpaceDE w:val="0"/>
              <w:autoSpaceDN w:val="0"/>
              <w:adjustRightInd w:val="0"/>
              <w:rPr>
                <w:sz w:val="20"/>
              </w:rPr>
            </w:pPr>
            <w:r>
              <w:rPr>
                <w:rFonts w:hint="eastAsia"/>
                <w:sz w:val="20"/>
              </w:rPr>
              <w:t>在螺纹拧紧面上的毛刺</w:t>
            </w:r>
          </w:p>
          <w:p>
            <w:pPr>
              <w:rPr>
                <w:sz w:val="20"/>
              </w:rPr>
            </w:pPr>
            <w:r>
              <w:rPr>
                <w:rFonts w:hint="eastAsia"/>
                <w:sz w:val="20"/>
              </w:rPr>
              <w:t>尖锐的毛刺，具有伤害危险</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毛刺</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C1</w:t>
            </w:r>
          </w:p>
        </w:tc>
      </w:tr>
    </w:tbl>
    <w:p>
      <w:pPr>
        <w:pStyle w:val="61"/>
        <w:spacing w:before="156" w:beforeLines="50" w:after="156" w:afterLines="50"/>
        <w:ind w:left="420" w:leftChars="200"/>
        <w:rPr>
          <w:rFonts w:hAnsi="黑体"/>
        </w:rPr>
      </w:pPr>
      <w:r>
        <w:rPr>
          <w:rFonts w:hint="eastAsia" w:hAnsi="黑体"/>
        </w:rPr>
        <w:t>打磨缺陷：由于使用打磨材料造成的零件表面损伤。</w:t>
      </w:r>
    </w:p>
    <w:p>
      <w:pPr>
        <w:rPr>
          <w:b/>
          <w:sz w:val="28"/>
        </w:rPr>
      </w:pPr>
      <w:r>
        <w:rPr>
          <w:rFonts w:hint="eastAsia"/>
          <w:sz w:val="20"/>
        </w:rPr>
        <w:t>说明</w:t>
      </w:r>
      <w:r>
        <w:rPr>
          <w:rFonts w:hint="eastAsia" w:ascii="Arial" w:hAnsi="Arial" w:cs="Arial"/>
          <w:kern w:val="0"/>
          <w:sz w:val="19"/>
          <w:szCs w:val="19"/>
        </w:rPr>
        <w:t xml:space="preserve">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部件被磨漏</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清晰可见的磨痕</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明显的磨痕</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p>
        </w:tc>
        <w:tc>
          <w:tcPr>
            <w:tcW w:w="567" w:type="dxa"/>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分散的磨痕</w:t>
            </w:r>
          </w:p>
        </w:tc>
        <w:tc>
          <w:tcPr>
            <w:tcW w:w="567" w:type="dxa"/>
          </w:tcPr>
          <w:p>
            <w:pPr>
              <w:jc w:val="center"/>
              <w:rPr>
                <w:b/>
                <w:sz w:val="18"/>
                <w:szCs w:val="18"/>
              </w:rPr>
            </w:pPr>
            <w:r>
              <w:rPr>
                <w:rFonts w:hint="eastAsia"/>
                <w:b/>
                <w:sz w:val="18"/>
                <w:szCs w:val="18"/>
              </w:rPr>
              <w:t>C</w:t>
            </w:r>
          </w:p>
        </w:tc>
        <w:tc>
          <w:tcPr>
            <w:tcW w:w="567" w:type="dxa"/>
          </w:tcPr>
          <w:p>
            <w:pPr>
              <w:jc w:val="center"/>
              <w:rPr>
                <w:b/>
                <w:sz w:val="18"/>
                <w:szCs w:val="18"/>
              </w:rPr>
            </w:pPr>
            <w:r>
              <w:rPr>
                <w:rFonts w:hint="eastAsia"/>
                <w:b/>
                <w:sz w:val="18"/>
                <w:szCs w:val="18"/>
              </w:rPr>
              <w:t>C</w:t>
            </w:r>
          </w:p>
        </w:tc>
        <w:tc>
          <w:tcPr>
            <w:tcW w:w="567" w:type="dxa"/>
          </w:tcPr>
          <w:p>
            <w:pPr>
              <w:jc w:val="center"/>
              <w:rPr>
                <w:b/>
                <w:sz w:val="18"/>
                <w:szCs w:val="18"/>
              </w:rPr>
            </w:pPr>
          </w:p>
        </w:tc>
        <w:tc>
          <w:tcPr>
            <w:tcW w:w="567" w:type="dxa"/>
          </w:tcPr>
          <w:p>
            <w:pPr>
              <w:jc w:val="center"/>
              <w:rPr>
                <w:b/>
                <w:sz w:val="18"/>
                <w:szCs w:val="18"/>
              </w:rPr>
            </w:pPr>
          </w:p>
        </w:tc>
      </w:tr>
    </w:tbl>
    <w:p>
      <w:pPr>
        <w:pStyle w:val="61"/>
        <w:spacing w:before="156" w:beforeLines="50" w:after="156" w:afterLines="50"/>
        <w:ind w:left="420" w:leftChars="200"/>
        <w:rPr>
          <w:rFonts w:hAnsi="黑体"/>
        </w:rPr>
      </w:pPr>
      <w:r>
        <w:rPr>
          <w:rFonts w:hint="eastAsia" w:hAnsi="黑体"/>
        </w:rPr>
        <w:t>裂纹</w:t>
      </w:r>
      <w:r>
        <w:rPr>
          <w:rFonts w:hAnsi="黑体"/>
        </w:rPr>
        <w:t>,</w:t>
      </w:r>
      <w:r>
        <w:rPr>
          <w:rFonts w:hint="eastAsia" w:hAnsi="黑体"/>
        </w:rPr>
        <w:t>刻痕,缩颈：零件</w:t>
      </w:r>
      <w:r>
        <w:rPr>
          <w:rFonts w:hint="eastAsia"/>
          <w:sz w:val="20"/>
        </w:rPr>
        <w:t>表面的损伤。包括：缩颈、裂纹、断裂、刻痕、洞、缺口等等。</w:t>
      </w:r>
    </w:p>
    <w:p>
      <w:r>
        <w:rPr>
          <w:rFonts w:hint="eastAsia"/>
          <w:sz w:val="20"/>
        </w:rPr>
        <w:t>说明</w:t>
      </w:r>
      <w:r>
        <w:rPr>
          <w:rFonts w:hint="eastAsia" w:ascii="Arial" w:hAnsi="Arial" w:cs="Arial"/>
          <w:kern w:val="0"/>
          <w:sz w:val="19"/>
          <w:szCs w:val="19"/>
        </w:rPr>
        <w:t xml:space="preserve">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单件的裂纹</w:t>
            </w:r>
            <w:r>
              <w:rPr>
                <w:sz w:val="20"/>
              </w:rPr>
              <w:t xml:space="preserve"> (</w:t>
            </w:r>
            <w:r>
              <w:rPr>
                <w:rFonts w:hint="eastAsia"/>
                <w:sz w:val="20"/>
              </w:rPr>
              <w:t>车身被报废</w:t>
            </w:r>
            <w:r>
              <w:rPr>
                <w:sz w:val="20"/>
              </w:rPr>
              <w:t>)</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冲压件表面的裂纹、刻痕</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可见的缩颈</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B1</w:t>
            </w:r>
          </w:p>
        </w:tc>
      </w:tr>
    </w:tbl>
    <w:p>
      <w:pPr>
        <w:pStyle w:val="61"/>
        <w:spacing w:before="156" w:beforeLines="50" w:after="156" w:afterLines="50"/>
        <w:ind w:left="420" w:leftChars="200"/>
        <w:rPr>
          <w:rFonts w:hAnsi="黑体"/>
        </w:rPr>
      </w:pPr>
      <w:r>
        <w:rPr>
          <w:rFonts w:hint="eastAsia" w:hAnsi="黑体"/>
        </w:rPr>
        <w:t>拉毛：在拉延过程中的沿成形方向产生的凹槽。</w:t>
      </w:r>
    </w:p>
    <w:p>
      <w:r>
        <w:rPr>
          <w:rFonts w:hint="eastAsia"/>
          <w:sz w:val="20"/>
        </w:rPr>
        <w:t>说明</w:t>
      </w:r>
      <w:r>
        <w:rPr>
          <w:rFonts w:hint="eastAsia" w:ascii="Arial" w:hAnsi="Arial" w:cs="Arial"/>
          <w:kern w:val="0"/>
          <w:sz w:val="19"/>
          <w:szCs w:val="19"/>
        </w:rPr>
        <w:t xml:space="preserve">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CellMar>
            <w:top w:w="0" w:type="dxa"/>
            <w:left w:w="108" w:type="dxa"/>
            <w:bottom w:w="0" w:type="dxa"/>
            <w:right w:w="108" w:type="dxa"/>
          </w:tblCellMar>
        </w:tblPrEx>
        <w:tc>
          <w:tcPr>
            <w:tcW w:w="6345" w:type="dxa"/>
            <w:vAlign w:val="center"/>
          </w:tcPr>
          <w:p>
            <w:pPr>
              <w:rPr>
                <w:sz w:val="20"/>
              </w:rPr>
            </w:pPr>
            <w:r>
              <w:rPr>
                <w:rFonts w:hint="eastAsia"/>
                <w:sz w:val="20"/>
              </w:rPr>
              <w:t>显著的拉毛</w:t>
            </w:r>
          </w:p>
        </w:tc>
        <w:tc>
          <w:tcPr>
            <w:tcW w:w="567" w:type="dxa"/>
          </w:tcPr>
          <w:p>
            <w:pPr>
              <w:jc w:val="center"/>
              <w:rPr>
                <w:b/>
                <w:sz w:val="18"/>
                <w:szCs w:val="18"/>
              </w:rPr>
            </w:pPr>
            <w:r>
              <w:rPr>
                <w:rFonts w:hint="eastAsia"/>
                <w:b/>
                <w:sz w:val="18"/>
                <w:szCs w:val="18"/>
              </w:rPr>
              <w:t>B1</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明显的拉毛</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p>
        </w:tc>
        <w:tc>
          <w:tcPr>
            <w:tcW w:w="567" w:type="dxa"/>
          </w:tcPr>
          <w:p>
            <w:pPr>
              <w:jc w:val="center"/>
              <w:rPr>
                <w:b/>
                <w:sz w:val="18"/>
                <w:szCs w:val="18"/>
              </w:rPr>
            </w:pPr>
          </w:p>
        </w:tc>
      </w:tr>
    </w:tbl>
    <w:p>
      <w:pPr>
        <w:pStyle w:val="61"/>
        <w:spacing w:before="156" w:beforeLines="50" w:after="156" w:afterLines="50"/>
        <w:ind w:left="420" w:leftChars="200"/>
        <w:rPr>
          <w:rFonts w:hAnsi="黑体"/>
        </w:rPr>
      </w:pPr>
      <w:r>
        <w:rPr>
          <w:rFonts w:hint="eastAsia" w:hAnsi="黑体"/>
        </w:rPr>
        <w:t>材料缺陷：材料</w:t>
      </w:r>
      <w:r>
        <w:rPr>
          <w:rFonts w:hint="eastAsia"/>
          <w:sz w:val="20"/>
        </w:rPr>
        <w:t>的接缝或材料的结构，形面与材料技术要求有偏差（如：缩孔）。</w:t>
      </w:r>
    </w:p>
    <w:p>
      <w:r>
        <w:rPr>
          <w:rFonts w:hint="eastAsia" w:ascii="Arial" w:hAnsi="Arial" w:cs="Arial"/>
          <w:kern w:val="0"/>
          <w:sz w:val="19"/>
          <w:szCs w:val="19"/>
        </w:rPr>
        <w:t xml:space="preserve">说明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pPr>
              <w:autoSpaceDE w:val="0"/>
              <w:autoSpaceDN w:val="0"/>
              <w:adjustRightInd w:val="0"/>
              <w:jc w:val="left"/>
              <w:rPr>
                <w:sz w:val="20"/>
              </w:rPr>
            </w:pPr>
            <w:r>
              <w:rPr>
                <w:rFonts w:hint="eastAsia"/>
                <w:sz w:val="20"/>
              </w:rPr>
              <w:t>立即可见的</w:t>
            </w:r>
            <w:r>
              <w:rPr>
                <w:sz w:val="20"/>
              </w:rPr>
              <w:t>/</w:t>
            </w:r>
            <w:r>
              <w:rPr>
                <w:rFonts w:hint="eastAsia"/>
                <w:sz w:val="20"/>
              </w:rPr>
              <w:t>可触摸到的材料硬度有偏差，钢板上的重叠，粗大组织，有条纹，镀锌层疏松、脱落，缩孔等</w:t>
            </w:r>
          </w:p>
        </w:tc>
        <w:tc>
          <w:tcPr>
            <w:tcW w:w="567" w:type="dxa"/>
          </w:tcPr>
          <w:p>
            <w:pPr>
              <w:jc w:val="center"/>
              <w:rPr>
                <w:b/>
                <w:sz w:val="18"/>
                <w:szCs w:val="18"/>
              </w:rPr>
            </w:pPr>
            <w:r>
              <w:rPr>
                <w:rFonts w:hint="eastAsia"/>
                <w:b/>
                <w:sz w:val="18"/>
                <w:szCs w:val="18"/>
              </w:rPr>
              <w:t>B1</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tcPr>
          <w:p>
            <w:pPr>
              <w:autoSpaceDE w:val="0"/>
              <w:autoSpaceDN w:val="0"/>
              <w:adjustRightInd w:val="0"/>
              <w:jc w:val="left"/>
              <w:rPr>
                <w:sz w:val="20"/>
              </w:rPr>
            </w:pPr>
            <w:r>
              <w:rPr>
                <w:rFonts w:hint="eastAsia"/>
                <w:sz w:val="20"/>
              </w:rPr>
              <w:t>可见</w:t>
            </w:r>
            <w:r>
              <w:rPr>
                <w:sz w:val="20"/>
              </w:rPr>
              <w:t>/</w:t>
            </w:r>
            <w:r>
              <w:rPr>
                <w:rFonts w:hint="eastAsia"/>
                <w:sz w:val="20"/>
              </w:rPr>
              <w:t>可触摸到的材料硬度有偏差，钢板上的重叠，粗大的组织，有条纹，镀锌层疏松、脱落，缩孔等</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r>
              <w:rPr>
                <w:rFonts w:hint="eastAsia"/>
                <w:b/>
                <w:sz w:val="18"/>
                <w:szCs w:val="18"/>
              </w:rPr>
              <w:t>C</w:t>
            </w:r>
          </w:p>
        </w:tc>
        <w:tc>
          <w:tcPr>
            <w:tcW w:w="567" w:type="dxa"/>
          </w:tcPr>
          <w:p>
            <w:pPr>
              <w:jc w:val="center"/>
              <w:rPr>
                <w:b/>
                <w:sz w:val="18"/>
                <w:szCs w:val="18"/>
              </w:rPr>
            </w:pPr>
          </w:p>
        </w:tc>
        <w:tc>
          <w:tcPr>
            <w:tcW w:w="567" w:type="dxa"/>
          </w:tcPr>
          <w:p>
            <w:pPr>
              <w:jc w:val="center"/>
              <w:rPr>
                <w:b/>
                <w:sz w:val="18"/>
                <w:szCs w:val="18"/>
              </w:rPr>
            </w:pPr>
          </w:p>
        </w:tc>
      </w:tr>
    </w:tbl>
    <w:p>
      <w:pPr>
        <w:pStyle w:val="61"/>
        <w:spacing w:before="156" w:beforeLines="50" w:after="156" w:afterLines="50"/>
        <w:ind w:left="420" w:leftChars="200"/>
        <w:rPr>
          <w:rFonts w:hAnsi="黑体"/>
        </w:rPr>
      </w:pPr>
      <w:r>
        <w:rPr>
          <w:rFonts w:hint="eastAsia" w:hAnsi="黑体"/>
        </w:rPr>
        <w:t>腐蚀：车身板材上的化学反应。</w:t>
      </w:r>
    </w:p>
    <w:p>
      <w:r>
        <w:rPr>
          <w:rFonts w:hint="eastAsia" w:ascii="Arial" w:hAnsi="Arial" w:cs="Arial"/>
          <w:kern w:val="0"/>
          <w:sz w:val="19"/>
          <w:szCs w:val="19"/>
        </w:rPr>
        <w:t xml:space="preserve">说明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车身零件腐蚀</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轻微腐蚀（铁锈痕）、螺栓或固定件腐蚀</w:t>
            </w: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p>
        </w:tc>
        <w:tc>
          <w:tcPr>
            <w:tcW w:w="567" w:type="dxa"/>
          </w:tcPr>
          <w:p>
            <w:pPr>
              <w:jc w:val="center"/>
              <w:rPr>
                <w:b/>
                <w:sz w:val="18"/>
                <w:szCs w:val="18"/>
              </w:rPr>
            </w:pPr>
            <w:r>
              <w:rPr>
                <w:rFonts w:hint="eastAsia"/>
                <w:b/>
                <w:sz w:val="18"/>
                <w:szCs w:val="18"/>
              </w:rPr>
              <w:t>B</w:t>
            </w:r>
          </w:p>
        </w:tc>
      </w:tr>
    </w:tbl>
    <w:p>
      <w:pPr>
        <w:pStyle w:val="61"/>
        <w:spacing w:before="156" w:beforeLines="50" w:after="156" w:afterLines="50"/>
        <w:ind w:left="420" w:leftChars="200"/>
        <w:rPr>
          <w:rFonts w:hAnsi="黑体"/>
        </w:rPr>
      </w:pPr>
      <w:r>
        <w:rPr>
          <w:rFonts w:hint="eastAsia" w:hAnsi="黑体"/>
        </w:rPr>
        <w:t>划伤：零件表面</w:t>
      </w:r>
      <w:r>
        <w:rPr>
          <w:rFonts w:hint="eastAsia"/>
          <w:sz w:val="20"/>
        </w:rPr>
        <w:t>被损坏，板料表面上的机械损伤。</w:t>
      </w:r>
    </w:p>
    <w:p>
      <w:r>
        <w:rPr>
          <w:rFonts w:hint="eastAsia" w:ascii="Arial" w:hAnsi="Arial" w:cs="Arial"/>
          <w:kern w:val="0"/>
          <w:sz w:val="19"/>
          <w:szCs w:val="19"/>
        </w:rPr>
        <w:t xml:space="preserve">说明                                                               </w:t>
      </w:r>
      <w:r>
        <w:rPr>
          <w:rFonts w:ascii="Arial" w:hAnsi="Arial" w:cs="Arial"/>
          <w:kern w:val="0"/>
          <w:sz w:val="19"/>
          <w:szCs w:val="19"/>
        </w:rPr>
        <w:t xml:space="preserve">Z I </w:t>
      </w:r>
      <w:r>
        <w:rPr>
          <w:rFonts w:hint="eastAsia" w:ascii="Arial" w:hAnsi="Arial" w:cs="Arial"/>
          <w:kern w:val="0"/>
          <w:sz w:val="19"/>
          <w:szCs w:val="19"/>
        </w:rPr>
        <w:t xml:space="preserve">  </w:t>
      </w:r>
      <w:r>
        <w:rPr>
          <w:rFonts w:ascii="Arial" w:hAnsi="Arial" w:cs="Arial"/>
          <w:kern w:val="0"/>
          <w:sz w:val="19"/>
          <w:szCs w:val="19"/>
        </w:rPr>
        <w:t xml:space="preserve">Z II </w:t>
      </w:r>
      <w:r>
        <w:rPr>
          <w:rFonts w:hint="eastAsia" w:ascii="Arial" w:hAnsi="Arial" w:cs="Arial"/>
          <w:kern w:val="0"/>
          <w:sz w:val="19"/>
          <w:szCs w:val="19"/>
        </w:rPr>
        <w:t xml:space="preserve">  </w:t>
      </w:r>
      <w:r>
        <w:rPr>
          <w:rFonts w:ascii="Arial" w:hAnsi="Arial" w:cs="Arial"/>
          <w:kern w:val="0"/>
          <w:sz w:val="19"/>
          <w:szCs w:val="19"/>
        </w:rPr>
        <w:t xml:space="preserve">Z III </w:t>
      </w:r>
      <w:r>
        <w:rPr>
          <w:rFonts w:hint="eastAsia" w:ascii="Arial" w:hAnsi="Arial" w:cs="Arial"/>
          <w:kern w:val="0"/>
          <w:sz w:val="19"/>
          <w:szCs w:val="19"/>
        </w:rPr>
        <w:t xml:space="preserve"> </w:t>
      </w:r>
      <w:r>
        <w:rPr>
          <w:rFonts w:ascii="Arial" w:hAnsi="Arial" w:cs="Arial"/>
          <w:kern w:val="0"/>
          <w:sz w:val="19"/>
          <w:szCs w:val="19"/>
        </w:rPr>
        <w:t>Z U</w:t>
      </w:r>
    </w:p>
    <w:tbl>
      <w:tblPr>
        <w:tblStyle w:val="3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vAlign w:val="center"/>
          </w:tcPr>
          <w:p>
            <w:pPr>
              <w:rPr>
                <w:sz w:val="20"/>
              </w:rPr>
            </w:pPr>
            <w:r>
              <w:rPr>
                <w:rFonts w:hint="eastAsia"/>
                <w:sz w:val="20"/>
              </w:rPr>
              <w:t>零件表面划伤</w:t>
            </w:r>
          </w:p>
        </w:tc>
        <w:tc>
          <w:tcPr>
            <w:tcW w:w="567" w:type="dxa"/>
          </w:tcPr>
          <w:p>
            <w:pPr>
              <w:jc w:val="center"/>
              <w:rPr>
                <w:b/>
                <w:sz w:val="18"/>
                <w:szCs w:val="18"/>
              </w:rPr>
            </w:pPr>
            <w:r>
              <w:rPr>
                <w:rFonts w:hint="eastAsia"/>
                <w:b/>
                <w:sz w:val="18"/>
                <w:szCs w:val="18"/>
              </w:rPr>
              <w:t>B1</w:t>
            </w:r>
          </w:p>
        </w:tc>
        <w:tc>
          <w:tcPr>
            <w:tcW w:w="567" w:type="dxa"/>
          </w:tcPr>
          <w:p>
            <w:pPr>
              <w:jc w:val="center"/>
              <w:rPr>
                <w:b/>
                <w:sz w:val="18"/>
                <w:szCs w:val="18"/>
              </w:rPr>
            </w:pPr>
            <w:r>
              <w:rPr>
                <w:rFonts w:hint="eastAsia"/>
                <w:b/>
                <w:sz w:val="18"/>
                <w:szCs w:val="18"/>
              </w:rPr>
              <w:t>B</w:t>
            </w:r>
          </w:p>
        </w:tc>
        <w:tc>
          <w:tcPr>
            <w:tcW w:w="567" w:type="dxa"/>
          </w:tcPr>
          <w:p>
            <w:pPr>
              <w:jc w:val="center"/>
              <w:rPr>
                <w:b/>
                <w:sz w:val="18"/>
                <w:szCs w:val="18"/>
              </w:rPr>
            </w:pPr>
            <w:r>
              <w:rPr>
                <w:rFonts w:hint="eastAsia"/>
                <w:b/>
                <w:sz w:val="18"/>
                <w:szCs w:val="18"/>
              </w:rPr>
              <w:t>C1</w:t>
            </w:r>
          </w:p>
        </w:tc>
        <w:tc>
          <w:tcPr>
            <w:tcW w:w="567" w:type="dxa"/>
          </w:tcPr>
          <w:p>
            <w:pPr>
              <w:jc w:val="center"/>
              <w:rPr>
                <w:b/>
                <w:sz w:val="18"/>
                <w:szCs w:val="18"/>
              </w:rPr>
            </w:pPr>
          </w:p>
        </w:tc>
      </w:tr>
    </w:tbl>
    <w:p>
      <w:pPr>
        <w:pStyle w:val="58"/>
        <w:ind w:firstLine="0" w:firstLineChars="0"/>
      </w:pPr>
    </w:p>
    <w:p>
      <w:pPr>
        <w:pStyle w:val="60"/>
        <w:spacing w:before="156" w:beforeLines="50" w:after="156" w:afterLines="50"/>
        <w:ind w:left="283"/>
      </w:pPr>
      <w:r>
        <w:rPr>
          <w:rFonts w:hint="eastAsia"/>
        </w:rPr>
        <w:t>冲压件外观缺陷评审步骤及说明</w:t>
      </w:r>
    </w:p>
    <w:p>
      <w:pPr>
        <w:pStyle w:val="61"/>
        <w:spacing w:before="156" w:beforeLines="50" w:after="156" w:afterLines="50"/>
        <w:ind w:left="420" w:leftChars="200"/>
        <w:rPr>
          <w:rFonts w:hAnsi="黑体"/>
        </w:rPr>
      </w:pPr>
      <w:r>
        <w:rPr>
          <w:rFonts w:hint="eastAsia" w:hAnsi="黑体"/>
        </w:rPr>
        <w:t>冲压件外观缺陷评审步骤</w:t>
      </w:r>
    </w:p>
    <w:p>
      <w:pPr>
        <w:ind w:left="420" w:leftChars="200"/>
        <w:rPr>
          <w:rFonts w:ascii="宋体" w:hAnsi="宋体"/>
          <w:szCs w:val="21"/>
        </w:rPr>
      </w:pPr>
      <w:r>
        <w:rPr>
          <w:rFonts w:ascii="宋体" w:hAnsi="宋体"/>
          <w:szCs w:val="21"/>
        </w:rPr>
        <w:t>3.2.1.1</w:t>
      </w:r>
      <w:r>
        <w:rPr>
          <w:rFonts w:hint="eastAsia" w:ascii="宋体" w:hAnsi="宋体"/>
          <w:szCs w:val="21"/>
        </w:rPr>
        <w:t>目视判定</w:t>
      </w:r>
    </w:p>
    <w:p>
      <w:pPr>
        <w:ind w:left="420" w:leftChars="200"/>
        <w:rPr>
          <w:rFonts w:ascii="宋体" w:hAnsi="宋体"/>
          <w:szCs w:val="21"/>
        </w:rPr>
      </w:pPr>
      <w:r>
        <w:rPr>
          <w:rFonts w:ascii="宋体" w:hAnsi="宋体"/>
          <w:szCs w:val="21"/>
        </w:rPr>
        <w:t>3.2.1.2</w:t>
      </w:r>
      <w:r>
        <w:rPr>
          <w:rFonts w:hint="eastAsia" w:ascii="宋体" w:hAnsi="宋体"/>
          <w:szCs w:val="21"/>
        </w:rPr>
        <w:t>戴手套触摸制件表面，手感判定</w:t>
      </w:r>
    </w:p>
    <w:p>
      <w:pPr>
        <w:ind w:left="420" w:leftChars="200"/>
        <w:rPr>
          <w:rFonts w:ascii="宋体" w:hAnsi="宋体"/>
          <w:szCs w:val="21"/>
        </w:rPr>
      </w:pPr>
      <w:r>
        <w:rPr>
          <w:rFonts w:ascii="宋体" w:hAnsi="宋体"/>
          <w:szCs w:val="21"/>
        </w:rPr>
        <w:t>3.2.1.3</w:t>
      </w:r>
      <w:r>
        <w:rPr>
          <w:rFonts w:hint="eastAsia" w:ascii="宋体" w:hAnsi="宋体"/>
          <w:szCs w:val="21"/>
        </w:rPr>
        <w:t>油石磨制件外表面后，目视判定：</w:t>
      </w:r>
    </w:p>
    <w:p>
      <w:pPr>
        <w:ind w:left="420" w:leftChars="200"/>
        <w:rPr>
          <w:rFonts w:ascii="宋体" w:hAnsi="宋体"/>
          <w:szCs w:val="21"/>
        </w:rPr>
      </w:pPr>
      <w:r>
        <w:rPr>
          <w:rFonts w:ascii="宋体" w:hAnsi="宋体"/>
          <w:szCs w:val="21"/>
        </w:rPr>
        <w:t>3.2.1.3</w:t>
      </w:r>
      <w:r>
        <w:rPr>
          <w:rFonts w:hint="eastAsia" w:ascii="宋体" w:hAnsi="宋体"/>
          <w:szCs w:val="21"/>
        </w:rPr>
        <w:t>．1用油石（一般规格20×20×200mm）磨制件外表面</w:t>
      </w:r>
    </w:p>
    <w:p>
      <w:pPr>
        <w:ind w:left="420" w:leftChars="200"/>
        <w:rPr>
          <w:rFonts w:ascii="宋体" w:hAnsi="宋体"/>
          <w:szCs w:val="21"/>
        </w:rPr>
      </w:pPr>
      <w:r>
        <w:rPr>
          <w:rFonts w:ascii="宋体" w:hAnsi="宋体"/>
          <w:szCs w:val="21"/>
        </w:rPr>
        <w:t>3.2.1.3</w:t>
      </w:r>
      <w:r>
        <w:rPr>
          <w:rFonts w:hint="eastAsia" w:ascii="宋体" w:hAnsi="宋体"/>
          <w:szCs w:val="21"/>
        </w:rPr>
        <w:t>．</w:t>
      </w:r>
      <w:r>
        <w:rPr>
          <w:rFonts w:ascii="宋体" w:hAnsi="宋体"/>
          <w:szCs w:val="21"/>
        </w:rPr>
        <w:t>2</w:t>
      </w:r>
      <w:r>
        <w:rPr>
          <w:rFonts w:hint="eastAsia" w:ascii="宋体" w:hAnsi="宋体"/>
          <w:szCs w:val="21"/>
        </w:rPr>
        <w:t>用相应的小油石（如10×10×100mm）或砂纸磨圆角和不易磨到的部位。</w:t>
      </w:r>
    </w:p>
    <w:p>
      <w:pPr>
        <w:ind w:left="420" w:leftChars="200"/>
        <w:rPr>
          <w:rFonts w:ascii="宋体" w:hAnsi="宋体"/>
          <w:szCs w:val="21"/>
        </w:rPr>
      </w:pPr>
      <w:r>
        <w:rPr>
          <w:rFonts w:ascii="宋体" w:hAnsi="宋体"/>
          <w:szCs w:val="21"/>
        </w:rPr>
        <w:t>3.2.1.3</w:t>
      </w:r>
      <w:r>
        <w:rPr>
          <w:rFonts w:hint="eastAsia" w:ascii="宋体" w:hAnsi="宋体"/>
          <w:szCs w:val="21"/>
        </w:rPr>
        <w:t>．</w:t>
      </w:r>
      <w:r>
        <w:rPr>
          <w:rFonts w:ascii="宋体" w:hAnsi="宋体"/>
          <w:szCs w:val="21"/>
        </w:rPr>
        <w:t>3</w:t>
      </w:r>
      <w:r>
        <w:rPr>
          <w:rFonts w:hint="eastAsia" w:ascii="宋体" w:hAnsi="宋体"/>
          <w:szCs w:val="21"/>
        </w:rPr>
        <w:t>按制件的表面状况（如粗糙度、有无镀锌层等）选择油石粒度,一般选择</w:t>
      </w:r>
      <w:r>
        <w:rPr>
          <w:rFonts w:ascii="宋体" w:hAnsi="宋体"/>
          <w:szCs w:val="21"/>
        </w:rPr>
        <w:t>10</w:t>
      </w:r>
      <w:r>
        <w:rPr>
          <w:rFonts w:hint="eastAsia" w:ascii="宋体" w:hAnsi="宋体"/>
          <w:szCs w:val="21"/>
        </w:rPr>
        <w:t>00号以上。</w:t>
      </w:r>
    </w:p>
    <w:p>
      <w:pPr>
        <w:ind w:left="420" w:leftChars="200"/>
        <w:rPr>
          <w:rFonts w:ascii="宋体" w:hAnsi="宋体"/>
          <w:szCs w:val="21"/>
        </w:rPr>
      </w:pPr>
      <w:r>
        <w:rPr>
          <w:rFonts w:ascii="宋体" w:hAnsi="宋体"/>
          <w:szCs w:val="21"/>
        </w:rPr>
        <w:t>3.2.1.3</w:t>
      </w:r>
      <w:r>
        <w:rPr>
          <w:rFonts w:hint="eastAsia" w:ascii="宋体" w:hAnsi="宋体"/>
          <w:szCs w:val="21"/>
        </w:rPr>
        <w:t>．4油石磨件原则上应按整车的长度方向进行，特殊部位也可横向或斜向磨件。</w:t>
      </w:r>
    </w:p>
    <w:p>
      <w:pPr>
        <w:pStyle w:val="61"/>
        <w:spacing w:before="156" w:beforeLines="50" w:after="156" w:afterLines="50"/>
        <w:ind w:left="420" w:leftChars="200"/>
        <w:rPr>
          <w:rFonts w:hAnsi="黑体"/>
        </w:rPr>
      </w:pPr>
      <w:r>
        <w:rPr>
          <w:rFonts w:hint="eastAsia" w:hAnsi="黑体"/>
        </w:rPr>
        <w:t>冲压件外观缺陷等级评定说明</w:t>
      </w:r>
    </w:p>
    <w:p>
      <w:pPr>
        <w:ind w:left="420" w:leftChars="200"/>
        <w:rPr>
          <w:rFonts w:ascii="宋体" w:hAnsi="宋体"/>
          <w:szCs w:val="21"/>
        </w:rPr>
      </w:pPr>
      <w:r>
        <w:rPr>
          <w:rFonts w:ascii="宋体" w:hAnsi="宋体"/>
          <w:szCs w:val="21"/>
        </w:rPr>
        <w:t>3.2.2.1</w:t>
      </w:r>
      <w:r>
        <w:rPr>
          <w:rFonts w:hint="eastAsia" w:ascii="宋体" w:hAnsi="宋体"/>
          <w:szCs w:val="21"/>
        </w:rPr>
        <w:t>检查制件的每一区域，已判定的缺陷要用记号笔标出，并标明缺陷代号如B1（代表1区的B类缺陷）、C2等。</w:t>
      </w:r>
    </w:p>
    <w:p>
      <w:pPr>
        <w:ind w:left="420" w:leftChars="200"/>
        <w:rPr>
          <w:rFonts w:ascii="宋体" w:hAnsi="宋体"/>
          <w:szCs w:val="21"/>
        </w:rPr>
      </w:pPr>
      <w:r>
        <w:rPr>
          <w:rFonts w:ascii="宋体" w:hAnsi="宋体"/>
          <w:szCs w:val="21"/>
        </w:rPr>
        <w:t>3.2.2.2</w:t>
      </w:r>
      <w:r>
        <w:rPr>
          <w:rFonts w:hint="eastAsia" w:ascii="宋体" w:hAnsi="宋体"/>
          <w:szCs w:val="21"/>
        </w:rPr>
        <w:t>油箱口、门把手、边灯周围的同类表面缺陷仅评价一次。</w:t>
      </w:r>
    </w:p>
    <w:p>
      <w:pPr>
        <w:ind w:left="420" w:leftChars="200"/>
        <w:rPr>
          <w:rFonts w:ascii="宋体" w:hAnsi="宋体"/>
          <w:szCs w:val="21"/>
        </w:rPr>
      </w:pPr>
      <w:r>
        <w:rPr>
          <w:rFonts w:ascii="宋体" w:hAnsi="宋体"/>
          <w:szCs w:val="21"/>
        </w:rPr>
        <w:t>3.2.2.3</w:t>
      </w:r>
      <w:r>
        <w:rPr>
          <w:rFonts w:hint="eastAsia" w:ascii="宋体" w:hAnsi="宋体"/>
          <w:szCs w:val="21"/>
        </w:rPr>
        <w:t>门内板及发动盖内部和行李箱盖内部（2区和3区）同类表面缺陷按部件评一次。</w:t>
      </w:r>
    </w:p>
    <w:p>
      <w:pPr>
        <w:ind w:left="420" w:leftChars="200"/>
        <w:rPr>
          <w:rFonts w:ascii="宋体" w:hAnsi="宋体"/>
          <w:szCs w:val="21"/>
        </w:rPr>
      </w:pPr>
      <w:r>
        <w:rPr>
          <w:rFonts w:ascii="宋体" w:hAnsi="宋体"/>
          <w:szCs w:val="21"/>
        </w:rPr>
        <w:t>3.2.2.4</w:t>
      </w:r>
      <w:r>
        <w:rPr>
          <w:rFonts w:hint="eastAsia" w:ascii="宋体" w:hAnsi="宋体"/>
          <w:szCs w:val="21"/>
        </w:rPr>
        <w:t>上述部件同类缺陷贯穿在1区和2区中，仅作为一个1区缺陷评定。 部件同类缺陷贯穿在2区和3区中，仅作为一个2区缺陷评定。</w:t>
      </w:r>
    </w:p>
    <w:p>
      <w:pPr>
        <w:ind w:left="420" w:leftChars="200"/>
        <w:rPr>
          <w:rFonts w:ascii="宋体" w:hAnsi="宋体"/>
          <w:szCs w:val="21"/>
        </w:rPr>
      </w:pPr>
      <w:r>
        <w:rPr>
          <w:rFonts w:ascii="宋体" w:hAnsi="宋体"/>
          <w:szCs w:val="21"/>
        </w:rPr>
        <w:t>3.2.2.5</w:t>
      </w:r>
      <w:r>
        <w:rPr>
          <w:rFonts w:hint="eastAsia" w:ascii="宋体" w:hAnsi="宋体"/>
          <w:szCs w:val="21"/>
        </w:rPr>
        <w:t>如果某一个缺陷经返修后消失，而由此产生的其它缺陷将作为一个缺陷评定。</w:t>
      </w:r>
    </w:p>
    <w:p>
      <w:pPr>
        <w:ind w:left="420" w:leftChars="200"/>
        <w:rPr>
          <w:rFonts w:ascii="宋体" w:hAnsi="宋体"/>
          <w:szCs w:val="21"/>
        </w:rPr>
      </w:pPr>
      <w:r>
        <w:rPr>
          <w:rFonts w:ascii="宋体" w:hAnsi="宋体"/>
          <w:szCs w:val="21"/>
        </w:rPr>
        <w:t>3.2.2.6</w:t>
      </w:r>
      <w:r>
        <w:rPr>
          <w:rFonts w:hint="eastAsia" w:ascii="宋体" w:hAnsi="宋体"/>
          <w:szCs w:val="21"/>
        </w:rPr>
        <w:t>个别出现的小包/麻点在评审中按部件仅评一次。</w:t>
      </w:r>
    </w:p>
    <w:p>
      <w:pPr>
        <w:ind w:left="420" w:leftChars="200"/>
        <w:rPr>
          <w:rFonts w:ascii="宋体" w:hAnsi="宋体"/>
          <w:szCs w:val="21"/>
        </w:rPr>
      </w:pPr>
      <w:r>
        <w:rPr>
          <w:rFonts w:ascii="宋体" w:hAnsi="宋体"/>
          <w:szCs w:val="21"/>
        </w:rPr>
        <w:t>3.2.2.7</w:t>
      </w:r>
      <w:r>
        <w:rPr>
          <w:rFonts w:hint="eastAsia" w:ascii="宋体" w:hAnsi="宋体"/>
          <w:szCs w:val="21"/>
        </w:rPr>
        <w:t>在非石击区内规定的和为保证质量的打磨位置只有在操作不当时才评价。</w:t>
      </w:r>
    </w:p>
    <w:p>
      <w:pPr>
        <w:ind w:left="420" w:leftChars="200"/>
        <w:rPr>
          <w:rFonts w:ascii="宋体" w:hAnsi="宋体"/>
          <w:szCs w:val="21"/>
        </w:rPr>
      </w:pPr>
      <w:r>
        <w:rPr>
          <w:rFonts w:ascii="宋体" w:hAnsi="宋体"/>
          <w:szCs w:val="21"/>
        </w:rPr>
        <w:t>3.2.2.8</w:t>
      </w:r>
      <w:r>
        <w:rPr>
          <w:rFonts w:hint="eastAsia" w:ascii="宋体" w:hAnsi="宋体"/>
          <w:szCs w:val="21"/>
        </w:rPr>
        <w:t>在优化阶段，由一个缺陷产生二个缺陷，还汇总成一个缺陷。</w:t>
      </w:r>
    </w:p>
    <w:p>
      <w:pPr>
        <w:ind w:left="420" w:leftChars="200"/>
        <w:rPr>
          <w:rFonts w:ascii="宋体" w:hAnsi="宋体"/>
          <w:szCs w:val="21"/>
        </w:rPr>
      </w:pPr>
      <w:r>
        <w:rPr>
          <w:rFonts w:ascii="宋体" w:hAnsi="宋体"/>
          <w:szCs w:val="21"/>
        </w:rPr>
        <w:t>3.2.2.9</w:t>
      </w:r>
      <w:r>
        <w:rPr>
          <w:rFonts w:hint="eastAsia" w:ascii="宋体" w:hAnsi="宋体"/>
          <w:szCs w:val="21"/>
        </w:rPr>
        <w:t>在生产过程不导致后序产生缺陷的B类或C类缺陷，如果满足下列条件，可以从评审结果中刨除：</w:t>
      </w:r>
    </w:p>
    <w:p>
      <w:pPr>
        <w:ind w:left="420" w:leftChars="200"/>
        <w:rPr>
          <w:rFonts w:ascii="宋体" w:hAnsi="宋体"/>
          <w:szCs w:val="21"/>
        </w:rPr>
      </w:pPr>
      <w:r>
        <w:rPr>
          <w:rFonts w:hint="eastAsia" w:ascii="宋体" w:hAnsi="宋体"/>
          <w:szCs w:val="21"/>
        </w:rPr>
        <w:t>（1）由过程负责人提供书面证据，证明此B类或C类缺陷在后序的生产流程中不会成为缺陷（总成、压合件、白车身、油漆和整车奥迪特）。这种情况下也可做相应的黑漆件、相应的黑漆车身来证明。与后序生产过程有关的专业部门（总成、压合件、白车身、油漆和整车奥迪特）应在书面《表面缺陷质量认可单》证明上签字认可。</w:t>
      </w:r>
    </w:p>
    <w:p>
      <w:pPr>
        <w:ind w:left="420" w:leftChars="200"/>
        <w:rPr>
          <w:rFonts w:ascii="宋体" w:hAnsi="宋体"/>
          <w:szCs w:val="21"/>
        </w:rPr>
      </w:pPr>
      <w:r>
        <w:rPr>
          <w:rFonts w:hint="eastAsia" w:ascii="宋体" w:hAnsi="宋体"/>
          <w:szCs w:val="21"/>
        </w:rPr>
        <w:t>（2）这样确定的B/C缺陷仍做标识。</w:t>
      </w:r>
    </w:p>
    <w:p>
      <w:pPr>
        <w:ind w:left="420" w:leftChars="200"/>
        <w:rPr>
          <w:rFonts w:ascii="宋体" w:hAnsi="宋体"/>
          <w:szCs w:val="21"/>
        </w:rPr>
      </w:pPr>
      <w:r>
        <w:rPr>
          <w:rFonts w:ascii="宋体" w:hAnsi="宋体"/>
          <w:szCs w:val="21"/>
        </w:rPr>
        <w:t>3.2.2.10</w:t>
      </w:r>
      <w:r>
        <w:rPr>
          <w:rFonts w:hint="eastAsia" w:ascii="宋体" w:hAnsi="宋体"/>
          <w:szCs w:val="21"/>
        </w:rPr>
        <w:t>当生产过程发生变化，缺陷程度加重和在下道工序中缺陷可见了，这时应立即对此缺陷重新评价。</w:t>
      </w:r>
    </w:p>
    <w:p>
      <w:pPr>
        <w:pStyle w:val="60"/>
        <w:spacing w:before="156" w:beforeLines="50" w:after="156" w:afterLines="50"/>
        <w:ind w:left="283"/>
      </w:pPr>
      <w:r>
        <w:rPr>
          <w:rFonts w:hint="eastAsia"/>
        </w:rPr>
        <w:t>冲压件外观AUDIT等级评定方法</w:t>
      </w:r>
    </w:p>
    <w:p>
      <w:pPr>
        <w:pStyle w:val="61"/>
        <w:spacing w:before="156" w:beforeLines="50" w:after="156" w:afterLines="50"/>
        <w:ind w:left="420" w:leftChars="200"/>
        <w:rPr>
          <w:rFonts w:hAnsi="黑体"/>
        </w:rPr>
      </w:pPr>
      <w:r>
        <w:rPr>
          <w:rFonts w:hint="eastAsia" w:hAnsi="黑体"/>
        </w:rPr>
        <w:t>按以上方法和标准判定制件各部分的缺陷，并标出缺陷和区域代号。</w:t>
      </w:r>
    </w:p>
    <w:p>
      <w:pPr>
        <w:pStyle w:val="61"/>
        <w:spacing w:before="156" w:beforeLines="50" w:after="156" w:afterLines="50"/>
        <w:ind w:left="420" w:leftChars="200"/>
        <w:rPr>
          <w:rFonts w:hAnsi="黑体"/>
        </w:rPr>
      </w:pPr>
      <w:r>
        <w:rPr>
          <w:rFonts w:hint="eastAsia" w:hAnsi="黑体"/>
        </w:rPr>
        <w:t>评出各缺陷部的缺陷点数，并累加得到该制件的总缺陷点数。</w:t>
      </w:r>
    </w:p>
    <w:p>
      <w:pPr>
        <w:pStyle w:val="61"/>
        <w:spacing w:before="156" w:beforeLines="50" w:after="156" w:afterLines="50"/>
        <w:ind w:left="420" w:leftChars="200"/>
        <w:rPr>
          <w:rFonts w:hAnsi="黑体"/>
        </w:rPr>
      </w:pPr>
      <w:r>
        <w:rPr>
          <w:rFonts w:hint="eastAsia" w:hAnsi="黑体"/>
        </w:rPr>
        <w:t>根据总缺陷点数，在表面AUDIT等级对照表中查出对应的表面AUDIT等级分值。</w:t>
      </w:r>
    </w:p>
    <w:p>
      <w:pPr>
        <w:pStyle w:val="61"/>
        <w:spacing w:before="156" w:beforeLines="50" w:after="156" w:afterLines="50"/>
        <w:ind w:left="420" w:leftChars="200"/>
        <w:rPr>
          <w:rFonts w:hAnsi="黑体"/>
        </w:rPr>
      </w:pPr>
      <w:r>
        <w:rPr>
          <w:rFonts w:hint="eastAsia" w:hAnsi="黑体"/>
        </w:rPr>
        <w:t>制作《冲压件AUDIT评审报告》。</w:t>
      </w:r>
    </w:p>
    <w:p>
      <w:pPr>
        <w:ind w:firstLine="480" w:firstLineChars="200"/>
        <w:jc w:val="center"/>
        <w:rPr>
          <w:sz w:val="24"/>
          <w:szCs w:val="28"/>
        </w:rPr>
      </w:pPr>
      <w:r>
        <w:rPr>
          <w:rFonts w:hint="eastAsia"/>
          <w:sz w:val="24"/>
          <w:szCs w:val="28"/>
        </w:rPr>
        <w:t>表</w:t>
      </w:r>
      <w:r>
        <w:rPr>
          <w:sz w:val="24"/>
          <w:szCs w:val="28"/>
        </w:rPr>
        <w:t xml:space="preserve">2 </w:t>
      </w:r>
      <w:r>
        <w:rPr>
          <w:rFonts w:hint="eastAsia" w:hAnsi="黑体"/>
        </w:rPr>
        <w:t>表面AUDIT等级对照表</w:t>
      </w:r>
    </w:p>
    <w:tbl>
      <w:tblPr>
        <w:tblStyle w:val="35"/>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097"/>
        <w:gridCol w:w="1182"/>
        <w:gridCol w:w="1135"/>
        <w:gridCol w:w="1228"/>
        <w:gridCol w:w="1212"/>
        <w:gridCol w:w="117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trPr>
        <w:tc>
          <w:tcPr>
            <w:tcW w:w="5000" w:type="pct"/>
            <w:gridSpan w:val="8"/>
            <w:noWrap/>
          </w:tcPr>
          <w:p>
            <w:pPr>
              <w:widowControl/>
              <w:jc w:val="center"/>
              <w:rPr>
                <w:rFonts w:ascii="宋体" w:hAnsi="宋体" w:cs="Arial"/>
                <w:b/>
                <w:kern w:val="0"/>
                <w:sz w:val="24"/>
              </w:rPr>
            </w:pPr>
            <w:r>
              <w:rPr>
                <w:rFonts w:hint="eastAsia" w:ascii="宋体" w:hAnsi="宋体" w:cs="Arial"/>
                <w:b/>
                <w:kern w:val="0"/>
                <w:sz w:val="24"/>
              </w:rPr>
              <w:t>冲压件AUDIT质量等级对照表</w:t>
            </w:r>
          </w:p>
        </w:tc>
      </w:tr>
      <w:tr>
        <w:tblPrEx>
          <w:tblCellMar>
            <w:top w:w="0" w:type="dxa"/>
            <w:left w:w="108" w:type="dxa"/>
            <w:bottom w:w="0" w:type="dxa"/>
            <w:right w:w="108" w:type="dxa"/>
          </w:tblCellMar>
        </w:tblPrEx>
        <w:trPr>
          <w:trHeight w:val="300" w:hRule="exact"/>
        </w:trPr>
        <w:tc>
          <w:tcPr>
            <w:tcW w:w="651" w:type="pct"/>
            <w:vMerge w:val="restart"/>
            <w:noWrap/>
            <w:vAlign w:val="center"/>
          </w:tcPr>
          <w:p>
            <w:pPr>
              <w:widowControl/>
              <w:jc w:val="center"/>
              <w:rPr>
                <w:rFonts w:ascii="宋体" w:hAnsi="宋体" w:cs="Arial"/>
                <w:b/>
                <w:kern w:val="0"/>
                <w:sz w:val="24"/>
              </w:rPr>
            </w:pPr>
            <w:r>
              <w:rPr>
                <w:rFonts w:hint="eastAsia" w:ascii="宋体" w:hAnsi="宋体" w:cs="Arial"/>
                <w:b/>
                <w:kern w:val="0"/>
                <w:sz w:val="24"/>
              </w:rPr>
              <w:t>质量等级</w:t>
            </w:r>
          </w:p>
        </w:tc>
        <w:tc>
          <w:tcPr>
            <w:tcW w:w="1808" w:type="pct"/>
            <w:gridSpan w:val="3"/>
            <w:noWrap/>
            <w:vAlign w:val="center"/>
          </w:tcPr>
          <w:p>
            <w:pPr>
              <w:widowControl/>
              <w:jc w:val="center"/>
              <w:rPr>
                <w:rFonts w:ascii="宋体" w:hAnsi="宋体" w:cs="Arial"/>
                <w:b/>
                <w:kern w:val="0"/>
                <w:sz w:val="24"/>
              </w:rPr>
            </w:pPr>
            <w:r>
              <w:rPr>
                <w:rFonts w:hint="eastAsia" w:ascii="宋体" w:hAnsi="宋体" w:cs="Arial"/>
                <w:b/>
                <w:kern w:val="0"/>
                <w:sz w:val="24"/>
              </w:rPr>
              <w:t>点数</w:t>
            </w:r>
          </w:p>
        </w:tc>
        <w:tc>
          <w:tcPr>
            <w:tcW w:w="650" w:type="pct"/>
            <w:vMerge w:val="restart"/>
            <w:vAlign w:val="center"/>
          </w:tcPr>
          <w:p>
            <w:pPr>
              <w:widowControl/>
              <w:jc w:val="center"/>
              <w:rPr>
                <w:rFonts w:ascii="宋体" w:hAnsi="宋体" w:cs="Arial"/>
                <w:b/>
                <w:kern w:val="0"/>
                <w:sz w:val="24"/>
              </w:rPr>
            </w:pPr>
            <w:r>
              <w:rPr>
                <w:rFonts w:hint="eastAsia" w:ascii="宋体" w:hAnsi="宋体" w:cs="Arial"/>
                <w:b/>
                <w:kern w:val="0"/>
                <w:sz w:val="24"/>
              </w:rPr>
              <w:t>质量等级</w:t>
            </w:r>
          </w:p>
        </w:tc>
        <w:tc>
          <w:tcPr>
            <w:tcW w:w="1891" w:type="pct"/>
            <w:gridSpan w:val="3"/>
            <w:vAlign w:val="center"/>
          </w:tcPr>
          <w:p>
            <w:pPr>
              <w:widowControl/>
              <w:jc w:val="center"/>
              <w:rPr>
                <w:rFonts w:ascii="宋体" w:hAnsi="宋体" w:cs="Arial"/>
                <w:b/>
                <w:kern w:val="0"/>
                <w:sz w:val="24"/>
              </w:rPr>
            </w:pPr>
            <w:r>
              <w:rPr>
                <w:rFonts w:hint="eastAsia" w:ascii="宋体" w:hAnsi="宋体" w:cs="Arial"/>
                <w:b/>
                <w:kern w:val="0"/>
                <w:sz w:val="24"/>
              </w:rPr>
              <w:t>点数</w:t>
            </w:r>
          </w:p>
        </w:tc>
      </w:tr>
      <w:tr>
        <w:tblPrEx>
          <w:tblCellMar>
            <w:top w:w="0" w:type="dxa"/>
            <w:left w:w="108" w:type="dxa"/>
            <w:bottom w:w="0" w:type="dxa"/>
            <w:right w:w="108" w:type="dxa"/>
          </w:tblCellMar>
        </w:tblPrEx>
        <w:trPr>
          <w:trHeight w:val="300" w:hRule="exact"/>
        </w:trPr>
        <w:tc>
          <w:tcPr>
            <w:tcW w:w="651" w:type="pct"/>
            <w:vMerge w:val="continue"/>
            <w:vAlign w:val="center"/>
          </w:tcPr>
          <w:p>
            <w:pPr>
              <w:widowControl/>
              <w:jc w:val="center"/>
              <w:rPr>
                <w:rFonts w:ascii="宋体" w:hAnsi="宋体" w:cs="Arial"/>
                <w:kern w:val="0"/>
                <w:sz w:val="20"/>
                <w:szCs w:val="20"/>
              </w:rPr>
            </w:pPr>
          </w:p>
        </w:tc>
        <w:tc>
          <w:tcPr>
            <w:tcW w:w="581" w:type="pct"/>
            <w:noWrap/>
            <w:vAlign w:val="center"/>
          </w:tcPr>
          <w:p>
            <w:pPr>
              <w:widowControl/>
              <w:jc w:val="center"/>
              <w:rPr>
                <w:rFonts w:ascii="宋体" w:hAnsi="宋体" w:cs="Arial"/>
                <w:b/>
                <w:kern w:val="0"/>
                <w:sz w:val="24"/>
              </w:rPr>
            </w:pPr>
            <w:r>
              <w:rPr>
                <w:rFonts w:hint="eastAsia" w:ascii="宋体" w:hAnsi="宋体" w:cs="Arial"/>
                <w:b/>
                <w:kern w:val="0"/>
                <w:sz w:val="24"/>
              </w:rPr>
              <w:t>起点</w:t>
            </w:r>
          </w:p>
        </w:tc>
        <w:tc>
          <w:tcPr>
            <w:tcW w:w="626" w:type="pct"/>
            <w:noWrap/>
            <w:vAlign w:val="center"/>
          </w:tcPr>
          <w:p>
            <w:pPr>
              <w:widowControl/>
              <w:jc w:val="center"/>
              <w:rPr>
                <w:rFonts w:ascii="宋体" w:hAnsi="宋体" w:cs="Arial"/>
                <w:b/>
                <w:kern w:val="0"/>
                <w:sz w:val="24"/>
              </w:rPr>
            </w:pPr>
            <w:r>
              <w:rPr>
                <w:rFonts w:hint="eastAsia" w:ascii="宋体" w:hAnsi="宋体" w:cs="Arial"/>
                <w:b/>
                <w:kern w:val="0"/>
                <w:sz w:val="24"/>
              </w:rPr>
              <w:t>终点</w:t>
            </w:r>
          </w:p>
        </w:tc>
        <w:tc>
          <w:tcPr>
            <w:tcW w:w="601" w:type="pct"/>
            <w:noWrap/>
            <w:vAlign w:val="center"/>
          </w:tcPr>
          <w:p>
            <w:pPr>
              <w:widowControl/>
              <w:jc w:val="center"/>
              <w:rPr>
                <w:rFonts w:ascii="宋体" w:hAnsi="宋体" w:cs="Arial"/>
                <w:b/>
                <w:kern w:val="0"/>
                <w:sz w:val="24"/>
              </w:rPr>
            </w:pPr>
            <w:r>
              <w:rPr>
                <w:rFonts w:hint="eastAsia" w:ascii="宋体" w:hAnsi="宋体" w:cs="Arial"/>
                <w:b/>
                <w:kern w:val="0"/>
                <w:sz w:val="24"/>
              </w:rPr>
              <w:t>跨度</w:t>
            </w:r>
          </w:p>
        </w:tc>
        <w:tc>
          <w:tcPr>
            <w:tcW w:w="650" w:type="pct"/>
            <w:vMerge w:val="continue"/>
            <w:vAlign w:val="center"/>
          </w:tcPr>
          <w:p>
            <w:pPr>
              <w:widowControl/>
              <w:jc w:val="center"/>
              <w:rPr>
                <w:rFonts w:ascii="宋体" w:hAnsi="宋体" w:cs="Arial"/>
                <w:b/>
                <w:kern w:val="0"/>
                <w:sz w:val="24"/>
              </w:rPr>
            </w:pPr>
          </w:p>
        </w:tc>
        <w:tc>
          <w:tcPr>
            <w:tcW w:w="642" w:type="pct"/>
            <w:vAlign w:val="center"/>
          </w:tcPr>
          <w:p>
            <w:pPr>
              <w:widowControl/>
              <w:jc w:val="center"/>
              <w:rPr>
                <w:rFonts w:ascii="宋体" w:hAnsi="宋体" w:cs="Arial"/>
                <w:b/>
                <w:kern w:val="0"/>
                <w:sz w:val="24"/>
              </w:rPr>
            </w:pPr>
            <w:r>
              <w:rPr>
                <w:rFonts w:hint="eastAsia" w:ascii="宋体" w:hAnsi="宋体" w:cs="Arial"/>
                <w:b/>
                <w:kern w:val="0"/>
                <w:sz w:val="24"/>
              </w:rPr>
              <w:t>起点</w:t>
            </w:r>
          </w:p>
        </w:tc>
        <w:tc>
          <w:tcPr>
            <w:tcW w:w="623" w:type="pct"/>
            <w:vAlign w:val="center"/>
          </w:tcPr>
          <w:p>
            <w:pPr>
              <w:widowControl/>
              <w:jc w:val="center"/>
              <w:rPr>
                <w:rFonts w:ascii="宋体" w:hAnsi="宋体" w:cs="Arial"/>
                <w:b/>
                <w:kern w:val="0"/>
                <w:sz w:val="24"/>
              </w:rPr>
            </w:pPr>
            <w:r>
              <w:rPr>
                <w:rFonts w:hint="eastAsia" w:ascii="宋体" w:hAnsi="宋体" w:cs="Arial"/>
                <w:b/>
                <w:kern w:val="0"/>
                <w:sz w:val="24"/>
              </w:rPr>
              <w:t>终点</w:t>
            </w:r>
          </w:p>
        </w:tc>
        <w:tc>
          <w:tcPr>
            <w:tcW w:w="626" w:type="pct"/>
            <w:vAlign w:val="center"/>
          </w:tcPr>
          <w:p>
            <w:pPr>
              <w:widowControl/>
              <w:jc w:val="center"/>
              <w:rPr>
                <w:rFonts w:ascii="宋体" w:hAnsi="宋体" w:cs="Arial"/>
                <w:b/>
                <w:kern w:val="0"/>
                <w:sz w:val="24"/>
              </w:rPr>
            </w:pPr>
            <w:r>
              <w:rPr>
                <w:rFonts w:hint="eastAsia" w:ascii="宋体" w:hAnsi="宋体" w:cs="Arial"/>
                <w:b/>
                <w:kern w:val="0"/>
                <w:sz w:val="24"/>
              </w:rPr>
              <w:t>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1.0 </w:t>
            </w:r>
          </w:p>
        </w:tc>
        <w:tc>
          <w:tcPr>
            <w:tcW w:w="581" w:type="pct"/>
            <w:noWrap/>
          </w:tcPr>
          <w:p>
            <w:pPr>
              <w:widowControl/>
              <w:jc w:val="center"/>
              <w:rPr>
                <w:rFonts w:ascii="Arial" w:hAnsi="Arial" w:cs="Arial"/>
                <w:kern w:val="0"/>
                <w:sz w:val="20"/>
                <w:szCs w:val="20"/>
              </w:rPr>
            </w:pPr>
            <w:r>
              <w:rPr>
                <w:rFonts w:ascii="Arial" w:hAnsi="Arial" w:cs="Arial"/>
                <w:kern w:val="0"/>
                <w:sz w:val="20"/>
                <w:szCs w:val="20"/>
              </w:rPr>
              <w:t>0</w:t>
            </w:r>
          </w:p>
        </w:tc>
        <w:tc>
          <w:tcPr>
            <w:tcW w:w="626" w:type="pct"/>
            <w:noWrap/>
          </w:tcPr>
          <w:p>
            <w:pPr>
              <w:widowControl/>
              <w:jc w:val="center"/>
              <w:rPr>
                <w:rFonts w:ascii="Arial" w:hAnsi="Arial" w:cs="Arial"/>
                <w:kern w:val="0"/>
                <w:sz w:val="20"/>
                <w:szCs w:val="20"/>
              </w:rPr>
            </w:pPr>
            <w:r>
              <w:rPr>
                <w:rFonts w:ascii="Arial" w:hAnsi="Arial" w:cs="Arial"/>
                <w:kern w:val="0"/>
                <w:sz w:val="20"/>
                <w:szCs w:val="20"/>
              </w:rPr>
              <w:t>49</w:t>
            </w:r>
          </w:p>
        </w:tc>
        <w:tc>
          <w:tcPr>
            <w:tcW w:w="601" w:type="pct"/>
            <w:noWrap/>
          </w:tcPr>
          <w:p>
            <w:pPr>
              <w:widowControl/>
              <w:jc w:val="center"/>
              <w:rPr>
                <w:rFonts w:ascii="Arial" w:hAnsi="Arial" w:cs="Arial"/>
                <w:kern w:val="0"/>
                <w:sz w:val="20"/>
                <w:szCs w:val="20"/>
              </w:rPr>
            </w:pPr>
            <w:r>
              <w:rPr>
                <w:rFonts w:ascii="Arial" w:hAnsi="Arial" w:cs="Arial"/>
                <w:kern w:val="0"/>
                <w:sz w:val="20"/>
                <w:szCs w:val="20"/>
              </w:rPr>
              <w:t>50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3.1 </w:t>
            </w:r>
          </w:p>
        </w:tc>
        <w:tc>
          <w:tcPr>
            <w:tcW w:w="642" w:type="pct"/>
          </w:tcPr>
          <w:p>
            <w:pPr>
              <w:widowControl/>
              <w:jc w:val="center"/>
              <w:rPr>
                <w:rFonts w:ascii="Arial" w:hAnsi="Arial" w:cs="Arial"/>
                <w:kern w:val="0"/>
                <w:sz w:val="20"/>
                <w:szCs w:val="20"/>
              </w:rPr>
            </w:pPr>
            <w:r>
              <w:rPr>
                <w:rFonts w:ascii="Arial" w:hAnsi="Arial" w:cs="Arial"/>
                <w:kern w:val="0"/>
                <w:sz w:val="20"/>
                <w:szCs w:val="20"/>
              </w:rPr>
              <w:t>250</w:t>
            </w:r>
          </w:p>
        </w:tc>
        <w:tc>
          <w:tcPr>
            <w:tcW w:w="623" w:type="pct"/>
          </w:tcPr>
          <w:p>
            <w:pPr>
              <w:widowControl/>
              <w:jc w:val="center"/>
              <w:rPr>
                <w:rFonts w:ascii="Arial" w:hAnsi="Arial" w:cs="Arial"/>
                <w:kern w:val="0"/>
                <w:sz w:val="20"/>
                <w:szCs w:val="20"/>
              </w:rPr>
            </w:pPr>
            <w:r>
              <w:rPr>
                <w:rFonts w:ascii="Arial" w:hAnsi="Arial" w:cs="Arial"/>
                <w:kern w:val="0"/>
                <w:sz w:val="20"/>
                <w:szCs w:val="20"/>
              </w:rPr>
              <w:t>259</w:t>
            </w:r>
          </w:p>
        </w:tc>
        <w:tc>
          <w:tcPr>
            <w:tcW w:w="626" w:type="pct"/>
          </w:tcPr>
          <w:p>
            <w:pPr>
              <w:widowControl/>
              <w:jc w:val="center"/>
              <w:rPr>
                <w:rFonts w:ascii="Arial" w:hAnsi="Arial" w:cs="Arial"/>
                <w:kern w:val="0"/>
                <w:sz w:val="20"/>
                <w:szCs w:val="20"/>
              </w:rPr>
            </w:pPr>
            <w:r>
              <w:rPr>
                <w:rFonts w:ascii="Arial" w:hAnsi="Arial"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1.1 </w:t>
            </w:r>
          </w:p>
        </w:tc>
        <w:tc>
          <w:tcPr>
            <w:tcW w:w="581" w:type="pct"/>
            <w:noWrap/>
          </w:tcPr>
          <w:p>
            <w:pPr>
              <w:widowControl/>
              <w:jc w:val="center"/>
              <w:rPr>
                <w:rFonts w:ascii="Arial" w:hAnsi="Arial" w:cs="Arial"/>
                <w:kern w:val="0"/>
                <w:sz w:val="20"/>
                <w:szCs w:val="20"/>
              </w:rPr>
            </w:pPr>
            <w:r>
              <w:rPr>
                <w:rFonts w:ascii="Arial" w:hAnsi="Arial" w:cs="Arial"/>
                <w:kern w:val="0"/>
                <w:sz w:val="20"/>
                <w:szCs w:val="20"/>
              </w:rPr>
              <w:t>50</w:t>
            </w:r>
          </w:p>
        </w:tc>
        <w:tc>
          <w:tcPr>
            <w:tcW w:w="626" w:type="pct"/>
            <w:noWrap/>
          </w:tcPr>
          <w:p>
            <w:pPr>
              <w:widowControl/>
              <w:jc w:val="center"/>
              <w:rPr>
                <w:rFonts w:ascii="Arial" w:hAnsi="Arial" w:cs="Arial"/>
                <w:kern w:val="0"/>
                <w:sz w:val="20"/>
                <w:szCs w:val="20"/>
              </w:rPr>
            </w:pPr>
            <w:r>
              <w:rPr>
                <w:rFonts w:ascii="Arial" w:hAnsi="Arial" w:cs="Arial"/>
                <w:kern w:val="0"/>
                <w:sz w:val="20"/>
                <w:szCs w:val="20"/>
              </w:rPr>
              <w:t>59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3.2 </w:t>
            </w:r>
          </w:p>
        </w:tc>
        <w:tc>
          <w:tcPr>
            <w:tcW w:w="642" w:type="pct"/>
          </w:tcPr>
          <w:p>
            <w:pPr>
              <w:widowControl/>
              <w:jc w:val="center"/>
              <w:rPr>
                <w:rFonts w:ascii="Arial" w:hAnsi="Arial" w:cs="Arial"/>
                <w:kern w:val="0"/>
                <w:sz w:val="20"/>
                <w:szCs w:val="20"/>
              </w:rPr>
            </w:pPr>
            <w:r>
              <w:rPr>
                <w:rFonts w:ascii="Arial" w:hAnsi="Arial" w:cs="Arial"/>
                <w:kern w:val="0"/>
                <w:sz w:val="20"/>
                <w:szCs w:val="20"/>
              </w:rPr>
              <w:t>260</w:t>
            </w:r>
          </w:p>
        </w:tc>
        <w:tc>
          <w:tcPr>
            <w:tcW w:w="623" w:type="pct"/>
          </w:tcPr>
          <w:p>
            <w:pPr>
              <w:widowControl/>
              <w:jc w:val="center"/>
              <w:rPr>
                <w:rFonts w:ascii="Arial" w:hAnsi="Arial" w:cs="Arial"/>
                <w:kern w:val="0"/>
                <w:sz w:val="20"/>
                <w:szCs w:val="20"/>
              </w:rPr>
            </w:pPr>
            <w:r>
              <w:rPr>
                <w:rFonts w:ascii="Arial" w:hAnsi="Arial" w:cs="Arial"/>
                <w:kern w:val="0"/>
                <w:sz w:val="20"/>
                <w:szCs w:val="20"/>
              </w:rPr>
              <w:t>269</w:t>
            </w:r>
          </w:p>
        </w:tc>
        <w:tc>
          <w:tcPr>
            <w:tcW w:w="626" w:type="pct"/>
          </w:tcPr>
          <w:p>
            <w:pPr>
              <w:widowControl/>
              <w:jc w:val="center"/>
              <w:rPr>
                <w:rFonts w:ascii="Arial" w:hAnsi="Arial" w:cs="Arial"/>
                <w:kern w:val="0"/>
                <w:sz w:val="20"/>
                <w:szCs w:val="20"/>
              </w:rPr>
            </w:pPr>
            <w:r>
              <w:rPr>
                <w:rFonts w:ascii="Arial" w:hAnsi="Arial"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1.2 </w:t>
            </w:r>
          </w:p>
        </w:tc>
        <w:tc>
          <w:tcPr>
            <w:tcW w:w="581" w:type="pct"/>
            <w:noWrap/>
          </w:tcPr>
          <w:p>
            <w:pPr>
              <w:widowControl/>
              <w:jc w:val="center"/>
              <w:rPr>
                <w:rFonts w:ascii="Arial" w:hAnsi="Arial" w:cs="Arial"/>
                <w:kern w:val="0"/>
                <w:sz w:val="20"/>
                <w:szCs w:val="20"/>
              </w:rPr>
            </w:pPr>
            <w:r>
              <w:rPr>
                <w:rFonts w:ascii="Arial" w:hAnsi="Arial" w:cs="Arial"/>
                <w:kern w:val="0"/>
                <w:sz w:val="20"/>
                <w:szCs w:val="20"/>
              </w:rPr>
              <w:t>60</w:t>
            </w:r>
          </w:p>
        </w:tc>
        <w:tc>
          <w:tcPr>
            <w:tcW w:w="626" w:type="pct"/>
            <w:noWrap/>
          </w:tcPr>
          <w:p>
            <w:pPr>
              <w:widowControl/>
              <w:jc w:val="center"/>
              <w:rPr>
                <w:rFonts w:ascii="Arial" w:hAnsi="Arial" w:cs="Arial"/>
                <w:kern w:val="0"/>
                <w:sz w:val="20"/>
                <w:szCs w:val="20"/>
              </w:rPr>
            </w:pPr>
            <w:r>
              <w:rPr>
                <w:rFonts w:ascii="Arial" w:hAnsi="Arial" w:cs="Arial"/>
                <w:kern w:val="0"/>
                <w:sz w:val="20"/>
                <w:szCs w:val="20"/>
              </w:rPr>
              <w:t>69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3.3 </w:t>
            </w:r>
          </w:p>
        </w:tc>
        <w:tc>
          <w:tcPr>
            <w:tcW w:w="642" w:type="pct"/>
          </w:tcPr>
          <w:p>
            <w:pPr>
              <w:widowControl/>
              <w:jc w:val="center"/>
              <w:rPr>
                <w:rFonts w:ascii="Arial" w:hAnsi="Arial" w:cs="Arial"/>
                <w:kern w:val="0"/>
                <w:sz w:val="20"/>
                <w:szCs w:val="20"/>
              </w:rPr>
            </w:pPr>
            <w:r>
              <w:rPr>
                <w:rFonts w:ascii="Arial" w:hAnsi="Arial" w:cs="Arial"/>
                <w:kern w:val="0"/>
                <w:sz w:val="20"/>
                <w:szCs w:val="20"/>
              </w:rPr>
              <w:t>270</w:t>
            </w:r>
          </w:p>
        </w:tc>
        <w:tc>
          <w:tcPr>
            <w:tcW w:w="623" w:type="pct"/>
          </w:tcPr>
          <w:p>
            <w:pPr>
              <w:widowControl/>
              <w:jc w:val="center"/>
              <w:rPr>
                <w:rFonts w:ascii="Arial" w:hAnsi="Arial" w:cs="Arial"/>
                <w:kern w:val="0"/>
                <w:sz w:val="20"/>
                <w:szCs w:val="20"/>
              </w:rPr>
            </w:pPr>
            <w:r>
              <w:rPr>
                <w:rFonts w:ascii="Arial" w:hAnsi="Arial" w:cs="Arial"/>
                <w:kern w:val="0"/>
                <w:sz w:val="20"/>
                <w:szCs w:val="20"/>
              </w:rPr>
              <w:t>279</w:t>
            </w:r>
          </w:p>
        </w:tc>
        <w:tc>
          <w:tcPr>
            <w:tcW w:w="626" w:type="pct"/>
          </w:tcPr>
          <w:p>
            <w:pPr>
              <w:widowControl/>
              <w:jc w:val="center"/>
              <w:rPr>
                <w:rFonts w:ascii="Arial" w:hAnsi="Arial" w:cs="Arial"/>
                <w:kern w:val="0"/>
                <w:sz w:val="20"/>
                <w:szCs w:val="20"/>
              </w:rPr>
            </w:pPr>
            <w:r>
              <w:rPr>
                <w:rFonts w:ascii="Arial" w:hAnsi="Arial"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1.3 </w:t>
            </w:r>
          </w:p>
        </w:tc>
        <w:tc>
          <w:tcPr>
            <w:tcW w:w="581" w:type="pct"/>
            <w:noWrap/>
          </w:tcPr>
          <w:p>
            <w:pPr>
              <w:widowControl/>
              <w:jc w:val="center"/>
              <w:rPr>
                <w:rFonts w:ascii="Arial" w:hAnsi="Arial" w:cs="Arial"/>
                <w:kern w:val="0"/>
                <w:sz w:val="20"/>
                <w:szCs w:val="20"/>
              </w:rPr>
            </w:pPr>
            <w:r>
              <w:rPr>
                <w:rFonts w:ascii="Arial" w:hAnsi="Arial" w:cs="Arial"/>
                <w:kern w:val="0"/>
                <w:sz w:val="20"/>
                <w:szCs w:val="20"/>
              </w:rPr>
              <w:t>70</w:t>
            </w:r>
          </w:p>
        </w:tc>
        <w:tc>
          <w:tcPr>
            <w:tcW w:w="626" w:type="pct"/>
            <w:noWrap/>
          </w:tcPr>
          <w:p>
            <w:pPr>
              <w:widowControl/>
              <w:jc w:val="center"/>
              <w:rPr>
                <w:rFonts w:ascii="Arial" w:hAnsi="Arial" w:cs="Arial"/>
                <w:kern w:val="0"/>
                <w:sz w:val="20"/>
                <w:szCs w:val="20"/>
              </w:rPr>
            </w:pPr>
            <w:r>
              <w:rPr>
                <w:rFonts w:ascii="Arial" w:hAnsi="Arial" w:cs="Arial"/>
                <w:kern w:val="0"/>
                <w:sz w:val="20"/>
                <w:szCs w:val="20"/>
              </w:rPr>
              <w:t>79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3.4 </w:t>
            </w:r>
          </w:p>
        </w:tc>
        <w:tc>
          <w:tcPr>
            <w:tcW w:w="642" w:type="pct"/>
          </w:tcPr>
          <w:p>
            <w:pPr>
              <w:widowControl/>
              <w:jc w:val="center"/>
              <w:rPr>
                <w:rFonts w:ascii="Arial" w:hAnsi="Arial" w:cs="Arial"/>
                <w:kern w:val="0"/>
                <w:sz w:val="20"/>
                <w:szCs w:val="20"/>
              </w:rPr>
            </w:pPr>
            <w:r>
              <w:rPr>
                <w:rFonts w:ascii="Arial" w:hAnsi="Arial" w:cs="Arial"/>
                <w:kern w:val="0"/>
                <w:sz w:val="20"/>
                <w:szCs w:val="20"/>
              </w:rPr>
              <w:t>280</w:t>
            </w:r>
          </w:p>
        </w:tc>
        <w:tc>
          <w:tcPr>
            <w:tcW w:w="623" w:type="pct"/>
          </w:tcPr>
          <w:p>
            <w:pPr>
              <w:widowControl/>
              <w:jc w:val="center"/>
              <w:rPr>
                <w:rFonts w:ascii="Arial" w:hAnsi="Arial" w:cs="Arial"/>
                <w:kern w:val="0"/>
                <w:sz w:val="20"/>
                <w:szCs w:val="20"/>
              </w:rPr>
            </w:pPr>
            <w:r>
              <w:rPr>
                <w:rFonts w:ascii="Arial" w:hAnsi="Arial" w:cs="Arial"/>
                <w:kern w:val="0"/>
                <w:sz w:val="20"/>
                <w:szCs w:val="20"/>
              </w:rPr>
              <w:t>289</w:t>
            </w:r>
          </w:p>
        </w:tc>
        <w:tc>
          <w:tcPr>
            <w:tcW w:w="626" w:type="pct"/>
          </w:tcPr>
          <w:p>
            <w:pPr>
              <w:widowControl/>
              <w:jc w:val="center"/>
              <w:rPr>
                <w:rFonts w:ascii="Arial" w:hAnsi="Arial" w:cs="Arial"/>
                <w:kern w:val="0"/>
                <w:sz w:val="20"/>
                <w:szCs w:val="20"/>
              </w:rPr>
            </w:pPr>
            <w:r>
              <w:rPr>
                <w:rFonts w:ascii="Arial" w:hAnsi="Arial" w:cs="Arial"/>
                <w:kern w:val="0"/>
                <w:sz w:val="20"/>
                <w:szCs w:val="20"/>
              </w:rPr>
              <w:t>10</w:t>
            </w:r>
          </w:p>
        </w:tc>
      </w:tr>
      <w:tr>
        <w:tblPrEx>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1.4 </w:t>
            </w:r>
          </w:p>
        </w:tc>
        <w:tc>
          <w:tcPr>
            <w:tcW w:w="581" w:type="pct"/>
            <w:noWrap/>
          </w:tcPr>
          <w:p>
            <w:pPr>
              <w:widowControl/>
              <w:jc w:val="center"/>
              <w:rPr>
                <w:rFonts w:ascii="Arial" w:hAnsi="Arial" w:cs="Arial"/>
                <w:kern w:val="0"/>
                <w:sz w:val="20"/>
                <w:szCs w:val="20"/>
              </w:rPr>
            </w:pPr>
            <w:r>
              <w:rPr>
                <w:rFonts w:ascii="Arial" w:hAnsi="Arial" w:cs="Arial"/>
                <w:kern w:val="0"/>
                <w:sz w:val="20"/>
                <w:szCs w:val="20"/>
              </w:rPr>
              <w:t>80</w:t>
            </w:r>
          </w:p>
        </w:tc>
        <w:tc>
          <w:tcPr>
            <w:tcW w:w="626" w:type="pct"/>
            <w:noWrap/>
          </w:tcPr>
          <w:p>
            <w:pPr>
              <w:widowControl/>
              <w:jc w:val="center"/>
              <w:rPr>
                <w:rFonts w:ascii="Arial" w:hAnsi="Arial" w:cs="Arial"/>
                <w:kern w:val="0"/>
                <w:sz w:val="20"/>
                <w:szCs w:val="20"/>
              </w:rPr>
            </w:pPr>
            <w:r>
              <w:rPr>
                <w:rFonts w:ascii="Arial" w:hAnsi="Arial" w:cs="Arial"/>
                <w:kern w:val="0"/>
                <w:sz w:val="20"/>
                <w:szCs w:val="20"/>
              </w:rPr>
              <w:t>89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3.5 </w:t>
            </w:r>
          </w:p>
        </w:tc>
        <w:tc>
          <w:tcPr>
            <w:tcW w:w="642" w:type="pct"/>
          </w:tcPr>
          <w:p>
            <w:pPr>
              <w:widowControl/>
              <w:jc w:val="center"/>
              <w:rPr>
                <w:rFonts w:ascii="Arial" w:hAnsi="Arial" w:cs="Arial"/>
                <w:kern w:val="0"/>
                <w:sz w:val="20"/>
                <w:szCs w:val="20"/>
              </w:rPr>
            </w:pPr>
            <w:r>
              <w:rPr>
                <w:rFonts w:ascii="Arial" w:hAnsi="Arial" w:cs="Arial"/>
                <w:kern w:val="0"/>
                <w:sz w:val="20"/>
                <w:szCs w:val="20"/>
              </w:rPr>
              <w:t>290</w:t>
            </w:r>
          </w:p>
        </w:tc>
        <w:tc>
          <w:tcPr>
            <w:tcW w:w="623" w:type="pct"/>
          </w:tcPr>
          <w:p>
            <w:pPr>
              <w:widowControl/>
              <w:jc w:val="center"/>
              <w:rPr>
                <w:rFonts w:ascii="Arial" w:hAnsi="Arial" w:cs="Arial"/>
                <w:kern w:val="0"/>
                <w:sz w:val="20"/>
                <w:szCs w:val="20"/>
              </w:rPr>
            </w:pPr>
            <w:r>
              <w:rPr>
                <w:rFonts w:ascii="Arial" w:hAnsi="Arial" w:cs="Arial"/>
                <w:kern w:val="0"/>
                <w:sz w:val="20"/>
                <w:szCs w:val="20"/>
              </w:rPr>
              <w:t>299</w:t>
            </w:r>
          </w:p>
        </w:tc>
        <w:tc>
          <w:tcPr>
            <w:tcW w:w="626" w:type="pct"/>
          </w:tcPr>
          <w:p>
            <w:pPr>
              <w:widowControl/>
              <w:jc w:val="center"/>
              <w:rPr>
                <w:rFonts w:ascii="Arial" w:hAnsi="Arial" w:cs="Arial"/>
                <w:kern w:val="0"/>
                <w:sz w:val="20"/>
                <w:szCs w:val="20"/>
              </w:rPr>
            </w:pPr>
            <w:r>
              <w:rPr>
                <w:rFonts w:ascii="Arial" w:hAnsi="Arial"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1.5 </w:t>
            </w:r>
          </w:p>
        </w:tc>
        <w:tc>
          <w:tcPr>
            <w:tcW w:w="581" w:type="pct"/>
            <w:noWrap/>
          </w:tcPr>
          <w:p>
            <w:pPr>
              <w:widowControl/>
              <w:jc w:val="center"/>
              <w:rPr>
                <w:rFonts w:ascii="Arial" w:hAnsi="Arial" w:cs="Arial"/>
                <w:kern w:val="0"/>
                <w:sz w:val="20"/>
                <w:szCs w:val="20"/>
              </w:rPr>
            </w:pPr>
            <w:r>
              <w:rPr>
                <w:rFonts w:ascii="Arial" w:hAnsi="Arial" w:cs="Arial"/>
                <w:kern w:val="0"/>
                <w:sz w:val="20"/>
                <w:szCs w:val="20"/>
              </w:rPr>
              <w:t>90</w:t>
            </w:r>
          </w:p>
        </w:tc>
        <w:tc>
          <w:tcPr>
            <w:tcW w:w="626" w:type="pct"/>
            <w:noWrap/>
          </w:tcPr>
          <w:p>
            <w:pPr>
              <w:widowControl/>
              <w:jc w:val="center"/>
              <w:rPr>
                <w:rFonts w:ascii="Arial" w:hAnsi="Arial" w:cs="Arial"/>
                <w:kern w:val="0"/>
                <w:sz w:val="20"/>
                <w:szCs w:val="20"/>
              </w:rPr>
            </w:pPr>
            <w:r>
              <w:rPr>
                <w:rFonts w:ascii="Arial" w:hAnsi="Arial" w:cs="Arial"/>
                <w:kern w:val="0"/>
                <w:sz w:val="20"/>
                <w:szCs w:val="20"/>
              </w:rPr>
              <w:t>99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3.6 </w:t>
            </w:r>
          </w:p>
        </w:tc>
        <w:tc>
          <w:tcPr>
            <w:tcW w:w="642" w:type="pct"/>
          </w:tcPr>
          <w:p>
            <w:pPr>
              <w:widowControl/>
              <w:jc w:val="center"/>
              <w:rPr>
                <w:rFonts w:ascii="Arial" w:hAnsi="Arial" w:cs="Arial"/>
                <w:kern w:val="0"/>
                <w:sz w:val="20"/>
                <w:szCs w:val="20"/>
              </w:rPr>
            </w:pPr>
            <w:r>
              <w:rPr>
                <w:rFonts w:ascii="Arial" w:hAnsi="Arial" w:cs="Arial"/>
                <w:kern w:val="0"/>
                <w:sz w:val="20"/>
                <w:szCs w:val="20"/>
              </w:rPr>
              <w:t>300</w:t>
            </w:r>
          </w:p>
        </w:tc>
        <w:tc>
          <w:tcPr>
            <w:tcW w:w="623" w:type="pct"/>
          </w:tcPr>
          <w:p>
            <w:pPr>
              <w:widowControl/>
              <w:jc w:val="center"/>
              <w:rPr>
                <w:rFonts w:ascii="Arial" w:hAnsi="Arial" w:cs="Arial"/>
                <w:kern w:val="0"/>
                <w:sz w:val="20"/>
                <w:szCs w:val="20"/>
              </w:rPr>
            </w:pPr>
            <w:r>
              <w:rPr>
                <w:rFonts w:ascii="Arial" w:hAnsi="Arial" w:cs="Arial"/>
                <w:kern w:val="0"/>
                <w:sz w:val="20"/>
                <w:szCs w:val="20"/>
              </w:rPr>
              <w:t>309</w:t>
            </w:r>
          </w:p>
        </w:tc>
        <w:tc>
          <w:tcPr>
            <w:tcW w:w="626" w:type="pct"/>
          </w:tcPr>
          <w:p>
            <w:pPr>
              <w:widowControl/>
              <w:jc w:val="center"/>
              <w:rPr>
                <w:rFonts w:ascii="Arial" w:hAnsi="Arial" w:cs="Arial"/>
                <w:kern w:val="0"/>
                <w:sz w:val="20"/>
                <w:szCs w:val="20"/>
              </w:rPr>
            </w:pPr>
            <w:r>
              <w:rPr>
                <w:rFonts w:ascii="Arial" w:hAnsi="Arial"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1.6 </w:t>
            </w:r>
          </w:p>
        </w:tc>
        <w:tc>
          <w:tcPr>
            <w:tcW w:w="581" w:type="pct"/>
            <w:noWrap/>
          </w:tcPr>
          <w:p>
            <w:pPr>
              <w:widowControl/>
              <w:jc w:val="center"/>
              <w:rPr>
                <w:rFonts w:ascii="Arial" w:hAnsi="Arial" w:cs="Arial"/>
                <w:kern w:val="0"/>
                <w:sz w:val="20"/>
                <w:szCs w:val="20"/>
              </w:rPr>
            </w:pPr>
            <w:r>
              <w:rPr>
                <w:rFonts w:ascii="Arial" w:hAnsi="Arial" w:cs="Arial"/>
                <w:kern w:val="0"/>
                <w:sz w:val="20"/>
                <w:szCs w:val="20"/>
              </w:rPr>
              <w:t>100</w:t>
            </w:r>
          </w:p>
        </w:tc>
        <w:tc>
          <w:tcPr>
            <w:tcW w:w="626" w:type="pct"/>
            <w:noWrap/>
          </w:tcPr>
          <w:p>
            <w:pPr>
              <w:widowControl/>
              <w:jc w:val="center"/>
              <w:rPr>
                <w:rFonts w:ascii="Arial" w:hAnsi="Arial" w:cs="Arial"/>
                <w:kern w:val="0"/>
                <w:sz w:val="20"/>
                <w:szCs w:val="20"/>
              </w:rPr>
            </w:pPr>
            <w:r>
              <w:rPr>
                <w:rFonts w:ascii="Arial" w:hAnsi="Arial" w:cs="Arial"/>
                <w:kern w:val="0"/>
                <w:sz w:val="20"/>
                <w:szCs w:val="20"/>
              </w:rPr>
              <w:t>109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3.7 </w:t>
            </w:r>
          </w:p>
        </w:tc>
        <w:tc>
          <w:tcPr>
            <w:tcW w:w="642" w:type="pct"/>
          </w:tcPr>
          <w:p>
            <w:pPr>
              <w:widowControl/>
              <w:jc w:val="center"/>
              <w:rPr>
                <w:rFonts w:ascii="Arial" w:hAnsi="Arial" w:cs="Arial"/>
                <w:kern w:val="0"/>
                <w:sz w:val="20"/>
                <w:szCs w:val="20"/>
              </w:rPr>
            </w:pPr>
            <w:r>
              <w:rPr>
                <w:rFonts w:ascii="Arial" w:hAnsi="Arial" w:cs="Arial"/>
                <w:kern w:val="0"/>
                <w:sz w:val="20"/>
                <w:szCs w:val="20"/>
              </w:rPr>
              <w:t>310</w:t>
            </w:r>
          </w:p>
        </w:tc>
        <w:tc>
          <w:tcPr>
            <w:tcW w:w="623" w:type="pct"/>
          </w:tcPr>
          <w:p>
            <w:pPr>
              <w:widowControl/>
              <w:jc w:val="center"/>
              <w:rPr>
                <w:rFonts w:ascii="Arial" w:hAnsi="Arial" w:cs="Arial"/>
                <w:kern w:val="0"/>
                <w:sz w:val="20"/>
                <w:szCs w:val="20"/>
              </w:rPr>
            </w:pPr>
            <w:r>
              <w:rPr>
                <w:rFonts w:ascii="Arial" w:hAnsi="Arial" w:cs="Arial"/>
                <w:kern w:val="0"/>
                <w:sz w:val="20"/>
                <w:szCs w:val="20"/>
              </w:rPr>
              <w:t>319</w:t>
            </w:r>
          </w:p>
        </w:tc>
        <w:tc>
          <w:tcPr>
            <w:tcW w:w="626" w:type="pct"/>
          </w:tcPr>
          <w:p>
            <w:pPr>
              <w:widowControl/>
              <w:jc w:val="center"/>
              <w:rPr>
                <w:rFonts w:ascii="Arial" w:hAnsi="Arial" w:cs="Arial"/>
                <w:kern w:val="0"/>
                <w:sz w:val="20"/>
                <w:szCs w:val="20"/>
              </w:rPr>
            </w:pPr>
            <w:r>
              <w:rPr>
                <w:rFonts w:ascii="Arial" w:hAnsi="Arial"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1.7 </w:t>
            </w:r>
          </w:p>
        </w:tc>
        <w:tc>
          <w:tcPr>
            <w:tcW w:w="581" w:type="pct"/>
            <w:noWrap/>
          </w:tcPr>
          <w:p>
            <w:pPr>
              <w:widowControl/>
              <w:jc w:val="center"/>
              <w:rPr>
                <w:rFonts w:ascii="Arial" w:hAnsi="Arial" w:cs="Arial"/>
                <w:kern w:val="0"/>
                <w:sz w:val="20"/>
                <w:szCs w:val="20"/>
              </w:rPr>
            </w:pPr>
            <w:r>
              <w:rPr>
                <w:rFonts w:ascii="Arial" w:hAnsi="Arial" w:cs="Arial"/>
                <w:kern w:val="0"/>
                <w:sz w:val="20"/>
                <w:szCs w:val="20"/>
              </w:rPr>
              <w:t>110</w:t>
            </w:r>
          </w:p>
        </w:tc>
        <w:tc>
          <w:tcPr>
            <w:tcW w:w="626" w:type="pct"/>
            <w:noWrap/>
          </w:tcPr>
          <w:p>
            <w:pPr>
              <w:widowControl/>
              <w:jc w:val="center"/>
              <w:rPr>
                <w:rFonts w:ascii="Arial" w:hAnsi="Arial" w:cs="Arial"/>
                <w:kern w:val="0"/>
                <w:sz w:val="20"/>
                <w:szCs w:val="20"/>
              </w:rPr>
            </w:pPr>
            <w:r>
              <w:rPr>
                <w:rFonts w:ascii="Arial" w:hAnsi="Arial" w:cs="Arial"/>
                <w:kern w:val="0"/>
                <w:sz w:val="20"/>
                <w:szCs w:val="20"/>
              </w:rPr>
              <w:t>119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3.8 </w:t>
            </w:r>
          </w:p>
        </w:tc>
        <w:tc>
          <w:tcPr>
            <w:tcW w:w="642" w:type="pct"/>
          </w:tcPr>
          <w:p>
            <w:pPr>
              <w:widowControl/>
              <w:jc w:val="center"/>
              <w:rPr>
                <w:rFonts w:ascii="Arial" w:hAnsi="Arial" w:cs="Arial"/>
                <w:kern w:val="0"/>
                <w:sz w:val="20"/>
                <w:szCs w:val="20"/>
              </w:rPr>
            </w:pPr>
            <w:r>
              <w:rPr>
                <w:rFonts w:ascii="Arial" w:hAnsi="Arial" w:cs="Arial"/>
                <w:kern w:val="0"/>
                <w:sz w:val="20"/>
                <w:szCs w:val="20"/>
              </w:rPr>
              <w:t>320</w:t>
            </w:r>
          </w:p>
        </w:tc>
        <w:tc>
          <w:tcPr>
            <w:tcW w:w="623" w:type="pct"/>
          </w:tcPr>
          <w:p>
            <w:pPr>
              <w:widowControl/>
              <w:jc w:val="center"/>
              <w:rPr>
                <w:rFonts w:ascii="Arial" w:hAnsi="Arial" w:cs="Arial"/>
                <w:kern w:val="0"/>
                <w:sz w:val="20"/>
                <w:szCs w:val="20"/>
              </w:rPr>
            </w:pPr>
            <w:r>
              <w:rPr>
                <w:rFonts w:ascii="Arial" w:hAnsi="Arial" w:cs="Arial"/>
                <w:kern w:val="0"/>
                <w:sz w:val="20"/>
                <w:szCs w:val="20"/>
              </w:rPr>
              <w:t>329</w:t>
            </w:r>
          </w:p>
        </w:tc>
        <w:tc>
          <w:tcPr>
            <w:tcW w:w="626" w:type="pct"/>
          </w:tcPr>
          <w:p>
            <w:pPr>
              <w:widowControl/>
              <w:jc w:val="center"/>
              <w:rPr>
                <w:rFonts w:ascii="Arial" w:hAnsi="Arial" w:cs="Arial"/>
                <w:kern w:val="0"/>
                <w:sz w:val="20"/>
                <w:szCs w:val="20"/>
              </w:rPr>
            </w:pPr>
            <w:r>
              <w:rPr>
                <w:rFonts w:ascii="Arial" w:hAnsi="Arial"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1.8 </w:t>
            </w:r>
          </w:p>
        </w:tc>
        <w:tc>
          <w:tcPr>
            <w:tcW w:w="581" w:type="pct"/>
            <w:noWrap/>
          </w:tcPr>
          <w:p>
            <w:pPr>
              <w:widowControl/>
              <w:jc w:val="center"/>
              <w:rPr>
                <w:rFonts w:ascii="Arial" w:hAnsi="Arial" w:cs="Arial"/>
                <w:kern w:val="0"/>
                <w:sz w:val="20"/>
                <w:szCs w:val="20"/>
              </w:rPr>
            </w:pPr>
            <w:r>
              <w:rPr>
                <w:rFonts w:ascii="Arial" w:hAnsi="Arial" w:cs="Arial"/>
                <w:kern w:val="0"/>
                <w:sz w:val="20"/>
                <w:szCs w:val="20"/>
              </w:rPr>
              <w:t>120</w:t>
            </w:r>
          </w:p>
        </w:tc>
        <w:tc>
          <w:tcPr>
            <w:tcW w:w="626" w:type="pct"/>
            <w:noWrap/>
          </w:tcPr>
          <w:p>
            <w:pPr>
              <w:widowControl/>
              <w:jc w:val="center"/>
              <w:rPr>
                <w:rFonts w:ascii="Arial" w:hAnsi="Arial" w:cs="Arial"/>
                <w:kern w:val="0"/>
                <w:sz w:val="20"/>
                <w:szCs w:val="20"/>
              </w:rPr>
            </w:pPr>
            <w:r>
              <w:rPr>
                <w:rFonts w:ascii="Arial" w:hAnsi="Arial" w:cs="Arial"/>
                <w:kern w:val="0"/>
                <w:sz w:val="20"/>
                <w:szCs w:val="20"/>
              </w:rPr>
              <w:t>129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3.9 </w:t>
            </w:r>
          </w:p>
        </w:tc>
        <w:tc>
          <w:tcPr>
            <w:tcW w:w="642" w:type="pct"/>
          </w:tcPr>
          <w:p>
            <w:pPr>
              <w:widowControl/>
              <w:jc w:val="center"/>
              <w:rPr>
                <w:rFonts w:ascii="Arial" w:hAnsi="Arial" w:cs="Arial"/>
                <w:kern w:val="0"/>
                <w:sz w:val="20"/>
                <w:szCs w:val="20"/>
              </w:rPr>
            </w:pPr>
            <w:r>
              <w:rPr>
                <w:rFonts w:ascii="Arial" w:hAnsi="Arial" w:cs="Arial"/>
                <w:kern w:val="0"/>
                <w:sz w:val="20"/>
                <w:szCs w:val="20"/>
              </w:rPr>
              <w:t>330</w:t>
            </w:r>
          </w:p>
        </w:tc>
        <w:tc>
          <w:tcPr>
            <w:tcW w:w="623" w:type="pct"/>
          </w:tcPr>
          <w:p>
            <w:pPr>
              <w:widowControl/>
              <w:jc w:val="center"/>
              <w:rPr>
                <w:rFonts w:ascii="Arial" w:hAnsi="Arial" w:cs="Arial"/>
                <w:kern w:val="0"/>
                <w:sz w:val="20"/>
                <w:szCs w:val="20"/>
              </w:rPr>
            </w:pPr>
            <w:r>
              <w:rPr>
                <w:rFonts w:ascii="Arial" w:hAnsi="Arial" w:cs="Arial"/>
                <w:kern w:val="0"/>
                <w:sz w:val="20"/>
                <w:szCs w:val="20"/>
              </w:rPr>
              <w:t>349</w:t>
            </w:r>
          </w:p>
        </w:tc>
        <w:tc>
          <w:tcPr>
            <w:tcW w:w="626" w:type="pct"/>
          </w:tcPr>
          <w:p>
            <w:pPr>
              <w:widowControl/>
              <w:jc w:val="center"/>
              <w:rPr>
                <w:rFonts w:ascii="Arial" w:hAnsi="Arial" w:cs="Arial"/>
                <w:kern w:val="0"/>
                <w:sz w:val="20"/>
                <w:szCs w:val="20"/>
              </w:rPr>
            </w:pPr>
            <w:r>
              <w:rPr>
                <w:rFonts w:ascii="Arial" w:hAnsi="Arial" w:cs="Arial"/>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1.9 </w:t>
            </w:r>
          </w:p>
        </w:tc>
        <w:tc>
          <w:tcPr>
            <w:tcW w:w="581" w:type="pct"/>
            <w:noWrap/>
          </w:tcPr>
          <w:p>
            <w:pPr>
              <w:widowControl/>
              <w:jc w:val="center"/>
              <w:rPr>
                <w:rFonts w:ascii="Arial" w:hAnsi="Arial" w:cs="Arial"/>
                <w:kern w:val="0"/>
                <w:sz w:val="20"/>
                <w:szCs w:val="20"/>
              </w:rPr>
            </w:pPr>
            <w:r>
              <w:rPr>
                <w:rFonts w:ascii="Arial" w:hAnsi="Arial" w:cs="Arial"/>
                <w:kern w:val="0"/>
                <w:sz w:val="20"/>
                <w:szCs w:val="20"/>
              </w:rPr>
              <w:t>130</w:t>
            </w:r>
          </w:p>
        </w:tc>
        <w:tc>
          <w:tcPr>
            <w:tcW w:w="626" w:type="pct"/>
            <w:noWrap/>
          </w:tcPr>
          <w:p>
            <w:pPr>
              <w:widowControl/>
              <w:jc w:val="center"/>
              <w:rPr>
                <w:rFonts w:ascii="Arial" w:hAnsi="Arial" w:cs="Arial"/>
                <w:kern w:val="0"/>
                <w:sz w:val="20"/>
                <w:szCs w:val="20"/>
              </w:rPr>
            </w:pPr>
            <w:r>
              <w:rPr>
                <w:rFonts w:ascii="Arial" w:hAnsi="Arial" w:cs="Arial"/>
                <w:kern w:val="0"/>
                <w:sz w:val="20"/>
                <w:szCs w:val="20"/>
              </w:rPr>
              <w:t>139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4.0 </w:t>
            </w:r>
          </w:p>
        </w:tc>
        <w:tc>
          <w:tcPr>
            <w:tcW w:w="642" w:type="pct"/>
          </w:tcPr>
          <w:p>
            <w:pPr>
              <w:widowControl/>
              <w:jc w:val="center"/>
              <w:rPr>
                <w:rFonts w:ascii="Arial" w:hAnsi="Arial" w:cs="Arial"/>
                <w:kern w:val="0"/>
                <w:sz w:val="20"/>
                <w:szCs w:val="20"/>
              </w:rPr>
            </w:pPr>
            <w:r>
              <w:rPr>
                <w:rFonts w:ascii="Arial" w:hAnsi="Arial" w:cs="Arial"/>
                <w:kern w:val="0"/>
                <w:sz w:val="20"/>
                <w:szCs w:val="20"/>
              </w:rPr>
              <w:t>350</w:t>
            </w:r>
          </w:p>
        </w:tc>
        <w:tc>
          <w:tcPr>
            <w:tcW w:w="623" w:type="pct"/>
          </w:tcPr>
          <w:p>
            <w:pPr>
              <w:widowControl/>
              <w:jc w:val="center"/>
              <w:rPr>
                <w:rFonts w:ascii="Arial" w:hAnsi="Arial" w:cs="Arial"/>
                <w:kern w:val="0"/>
                <w:sz w:val="20"/>
                <w:szCs w:val="20"/>
              </w:rPr>
            </w:pPr>
            <w:r>
              <w:rPr>
                <w:rFonts w:ascii="Arial" w:hAnsi="Arial" w:cs="Arial"/>
                <w:kern w:val="0"/>
                <w:sz w:val="20"/>
                <w:szCs w:val="20"/>
              </w:rPr>
              <w:t>369</w:t>
            </w:r>
          </w:p>
        </w:tc>
        <w:tc>
          <w:tcPr>
            <w:tcW w:w="626" w:type="pct"/>
          </w:tcPr>
          <w:p>
            <w:pPr>
              <w:widowControl/>
              <w:jc w:val="center"/>
              <w:rPr>
                <w:rFonts w:ascii="Arial" w:hAnsi="Arial" w:cs="Arial"/>
                <w:kern w:val="0"/>
                <w:sz w:val="20"/>
                <w:szCs w:val="20"/>
              </w:rPr>
            </w:pPr>
            <w:r>
              <w:rPr>
                <w:rFonts w:ascii="Arial" w:hAnsi="Arial" w:cs="Arial"/>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2.0 </w:t>
            </w:r>
          </w:p>
        </w:tc>
        <w:tc>
          <w:tcPr>
            <w:tcW w:w="581" w:type="pct"/>
            <w:noWrap/>
          </w:tcPr>
          <w:p>
            <w:pPr>
              <w:widowControl/>
              <w:jc w:val="center"/>
              <w:rPr>
                <w:rFonts w:ascii="Arial" w:hAnsi="Arial" w:cs="Arial"/>
                <w:kern w:val="0"/>
                <w:sz w:val="20"/>
                <w:szCs w:val="20"/>
              </w:rPr>
            </w:pPr>
            <w:r>
              <w:rPr>
                <w:rFonts w:ascii="Arial" w:hAnsi="Arial" w:cs="Arial"/>
                <w:kern w:val="0"/>
                <w:sz w:val="20"/>
                <w:szCs w:val="20"/>
              </w:rPr>
              <w:t>140</w:t>
            </w:r>
          </w:p>
        </w:tc>
        <w:tc>
          <w:tcPr>
            <w:tcW w:w="626" w:type="pct"/>
            <w:noWrap/>
          </w:tcPr>
          <w:p>
            <w:pPr>
              <w:widowControl/>
              <w:jc w:val="center"/>
              <w:rPr>
                <w:rFonts w:ascii="Arial" w:hAnsi="Arial" w:cs="Arial"/>
                <w:kern w:val="0"/>
                <w:sz w:val="20"/>
                <w:szCs w:val="20"/>
              </w:rPr>
            </w:pPr>
            <w:r>
              <w:rPr>
                <w:rFonts w:ascii="Arial" w:hAnsi="Arial" w:cs="Arial"/>
                <w:kern w:val="0"/>
                <w:sz w:val="20"/>
                <w:szCs w:val="20"/>
              </w:rPr>
              <w:t>149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4.1 </w:t>
            </w:r>
          </w:p>
        </w:tc>
        <w:tc>
          <w:tcPr>
            <w:tcW w:w="642" w:type="pct"/>
          </w:tcPr>
          <w:p>
            <w:pPr>
              <w:widowControl/>
              <w:jc w:val="center"/>
              <w:rPr>
                <w:rFonts w:ascii="Arial" w:hAnsi="Arial" w:cs="Arial"/>
                <w:kern w:val="0"/>
                <w:sz w:val="20"/>
                <w:szCs w:val="20"/>
              </w:rPr>
            </w:pPr>
            <w:r>
              <w:rPr>
                <w:rFonts w:ascii="Arial" w:hAnsi="Arial" w:cs="Arial"/>
                <w:kern w:val="0"/>
                <w:sz w:val="20"/>
                <w:szCs w:val="20"/>
              </w:rPr>
              <w:t>370</w:t>
            </w:r>
          </w:p>
        </w:tc>
        <w:tc>
          <w:tcPr>
            <w:tcW w:w="623" w:type="pct"/>
          </w:tcPr>
          <w:p>
            <w:pPr>
              <w:widowControl/>
              <w:jc w:val="center"/>
              <w:rPr>
                <w:rFonts w:ascii="Arial" w:hAnsi="Arial" w:cs="Arial"/>
                <w:kern w:val="0"/>
                <w:sz w:val="20"/>
                <w:szCs w:val="20"/>
              </w:rPr>
            </w:pPr>
            <w:r>
              <w:rPr>
                <w:rFonts w:ascii="Arial" w:hAnsi="Arial" w:cs="Arial"/>
                <w:kern w:val="0"/>
                <w:sz w:val="20"/>
                <w:szCs w:val="20"/>
              </w:rPr>
              <w:t>389</w:t>
            </w:r>
          </w:p>
        </w:tc>
        <w:tc>
          <w:tcPr>
            <w:tcW w:w="626" w:type="pct"/>
          </w:tcPr>
          <w:p>
            <w:pPr>
              <w:widowControl/>
              <w:jc w:val="center"/>
              <w:rPr>
                <w:rFonts w:ascii="Arial" w:hAnsi="Arial" w:cs="Arial"/>
                <w:kern w:val="0"/>
                <w:sz w:val="20"/>
                <w:szCs w:val="20"/>
              </w:rPr>
            </w:pPr>
            <w:r>
              <w:rPr>
                <w:rFonts w:ascii="Arial" w:hAnsi="Arial" w:cs="Arial"/>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2.1 </w:t>
            </w:r>
          </w:p>
        </w:tc>
        <w:tc>
          <w:tcPr>
            <w:tcW w:w="581" w:type="pct"/>
            <w:noWrap/>
          </w:tcPr>
          <w:p>
            <w:pPr>
              <w:widowControl/>
              <w:jc w:val="center"/>
              <w:rPr>
                <w:rFonts w:ascii="Arial" w:hAnsi="Arial" w:cs="Arial"/>
                <w:kern w:val="0"/>
                <w:sz w:val="20"/>
                <w:szCs w:val="20"/>
              </w:rPr>
            </w:pPr>
            <w:r>
              <w:rPr>
                <w:rFonts w:ascii="Arial" w:hAnsi="Arial" w:cs="Arial"/>
                <w:kern w:val="0"/>
                <w:sz w:val="20"/>
                <w:szCs w:val="20"/>
              </w:rPr>
              <w:t>150</w:t>
            </w:r>
          </w:p>
        </w:tc>
        <w:tc>
          <w:tcPr>
            <w:tcW w:w="626" w:type="pct"/>
            <w:noWrap/>
          </w:tcPr>
          <w:p>
            <w:pPr>
              <w:widowControl/>
              <w:jc w:val="center"/>
              <w:rPr>
                <w:rFonts w:ascii="Arial" w:hAnsi="Arial" w:cs="Arial"/>
                <w:kern w:val="0"/>
                <w:sz w:val="20"/>
                <w:szCs w:val="20"/>
              </w:rPr>
            </w:pPr>
            <w:r>
              <w:rPr>
                <w:rFonts w:ascii="Arial" w:hAnsi="Arial" w:cs="Arial"/>
                <w:kern w:val="0"/>
                <w:sz w:val="20"/>
                <w:szCs w:val="20"/>
              </w:rPr>
              <w:t>159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4.2 </w:t>
            </w:r>
          </w:p>
        </w:tc>
        <w:tc>
          <w:tcPr>
            <w:tcW w:w="642" w:type="pct"/>
          </w:tcPr>
          <w:p>
            <w:pPr>
              <w:widowControl/>
              <w:jc w:val="center"/>
              <w:rPr>
                <w:rFonts w:ascii="Arial" w:hAnsi="Arial" w:cs="Arial"/>
                <w:kern w:val="0"/>
                <w:sz w:val="20"/>
                <w:szCs w:val="20"/>
              </w:rPr>
            </w:pPr>
            <w:r>
              <w:rPr>
                <w:rFonts w:ascii="Arial" w:hAnsi="Arial" w:cs="Arial"/>
                <w:kern w:val="0"/>
                <w:sz w:val="20"/>
                <w:szCs w:val="20"/>
              </w:rPr>
              <w:t>390</w:t>
            </w:r>
          </w:p>
        </w:tc>
        <w:tc>
          <w:tcPr>
            <w:tcW w:w="623" w:type="pct"/>
          </w:tcPr>
          <w:p>
            <w:pPr>
              <w:widowControl/>
              <w:jc w:val="center"/>
              <w:rPr>
                <w:rFonts w:ascii="Arial" w:hAnsi="Arial" w:cs="Arial"/>
                <w:kern w:val="0"/>
                <w:sz w:val="20"/>
                <w:szCs w:val="20"/>
              </w:rPr>
            </w:pPr>
            <w:r>
              <w:rPr>
                <w:rFonts w:ascii="Arial" w:hAnsi="Arial" w:cs="Arial"/>
                <w:kern w:val="0"/>
                <w:sz w:val="20"/>
                <w:szCs w:val="20"/>
              </w:rPr>
              <w:t>409</w:t>
            </w:r>
          </w:p>
        </w:tc>
        <w:tc>
          <w:tcPr>
            <w:tcW w:w="626" w:type="pct"/>
          </w:tcPr>
          <w:p>
            <w:pPr>
              <w:widowControl/>
              <w:jc w:val="center"/>
              <w:rPr>
                <w:rFonts w:ascii="Arial" w:hAnsi="Arial" w:cs="Arial"/>
                <w:kern w:val="0"/>
                <w:sz w:val="20"/>
                <w:szCs w:val="20"/>
              </w:rPr>
            </w:pPr>
            <w:r>
              <w:rPr>
                <w:rFonts w:ascii="Arial" w:hAnsi="Arial" w:cs="Arial"/>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2.2 </w:t>
            </w:r>
          </w:p>
        </w:tc>
        <w:tc>
          <w:tcPr>
            <w:tcW w:w="581" w:type="pct"/>
            <w:noWrap/>
          </w:tcPr>
          <w:p>
            <w:pPr>
              <w:widowControl/>
              <w:jc w:val="center"/>
              <w:rPr>
                <w:rFonts w:ascii="Arial" w:hAnsi="Arial" w:cs="Arial"/>
                <w:kern w:val="0"/>
                <w:sz w:val="20"/>
                <w:szCs w:val="20"/>
              </w:rPr>
            </w:pPr>
            <w:r>
              <w:rPr>
                <w:rFonts w:ascii="Arial" w:hAnsi="Arial" w:cs="Arial"/>
                <w:kern w:val="0"/>
                <w:sz w:val="20"/>
                <w:szCs w:val="20"/>
              </w:rPr>
              <w:t>160</w:t>
            </w:r>
          </w:p>
        </w:tc>
        <w:tc>
          <w:tcPr>
            <w:tcW w:w="626" w:type="pct"/>
            <w:noWrap/>
          </w:tcPr>
          <w:p>
            <w:pPr>
              <w:widowControl/>
              <w:jc w:val="center"/>
              <w:rPr>
                <w:rFonts w:ascii="Arial" w:hAnsi="Arial" w:cs="Arial"/>
                <w:kern w:val="0"/>
                <w:sz w:val="20"/>
                <w:szCs w:val="20"/>
              </w:rPr>
            </w:pPr>
            <w:r>
              <w:rPr>
                <w:rFonts w:ascii="Arial" w:hAnsi="Arial" w:cs="Arial"/>
                <w:kern w:val="0"/>
                <w:sz w:val="20"/>
                <w:szCs w:val="20"/>
              </w:rPr>
              <w:t>169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4.3 </w:t>
            </w:r>
          </w:p>
        </w:tc>
        <w:tc>
          <w:tcPr>
            <w:tcW w:w="642" w:type="pct"/>
          </w:tcPr>
          <w:p>
            <w:pPr>
              <w:widowControl/>
              <w:jc w:val="center"/>
              <w:rPr>
                <w:rFonts w:ascii="Arial" w:hAnsi="Arial" w:cs="Arial"/>
                <w:kern w:val="0"/>
                <w:sz w:val="20"/>
                <w:szCs w:val="20"/>
              </w:rPr>
            </w:pPr>
            <w:r>
              <w:rPr>
                <w:rFonts w:ascii="Arial" w:hAnsi="Arial" w:cs="Arial"/>
                <w:kern w:val="0"/>
                <w:sz w:val="20"/>
                <w:szCs w:val="20"/>
              </w:rPr>
              <w:t>410</w:t>
            </w:r>
          </w:p>
        </w:tc>
        <w:tc>
          <w:tcPr>
            <w:tcW w:w="623" w:type="pct"/>
          </w:tcPr>
          <w:p>
            <w:pPr>
              <w:widowControl/>
              <w:jc w:val="center"/>
              <w:rPr>
                <w:rFonts w:ascii="Arial" w:hAnsi="Arial" w:cs="Arial"/>
                <w:kern w:val="0"/>
                <w:sz w:val="20"/>
                <w:szCs w:val="20"/>
              </w:rPr>
            </w:pPr>
            <w:r>
              <w:rPr>
                <w:rFonts w:ascii="Arial" w:hAnsi="Arial" w:cs="Arial"/>
                <w:kern w:val="0"/>
                <w:sz w:val="20"/>
                <w:szCs w:val="20"/>
              </w:rPr>
              <w:t>439</w:t>
            </w:r>
          </w:p>
        </w:tc>
        <w:tc>
          <w:tcPr>
            <w:tcW w:w="626" w:type="pct"/>
          </w:tcPr>
          <w:p>
            <w:pPr>
              <w:widowControl/>
              <w:jc w:val="center"/>
              <w:rPr>
                <w:rFonts w:ascii="Arial" w:hAnsi="Arial" w:cs="Arial"/>
                <w:kern w:val="0"/>
                <w:sz w:val="20"/>
                <w:szCs w:val="20"/>
              </w:rPr>
            </w:pPr>
            <w:r>
              <w:rPr>
                <w:rFonts w:ascii="Arial" w:hAnsi="Arial" w:cs="Arial"/>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2.3 </w:t>
            </w:r>
          </w:p>
        </w:tc>
        <w:tc>
          <w:tcPr>
            <w:tcW w:w="581" w:type="pct"/>
            <w:noWrap/>
          </w:tcPr>
          <w:p>
            <w:pPr>
              <w:widowControl/>
              <w:jc w:val="center"/>
              <w:rPr>
                <w:rFonts w:ascii="Arial" w:hAnsi="Arial" w:cs="Arial"/>
                <w:kern w:val="0"/>
                <w:sz w:val="20"/>
                <w:szCs w:val="20"/>
              </w:rPr>
            </w:pPr>
            <w:r>
              <w:rPr>
                <w:rFonts w:ascii="Arial" w:hAnsi="Arial" w:cs="Arial"/>
                <w:kern w:val="0"/>
                <w:sz w:val="20"/>
                <w:szCs w:val="20"/>
              </w:rPr>
              <w:t>170</w:t>
            </w:r>
          </w:p>
        </w:tc>
        <w:tc>
          <w:tcPr>
            <w:tcW w:w="626" w:type="pct"/>
            <w:noWrap/>
          </w:tcPr>
          <w:p>
            <w:pPr>
              <w:widowControl/>
              <w:jc w:val="center"/>
              <w:rPr>
                <w:rFonts w:ascii="Arial" w:hAnsi="Arial" w:cs="Arial"/>
                <w:kern w:val="0"/>
                <w:sz w:val="20"/>
                <w:szCs w:val="20"/>
              </w:rPr>
            </w:pPr>
            <w:r>
              <w:rPr>
                <w:rFonts w:ascii="Arial" w:hAnsi="Arial" w:cs="Arial"/>
                <w:kern w:val="0"/>
                <w:sz w:val="20"/>
                <w:szCs w:val="20"/>
              </w:rPr>
              <w:t>179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4.4 </w:t>
            </w:r>
          </w:p>
        </w:tc>
        <w:tc>
          <w:tcPr>
            <w:tcW w:w="642" w:type="pct"/>
          </w:tcPr>
          <w:p>
            <w:pPr>
              <w:widowControl/>
              <w:jc w:val="center"/>
              <w:rPr>
                <w:rFonts w:ascii="Arial" w:hAnsi="Arial" w:cs="Arial"/>
                <w:kern w:val="0"/>
                <w:sz w:val="20"/>
                <w:szCs w:val="20"/>
              </w:rPr>
            </w:pPr>
            <w:r>
              <w:rPr>
                <w:rFonts w:ascii="Arial" w:hAnsi="Arial" w:cs="Arial"/>
                <w:kern w:val="0"/>
                <w:sz w:val="20"/>
                <w:szCs w:val="20"/>
              </w:rPr>
              <w:t>440</w:t>
            </w:r>
          </w:p>
        </w:tc>
        <w:tc>
          <w:tcPr>
            <w:tcW w:w="623" w:type="pct"/>
          </w:tcPr>
          <w:p>
            <w:pPr>
              <w:widowControl/>
              <w:jc w:val="center"/>
              <w:rPr>
                <w:rFonts w:ascii="Arial" w:hAnsi="Arial" w:cs="Arial"/>
                <w:kern w:val="0"/>
                <w:sz w:val="20"/>
                <w:szCs w:val="20"/>
              </w:rPr>
            </w:pPr>
            <w:r>
              <w:rPr>
                <w:rFonts w:ascii="Arial" w:hAnsi="Arial" w:cs="Arial"/>
                <w:kern w:val="0"/>
                <w:sz w:val="20"/>
                <w:szCs w:val="20"/>
              </w:rPr>
              <w:t>469</w:t>
            </w:r>
          </w:p>
        </w:tc>
        <w:tc>
          <w:tcPr>
            <w:tcW w:w="626" w:type="pct"/>
          </w:tcPr>
          <w:p>
            <w:pPr>
              <w:widowControl/>
              <w:jc w:val="center"/>
              <w:rPr>
                <w:rFonts w:ascii="Arial" w:hAnsi="Arial" w:cs="Arial"/>
                <w:kern w:val="0"/>
                <w:sz w:val="20"/>
                <w:szCs w:val="20"/>
              </w:rPr>
            </w:pPr>
            <w:r>
              <w:rPr>
                <w:rFonts w:ascii="Arial" w:hAnsi="Arial" w:cs="Arial"/>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2.4 </w:t>
            </w:r>
          </w:p>
        </w:tc>
        <w:tc>
          <w:tcPr>
            <w:tcW w:w="581" w:type="pct"/>
            <w:noWrap/>
          </w:tcPr>
          <w:p>
            <w:pPr>
              <w:widowControl/>
              <w:jc w:val="center"/>
              <w:rPr>
                <w:rFonts w:ascii="Arial" w:hAnsi="Arial" w:cs="Arial"/>
                <w:kern w:val="0"/>
                <w:sz w:val="20"/>
                <w:szCs w:val="20"/>
              </w:rPr>
            </w:pPr>
            <w:r>
              <w:rPr>
                <w:rFonts w:ascii="Arial" w:hAnsi="Arial" w:cs="Arial"/>
                <w:kern w:val="0"/>
                <w:sz w:val="20"/>
                <w:szCs w:val="20"/>
              </w:rPr>
              <w:t>180</w:t>
            </w:r>
          </w:p>
        </w:tc>
        <w:tc>
          <w:tcPr>
            <w:tcW w:w="626" w:type="pct"/>
            <w:noWrap/>
          </w:tcPr>
          <w:p>
            <w:pPr>
              <w:widowControl/>
              <w:jc w:val="center"/>
              <w:rPr>
                <w:rFonts w:ascii="Arial" w:hAnsi="Arial" w:cs="Arial"/>
                <w:kern w:val="0"/>
                <w:sz w:val="20"/>
                <w:szCs w:val="20"/>
              </w:rPr>
            </w:pPr>
            <w:r>
              <w:rPr>
                <w:rFonts w:ascii="Arial" w:hAnsi="Arial" w:cs="Arial"/>
                <w:kern w:val="0"/>
                <w:sz w:val="20"/>
                <w:szCs w:val="20"/>
              </w:rPr>
              <w:t>189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4.5 </w:t>
            </w:r>
          </w:p>
        </w:tc>
        <w:tc>
          <w:tcPr>
            <w:tcW w:w="642" w:type="pct"/>
          </w:tcPr>
          <w:p>
            <w:pPr>
              <w:widowControl/>
              <w:jc w:val="center"/>
              <w:rPr>
                <w:rFonts w:ascii="Arial" w:hAnsi="Arial" w:cs="Arial"/>
                <w:kern w:val="0"/>
                <w:sz w:val="20"/>
                <w:szCs w:val="20"/>
              </w:rPr>
            </w:pPr>
            <w:r>
              <w:rPr>
                <w:rFonts w:ascii="Arial" w:hAnsi="Arial" w:cs="Arial"/>
                <w:kern w:val="0"/>
                <w:sz w:val="20"/>
                <w:szCs w:val="20"/>
              </w:rPr>
              <w:t>470</w:t>
            </w:r>
          </w:p>
        </w:tc>
        <w:tc>
          <w:tcPr>
            <w:tcW w:w="623" w:type="pct"/>
          </w:tcPr>
          <w:p>
            <w:pPr>
              <w:widowControl/>
              <w:jc w:val="center"/>
              <w:rPr>
                <w:rFonts w:ascii="Arial" w:hAnsi="Arial" w:cs="Arial"/>
                <w:kern w:val="0"/>
                <w:sz w:val="20"/>
                <w:szCs w:val="20"/>
              </w:rPr>
            </w:pPr>
            <w:r>
              <w:rPr>
                <w:rFonts w:ascii="Arial" w:hAnsi="Arial" w:cs="Arial"/>
                <w:kern w:val="0"/>
                <w:sz w:val="20"/>
                <w:szCs w:val="20"/>
              </w:rPr>
              <w:t>509</w:t>
            </w:r>
          </w:p>
        </w:tc>
        <w:tc>
          <w:tcPr>
            <w:tcW w:w="626" w:type="pct"/>
          </w:tcPr>
          <w:p>
            <w:pPr>
              <w:widowControl/>
              <w:jc w:val="center"/>
              <w:rPr>
                <w:rFonts w:ascii="Arial" w:hAnsi="Arial" w:cs="Arial"/>
                <w:kern w:val="0"/>
                <w:sz w:val="20"/>
                <w:szCs w:val="20"/>
              </w:rPr>
            </w:pPr>
            <w:r>
              <w:rPr>
                <w:rFonts w:ascii="Arial" w:hAnsi="Arial" w:cs="Arial"/>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2.5 </w:t>
            </w:r>
          </w:p>
        </w:tc>
        <w:tc>
          <w:tcPr>
            <w:tcW w:w="581" w:type="pct"/>
            <w:noWrap/>
          </w:tcPr>
          <w:p>
            <w:pPr>
              <w:widowControl/>
              <w:jc w:val="center"/>
              <w:rPr>
                <w:rFonts w:ascii="Arial" w:hAnsi="Arial" w:cs="Arial"/>
                <w:kern w:val="0"/>
                <w:sz w:val="20"/>
                <w:szCs w:val="20"/>
              </w:rPr>
            </w:pPr>
            <w:r>
              <w:rPr>
                <w:rFonts w:ascii="Arial" w:hAnsi="Arial" w:cs="Arial"/>
                <w:kern w:val="0"/>
                <w:sz w:val="20"/>
                <w:szCs w:val="20"/>
              </w:rPr>
              <w:t>190</w:t>
            </w:r>
          </w:p>
        </w:tc>
        <w:tc>
          <w:tcPr>
            <w:tcW w:w="626" w:type="pct"/>
            <w:noWrap/>
          </w:tcPr>
          <w:p>
            <w:pPr>
              <w:widowControl/>
              <w:jc w:val="center"/>
              <w:rPr>
                <w:rFonts w:ascii="Arial" w:hAnsi="Arial" w:cs="Arial"/>
                <w:kern w:val="0"/>
                <w:sz w:val="20"/>
                <w:szCs w:val="20"/>
              </w:rPr>
            </w:pPr>
            <w:r>
              <w:rPr>
                <w:rFonts w:ascii="Arial" w:hAnsi="Arial" w:cs="Arial"/>
                <w:kern w:val="0"/>
                <w:sz w:val="20"/>
                <w:szCs w:val="20"/>
              </w:rPr>
              <w:t>199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4.6 </w:t>
            </w:r>
          </w:p>
        </w:tc>
        <w:tc>
          <w:tcPr>
            <w:tcW w:w="642" w:type="pct"/>
          </w:tcPr>
          <w:p>
            <w:pPr>
              <w:widowControl/>
              <w:jc w:val="center"/>
              <w:rPr>
                <w:rFonts w:ascii="Arial" w:hAnsi="Arial" w:cs="Arial"/>
                <w:kern w:val="0"/>
                <w:sz w:val="20"/>
                <w:szCs w:val="20"/>
              </w:rPr>
            </w:pPr>
            <w:r>
              <w:rPr>
                <w:rFonts w:ascii="Arial" w:hAnsi="Arial" w:cs="Arial"/>
                <w:kern w:val="0"/>
                <w:sz w:val="20"/>
                <w:szCs w:val="20"/>
              </w:rPr>
              <w:t>510</w:t>
            </w:r>
          </w:p>
        </w:tc>
        <w:tc>
          <w:tcPr>
            <w:tcW w:w="623" w:type="pct"/>
          </w:tcPr>
          <w:p>
            <w:pPr>
              <w:widowControl/>
              <w:jc w:val="center"/>
              <w:rPr>
                <w:rFonts w:ascii="Arial" w:hAnsi="Arial" w:cs="Arial"/>
                <w:kern w:val="0"/>
                <w:sz w:val="20"/>
                <w:szCs w:val="20"/>
              </w:rPr>
            </w:pPr>
            <w:r>
              <w:rPr>
                <w:rFonts w:ascii="Arial" w:hAnsi="Arial" w:cs="Arial"/>
                <w:kern w:val="0"/>
                <w:sz w:val="20"/>
                <w:szCs w:val="20"/>
              </w:rPr>
              <w:t>559</w:t>
            </w:r>
          </w:p>
        </w:tc>
        <w:tc>
          <w:tcPr>
            <w:tcW w:w="626" w:type="pct"/>
          </w:tcPr>
          <w:p>
            <w:pPr>
              <w:widowControl/>
              <w:jc w:val="center"/>
              <w:rPr>
                <w:rFonts w:ascii="Arial" w:hAnsi="Arial" w:cs="Arial"/>
                <w:kern w:val="0"/>
                <w:sz w:val="20"/>
                <w:szCs w:val="20"/>
              </w:rPr>
            </w:pPr>
            <w:r>
              <w:rPr>
                <w:rFonts w:ascii="Arial" w:hAnsi="Arial" w:cs="Arial"/>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2.6 </w:t>
            </w:r>
          </w:p>
        </w:tc>
        <w:tc>
          <w:tcPr>
            <w:tcW w:w="581" w:type="pct"/>
            <w:noWrap/>
          </w:tcPr>
          <w:p>
            <w:pPr>
              <w:widowControl/>
              <w:jc w:val="center"/>
              <w:rPr>
                <w:rFonts w:ascii="Arial" w:hAnsi="Arial" w:cs="Arial"/>
                <w:kern w:val="0"/>
                <w:sz w:val="20"/>
                <w:szCs w:val="20"/>
              </w:rPr>
            </w:pPr>
            <w:r>
              <w:rPr>
                <w:rFonts w:ascii="Arial" w:hAnsi="Arial" w:cs="Arial"/>
                <w:kern w:val="0"/>
                <w:sz w:val="20"/>
                <w:szCs w:val="20"/>
              </w:rPr>
              <w:t>200</w:t>
            </w:r>
          </w:p>
        </w:tc>
        <w:tc>
          <w:tcPr>
            <w:tcW w:w="626" w:type="pct"/>
            <w:noWrap/>
          </w:tcPr>
          <w:p>
            <w:pPr>
              <w:widowControl/>
              <w:jc w:val="center"/>
              <w:rPr>
                <w:rFonts w:ascii="Arial" w:hAnsi="Arial" w:cs="Arial"/>
                <w:kern w:val="0"/>
                <w:sz w:val="20"/>
                <w:szCs w:val="20"/>
              </w:rPr>
            </w:pPr>
            <w:r>
              <w:rPr>
                <w:rFonts w:ascii="Arial" w:hAnsi="Arial" w:cs="Arial"/>
                <w:kern w:val="0"/>
                <w:sz w:val="20"/>
                <w:szCs w:val="20"/>
              </w:rPr>
              <w:t>209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4.7 </w:t>
            </w:r>
          </w:p>
        </w:tc>
        <w:tc>
          <w:tcPr>
            <w:tcW w:w="642" w:type="pct"/>
          </w:tcPr>
          <w:p>
            <w:pPr>
              <w:widowControl/>
              <w:jc w:val="center"/>
              <w:rPr>
                <w:rFonts w:ascii="Arial" w:hAnsi="Arial" w:cs="Arial"/>
                <w:kern w:val="0"/>
                <w:sz w:val="20"/>
                <w:szCs w:val="20"/>
              </w:rPr>
            </w:pPr>
            <w:r>
              <w:rPr>
                <w:rFonts w:ascii="Arial" w:hAnsi="Arial" w:cs="Arial"/>
                <w:kern w:val="0"/>
                <w:sz w:val="20"/>
                <w:szCs w:val="20"/>
              </w:rPr>
              <w:t>560</w:t>
            </w:r>
          </w:p>
        </w:tc>
        <w:tc>
          <w:tcPr>
            <w:tcW w:w="623" w:type="pct"/>
          </w:tcPr>
          <w:p>
            <w:pPr>
              <w:widowControl/>
              <w:jc w:val="center"/>
              <w:rPr>
                <w:rFonts w:ascii="Arial" w:hAnsi="Arial" w:cs="Arial"/>
                <w:kern w:val="0"/>
                <w:sz w:val="20"/>
                <w:szCs w:val="20"/>
              </w:rPr>
            </w:pPr>
            <w:r>
              <w:rPr>
                <w:rFonts w:ascii="Arial" w:hAnsi="Arial" w:cs="Arial"/>
                <w:kern w:val="0"/>
                <w:sz w:val="20"/>
                <w:szCs w:val="20"/>
              </w:rPr>
              <w:t>619</w:t>
            </w:r>
          </w:p>
        </w:tc>
        <w:tc>
          <w:tcPr>
            <w:tcW w:w="626" w:type="pct"/>
          </w:tcPr>
          <w:p>
            <w:pPr>
              <w:widowControl/>
              <w:jc w:val="center"/>
              <w:rPr>
                <w:rFonts w:ascii="Arial" w:hAnsi="Arial" w:cs="Arial"/>
                <w:kern w:val="0"/>
                <w:sz w:val="20"/>
                <w:szCs w:val="20"/>
              </w:rPr>
            </w:pPr>
            <w:r>
              <w:rPr>
                <w:rFonts w:ascii="Arial" w:hAnsi="Arial" w:cs="Arial"/>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2.7 </w:t>
            </w:r>
          </w:p>
        </w:tc>
        <w:tc>
          <w:tcPr>
            <w:tcW w:w="581" w:type="pct"/>
            <w:noWrap/>
          </w:tcPr>
          <w:p>
            <w:pPr>
              <w:widowControl/>
              <w:jc w:val="center"/>
              <w:rPr>
                <w:rFonts w:ascii="Arial" w:hAnsi="Arial" w:cs="Arial"/>
                <w:kern w:val="0"/>
                <w:sz w:val="20"/>
                <w:szCs w:val="20"/>
              </w:rPr>
            </w:pPr>
            <w:r>
              <w:rPr>
                <w:rFonts w:ascii="Arial" w:hAnsi="Arial" w:cs="Arial"/>
                <w:kern w:val="0"/>
                <w:sz w:val="20"/>
                <w:szCs w:val="20"/>
              </w:rPr>
              <w:t>210</w:t>
            </w:r>
          </w:p>
        </w:tc>
        <w:tc>
          <w:tcPr>
            <w:tcW w:w="626" w:type="pct"/>
            <w:noWrap/>
          </w:tcPr>
          <w:p>
            <w:pPr>
              <w:widowControl/>
              <w:jc w:val="center"/>
              <w:rPr>
                <w:rFonts w:ascii="Arial" w:hAnsi="Arial" w:cs="Arial"/>
                <w:kern w:val="0"/>
                <w:sz w:val="20"/>
                <w:szCs w:val="20"/>
              </w:rPr>
            </w:pPr>
            <w:r>
              <w:rPr>
                <w:rFonts w:ascii="Arial" w:hAnsi="Arial" w:cs="Arial"/>
                <w:kern w:val="0"/>
                <w:sz w:val="20"/>
                <w:szCs w:val="20"/>
              </w:rPr>
              <w:t>219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4.8 </w:t>
            </w:r>
          </w:p>
        </w:tc>
        <w:tc>
          <w:tcPr>
            <w:tcW w:w="642" w:type="pct"/>
          </w:tcPr>
          <w:p>
            <w:pPr>
              <w:widowControl/>
              <w:jc w:val="center"/>
              <w:rPr>
                <w:rFonts w:ascii="Arial" w:hAnsi="Arial" w:cs="Arial"/>
                <w:kern w:val="0"/>
                <w:sz w:val="20"/>
                <w:szCs w:val="20"/>
              </w:rPr>
            </w:pPr>
            <w:r>
              <w:rPr>
                <w:rFonts w:ascii="Arial" w:hAnsi="Arial" w:cs="Arial"/>
                <w:kern w:val="0"/>
                <w:sz w:val="20"/>
                <w:szCs w:val="20"/>
              </w:rPr>
              <w:t>620</w:t>
            </w:r>
          </w:p>
        </w:tc>
        <w:tc>
          <w:tcPr>
            <w:tcW w:w="623" w:type="pct"/>
          </w:tcPr>
          <w:p>
            <w:pPr>
              <w:widowControl/>
              <w:jc w:val="center"/>
              <w:rPr>
                <w:rFonts w:ascii="Arial" w:hAnsi="Arial" w:cs="Arial"/>
                <w:kern w:val="0"/>
                <w:sz w:val="20"/>
                <w:szCs w:val="20"/>
              </w:rPr>
            </w:pPr>
            <w:r>
              <w:rPr>
                <w:rFonts w:ascii="Arial" w:hAnsi="Arial" w:cs="Arial"/>
                <w:kern w:val="0"/>
                <w:sz w:val="20"/>
                <w:szCs w:val="20"/>
              </w:rPr>
              <w:t>709</w:t>
            </w:r>
          </w:p>
        </w:tc>
        <w:tc>
          <w:tcPr>
            <w:tcW w:w="626" w:type="pct"/>
          </w:tcPr>
          <w:p>
            <w:pPr>
              <w:widowControl/>
              <w:jc w:val="center"/>
              <w:rPr>
                <w:rFonts w:ascii="Arial" w:hAnsi="Arial" w:cs="Arial"/>
                <w:kern w:val="0"/>
                <w:sz w:val="20"/>
                <w:szCs w:val="20"/>
              </w:rPr>
            </w:pPr>
            <w:r>
              <w:rPr>
                <w:rFonts w:ascii="Arial" w:hAnsi="Arial" w:cs="Arial"/>
                <w:kern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2.8 </w:t>
            </w:r>
          </w:p>
        </w:tc>
        <w:tc>
          <w:tcPr>
            <w:tcW w:w="581" w:type="pct"/>
            <w:noWrap/>
          </w:tcPr>
          <w:p>
            <w:pPr>
              <w:widowControl/>
              <w:jc w:val="center"/>
              <w:rPr>
                <w:rFonts w:ascii="Arial" w:hAnsi="Arial" w:cs="Arial"/>
                <w:kern w:val="0"/>
                <w:sz w:val="20"/>
                <w:szCs w:val="20"/>
              </w:rPr>
            </w:pPr>
            <w:r>
              <w:rPr>
                <w:rFonts w:ascii="Arial" w:hAnsi="Arial" w:cs="Arial"/>
                <w:kern w:val="0"/>
                <w:sz w:val="20"/>
                <w:szCs w:val="20"/>
              </w:rPr>
              <w:t>220</w:t>
            </w:r>
          </w:p>
        </w:tc>
        <w:tc>
          <w:tcPr>
            <w:tcW w:w="626" w:type="pct"/>
            <w:noWrap/>
          </w:tcPr>
          <w:p>
            <w:pPr>
              <w:widowControl/>
              <w:jc w:val="center"/>
              <w:rPr>
                <w:rFonts w:ascii="Arial" w:hAnsi="Arial" w:cs="Arial"/>
                <w:kern w:val="0"/>
                <w:sz w:val="20"/>
                <w:szCs w:val="20"/>
              </w:rPr>
            </w:pPr>
            <w:r>
              <w:rPr>
                <w:rFonts w:ascii="Arial" w:hAnsi="Arial" w:cs="Arial"/>
                <w:kern w:val="0"/>
                <w:sz w:val="20"/>
                <w:szCs w:val="20"/>
              </w:rPr>
              <w:t>229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4.9 </w:t>
            </w:r>
          </w:p>
        </w:tc>
        <w:tc>
          <w:tcPr>
            <w:tcW w:w="642" w:type="pct"/>
          </w:tcPr>
          <w:p>
            <w:pPr>
              <w:widowControl/>
              <w:jc w:val="center"/>
              <w:rPr>
                <w:rFonts w:ascii="Arial" w:hAnsi="Arial" w:cs="Arial"/>
                <w:kern w:val="0"/>
                <w:sz w:val="20"/>
                <w:szCs w:val="20"/>
              </w:rPr>
            </w:pPr>
            <w:r>
              <w:rPr>
                <w:rFonts w:ascii="Arial" w:hAnsi="Arial" w:cs="Arial"/>
                <w:kern w:val="0"/>
                <w:sz w:val="20"/>
                <w:szCs w:val="20"/>
              </w:rPr>
              <w:t>710</w:t>
            </w:r>
          </w:p>
        </w:tc>
        <w:tc>
          <w:tcPr>
            <w:tcW w:w="623" w:type="pct"/>
          </w:tcPr>
          <w:p>
            <w:pPr>
              <w:widowControl/>
              <w:jc w:val="center"/>
              <w:rPr>
                <w:rFonts w:ascii="Arial" w:hAnsi="Arial" w:cs="Arial"/>
                <w:kern w:val="0"/>
                <w:sz w:val="20"/>
                <w:szCs w:val="20"/>
              </w:rPr>
            </w:pPr>
            <w:r>
              <w:rPr>
                <w:rFonts w:ascii="Arial" w:hAnsi="Arial" w:cs="Arial"/>
                <w:kern w:val="0"/>
                <w:sz w:val="20"/>
                <w:szCs w:val="20"/>
              </w:rPr>
              <w:t>839</w:t>
            </w:r>
          </w:p>
        </w:tc>
        <w:tc>
          <w:tcPr>
            <w:tcW w:w="626" w:type="pct"/>
          </w:tcPr>
          <w:p>
            <w:pPr>
              <w:widowControl/>
              <w:jc w:val="center"/>
              <w:rPr>
                <w:rFonts w:ascii="Arial" w:hAnsi="Arial" w:cs="Arial"/>
                <w:kern w:val="0"/>
                <w:sz w:val="20"/>
                <w:szCs w:val="20"/>
              </w:rPr>
            </w:pPr>
            <w:r>
              <w:rPr>
                <w:rFonts w:ascii="Arial" w:hAnsi="Arial" w:cs="Arial"/>
                <w:kern w:val="0"/>
                <w:sz w:val="20"/>
                <w:szCs w:val="2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2.9 </w:t>
            </w:r>
          </w:p>
        </w:tc>
        <w:tc>
          <w:tcPr>
            <w:tcW w:w="581" w:type="pct"/>
            <w:noWrap/>
          </w:tcPr>
          <w:p>
            <w:pPr>
              <w:widowControl/>
              <w:jc w:val="center"/>
              <w:rPr>
                <w:rFonts w:ascii="Arial" w:hAnsi="Arial" w:cs="Arial"/>
                <w:kern w:val="0"/>
                <w:sz w:val="20"/>
                <w:szCs w:val="20"/>
              </w:rPr>
            </w:pPr>
            <w:r>
              <w:rPr>
                <w:rFonts w:ascii="Arial" w:hAnsi="Arial" w:cs="Arial"/>
                <w:kern w:val="0"/>
                <w:sz w:val="20"/>
                <w:szCs w:val="20"/>
              </w:rPr>
              <w:t>230</w:t>
            </w:r>
          </w:p>
        </w:tc>
        <w:tc>
          <w:tcPr>
            <w:tcW w:w="626" w:type="pct"/>
            <w:noWrap/>
          </w:tcPr>
          <w:p>
            <w:pPr>
              <w:widowControl/>
              <w:jc w:val="center"/>
              <w:rPr>
                <w:rFonts w:ascii="Arial" w:hAnsi="Arial" w:cs="Arial"/>
                <w:kern w:val="0"/>
                <w:sz w:val="20"/>
                <w:szCs w:val="20"/>
              </w:rPr>
            </w:pPr>
            <w:r>
              <w:rPr>
                <w:rFonts w:ascii="Arial" w:hAnsi="Arial" w:cs="Arial"/>
                <w:kern w:val="0"/>
                <w:sz w:val="20"/>
                <w:szCs w:val="20"/>
              </w:rPr>
              <w:t>239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r>
              <w:rPr>
                <w:rFonts w:ascii="Arial" w:hAnsi="Arial" w:cs="Arial"/>
                <w:kern w:val="0"/>
                <w:sz w:val="20"/>
                <w:szCs w:val="20"/>
              </w:rPr>
              <w:t xml:space="preserve">5.0 </w:t>
            </w:r>
          </w:p>
        </w:tc>
        <w:tc>
          <w:tcPr>
            <w:tcW w:w="642" w:type="pct"/>
          </w:tcPr>
          <w:p>
            <w:pPr>
              <w:widowControl/>
              <w:jc w:val="center"/>
              <w:rPr>
                <w:rFonts w:ascii="Arial" w:hAnsi="Arial" w:cs="Arial"/>
                <w:kern w:val="0"/>
                <w:sz w:val="20"/>
                <w:szCs w:val="20"/>
              </w:rPr>
            </w:pPr>
            <w:r>
              <w:rPr>
                <w:rFonts w:ascii="Arial" w:hAnsi="Arial" w:cs="Arial"/>
                <w:kern w:val="0"/>
                <w:sz w:val="20"/>
                <w:szCs w:val="20"/>
              </w:rPr>
              <w:t>840</w:t>
            </w:r>
          </w:p>
        </w:tc>
        <w:tc>
          <w:tcPr>
            <w:tcW w:w="623" w:type="pct"/>
          </w:tcPr>
          <w:p>
            <w:pPr>
              <w:widowControl/>
              <w:jc w:val="center"/>
              <w:rPr>
                <w:rFonts w:ascii="Arial" w:hAnsi="Arial" w:cs="Arial"/>
                <w:kern w:val="0"/>
                <w:sz w:val="20"/>
                <w:szCs w:val="20"/>
              </w:rPr>
            </w:pPr>
            <w:r>
              <w:rPr>
                <w:rFonts w:hint="eastAsia" w:ascii="宋体" w:hAnsi="宋体" w:cs="Arial"/>
                <w:kern w:val="0"/>
                <w:sz w:val="20"/>
                <w:szCs w:val="20"/>
              </w:rPr>
              <w:t>∞</w:t>
            </w:r>
          </w:p>
        </w:tc>
        <w:tc>
          <w:tcPr>
            <w:tcW w:w="626" w:type="pct"/>
          </w:tcPr>
          <w:p>
            <w:pPr>
              <w:widowControl/>
              <w:jc w:val="center"/>
              <w:rPr>
                <w:rFonts w:ascii="Arial" w:hAnsi="Arial" w:cs="Arial"/>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651" w:type="pct"/>
            <w:noWrap/>
          </w:tcPr>
          <w:p>
            <w:pPr>
              <w:widowControl/>
              <w:jc w:val="center"/>
              <w:rPr>
                <w:rFonts w:ascii="Arial" w:hAnsi="Arial" w:cs="Arial"/>
                <w:kern w:val="0"/>
                <w:sz w:val="20"/>
                <w:szCs w:val="20"/>
              </w:rPr>
            </w:pPr>
            <w:r>
              <w:rPr>
                <w:rFonts w:ascii="Arial" w:hAnsi="Arial" w:cs="Arial"/>
                <w:kern w:val="0"/>
                <w:sz w:val="20"/>
                <w:szCs w:val="20"/>
              </w:rPr>
              <w:t xml:space="preserve">3.0 </w:t>
            </w:r>
          </w:p>
        </w:tc>
        <w:tc>
          <w:tcPr>
            <w:tcW w:w="581" w:type="pct"/>
            <w:noWrap/>
          </w:tcPr>
          <w:p>
            <w:pPr>
              <w:widowControl/>
              <w:jc w:val="center"/>
              <w:rPr>
                <w:rFonts w:ascii="Arial" w:hAnsi="Arial" w:cs="Arial"/>
                <w:kern w:val="0"/>
                <w:sz w:val="20"/>
                <w:szCs w:val="20"/>
              </w:rPr>
            </w:pPr>
            <w:r>
              <w:rPr>
                <w:rFonts w:ascii="Arial" w:hAnsi="Arial" w:cs="Arial"/>
                <w:kern w:val="0"/>
                <w:sz w:val="20"/>
                <w:szCs w:val="20"/>
              </w:rPr>
              <w:t>240</w:t>
            </w:r>
          </w:p>
        </w:tc>
        <w:tc>
          <w:tcPr>
            <w:tcW w:w="626" w:type="pct"/>
            <w:noWrap/>
          </w:tcPr>
          <w:p>
            <w:pPr>
              <w:widowControl/>
              <w:jc w:val="center"/>
              <w:rPr>
                <w:rFonts w:ascii="Arial" w:hAnsi="Arial" w:cs="Arial"/>
                <w:kern w:val="0"/>
                <w:sz w:val="20"/>
                <w:szCs w:val="20"/>
              </w:rPr>
            </w:pPr>
            <w:r>
              <w:rPr>
                <w:rFonts w:ascii="Arial" w:hAnsi="Arial" w:cs="Arial"/>
                <w:kern w:val="0"/>
                <w:sz w:val="20"/>
                <w:szCs w:val="20"/>
              </w:rPr>
              <w:t>249</w:t>
            </w:r>
          </w:p>
        </w:tc>
        <w:tc>
          <w:tcPr>
            <w:tcW w:w="601" w:type="pct"/>
            <w:noWrap/>
          </w:tcPr>
          <w:p>
            <w:pPr>
              <w:widowControl/>
              <w:jc w:val="center"/>
              <w:rPr>
                <w:rFonts w:ascii="Arial" w:hAnsi="Arial" w:cs="Arial"/>
                <w:kern w:val="0"/>
                <w:sz w:val="20"/>
                <w:szCs w:val="20"/>
              </w:rPr>
            </w:pPr>
            <w:r>
              <w:rPr>
                <w:rFonts w:ascii="Arial" w:hAnsi="Arial" w:cs="Arial"/>
                <w:kern w:val="0"/>
                <w:sz w:val="20"/>
                <w:szCs w:val="20"/>
              </w:rPr>
              <w:t>10</w:t>
            </w:r>
          </w:p>
        </w:tc>
        <w:tc>
          <w:tcPr>
            <w:tcW w:w="650" w:type="pct"/>
          </w:tcPr>
          <w:p>
            <w:pPr>
              <w:widowControl/>
              <w:jc w:val="center"/>
              <w:rPr>
                <w:rFonts w:ascii="Arial" w:hAnsi="Arial" w:cs="Arial"/>
                <w:kern w:val="0"/>
                <w:sz w:val="20"/>
                <w:szCs w:val="20"/>
              </w:rPr>
            </w:pPr>
          </w:p>
        </w:tc>
        <w:tc>
          <w:tcPr>
            <w:tcW w:w="642" w:type="pct"/>
          </w:tcPr>
          <w:p>
            <w:pPr>
              <w:widowControl/>
              <w:jc w:val="center"/>
              <w:rPr>
                <w:rFonts w:ascii="Arial" w:hAnsi="Arial" w:cs="Arial"/>
                <w:kern w:val="0"/>
                <w:sz w:val="20"/>
                <w:szCs w:val="20"/>
              </w:rPr>
            </w:pPr>
          </w:p>
        </w:tc>
        <w:tc>
          <w:tcPr>
            <w:tcW w:w="623" w:type="pct"/>
          </w:tcPr>
          <w:p>
            <w:pPr>
              <w:widowControl/>
              <w:jc w:val="center"/>
              <w:rPr>
                <w:rFonts w:ascii="Arial" w:hAnsi="Arial" w:cs="Arial"/>
                <w:kern w:val="0"/>
                <w:sz w:val="20"/>
                <w:szCs w:val="20"/>
              </w:rPr>
            </w:pPr>
          </w:p>
        </w:tc>
        <w:tc>
          <w:tcPr>
            <w:tcW w:w="626" w:type="pct"/>
          </w:tcPr>
          <w:p>
            <w:pPr>
              <w:widowControl/>
              <w:jc w:val="center"/>
              <w:rPr>
                <w:rFonts w:ascii="Arial" w:hAnsi="Arial" w:cs="Arial"/>
                <w:kern w:val="0"/>
                <w:sz w:val="20"/>
                <w:szCs w:val="20"/>
              </w:rPr>
            </w:pPr>
          </w:p>
        </w:tc>
      </w:tr>
    </w:tbl>
    <w:p>
      <w:pPr>
        <w:pStyle w:val="60"/>
        <w:spacing w:before="156" w:beforeLines="50" w:after="156" w:afterLines="50"/>
        <w:ind w:left="283"/>
      </w:pPr>
      <w:r>
        <w:rPr>
          <w:rFonts w:hint="eastAsia"/>
        </w:rPr>
        <w:t>冲压件质量等级要求</w:t>
      </w:r>
    </w:p>
    <w:p>
      <w:pPr>
        <w:pStyle w:val="61"/>
        <w:spacing w:before="156" w:beforeLines="50" w:after="156" w:afterLines="50"/>
        <w:ind w:left="420" w:leftChars="200"/>
        <w:rPr>
          <w:rFonts w:hAnsi="黑体"/>
        </w:rPr>
      </w:pPr>
      <w:bookmarkStart w:id="3" w:name="_Hlk74568373"/>
      <w:r>
        <w:rPr>
          <w:rFonts w:hint="eastAsia" w:hAnsi="黑体"/>
        </w:rPr>
        <w:t>在模具返厂前的供件（半工装、全工装件）不做AUDIT等级要求，但需要对面品进行检查。</w:t>
      </w:r>
    </w:p>
    <w:p>
      <w:pPr>
        <w:pStyle w:val="92"/>
      </w:pPr>
      <w:r>
        <w:rPr>
          <w:rFonts w:hint="eastAsia"/>
        </w:rPr>
        <w:t>半工装件面品质量要求：</w:t>
      </w:r>
    </w:p>
    <w:p>
      <w:pPr>
        <w:pStyle w:val="58"/>
        <w:ind w:left="210" w:leftChars="100" w:firstLine="420"/>
      </w:pPr>
      <w:r>
        <w:t>1</w:t>
      </w:r>
      <w:r>
        <w:rPr>
          <w:rFonts w:hint="eastAsia"/>
        </w:rPr>
        <w:t>区不允许有A类缺陷；</w:t>
      </w:r>
    </w:p>
    <w:p>
      <w:pPr>
        <w:pStyle w:val="58"/>
        <w:ind w:left="210" w:leftChars="100" w:firstLine="420"/>
      </w:pPr>
      <w:r>
        <w:rPr>
          <w:rFonts w:hint="eastAsia"/>
        </w:rPr>
        <w:t>其余A类质量缺陷经过返修后允许供货。</w:t>
      </w:r>
    </w:p>
    <w:p>
      <w:pPr>
        <w:pStyle w:val="92"/>
      </w:pPr>
      <w:r>
        <w:rPr>
          <w:rFonts w:hint="eastAsia"/>
        </w:rPr>
        <w:t>全工装件面品质量要求：</w:t>
      </w:r>
    </w:p>
    <w:p>
      <w:pPr>
        <w:pStyle w:val="58"/>
        <w:ind w:left="210" w:leftChars="100" w:firstLine="420"/>
      </w:pPr>
      <w:r>
        <w:rPr>
          <w:rFonts w:hint="eastAsia"/>
        </w:rPr>
        <w:t>无A类质量缺陷；</w:t>
      </w:r>
    </w:p>
    <w:p>
      <w:pPr>
        <w:pStyle w:val="58"/>
        <w:ind w:left="210" w:leftChars="100" w:firstLine="420"/>
      </w:pPr>
      <w:r>
        <w:rPr>
          <w:rFonts w:hint="eastAsia"/>
        </w:rPr>
        <w:t>B类质量缺陷不得超过</w:t>
      </w:r>
      <w:r>
        <w:t>3</w:t>
      </w:r>
      <w:r>
        <w:rPr>
          <w:rFonts w:hint="eastAsia"/>
        </w:rPr>
        <w:t>个；</w:t>
      </w:r>
    </w:p>
    <w:p>
      <w:pPr>
        <w:pStyle w:val="92"/>
      </w:pPr>
      <w:r>
        <w:rPr>
          <w:rFonts w:hint="eastAsia"/>
        </w:rPr>
        <w:t>模具预验收阶段面品质量要求：</w:t>
      </w:r>
    </w:p>
    <w:p>
      <w:pPr>
        <w:pStyle w:val="58"/>
        <w:ind w:left="210" w:leftChars="100" w:firstLine="420"/>
      </w:pPr>
      <w:r>
        <w:rPr>
          <w:rFonts w:hint="eastAsia"/>
        </w:rPr>
        <w:t>无A类质量缺陷；</w:t>
      </w:r>
    </w:p>
    <w:p>
      <w:pPr>
        <w:pStyle w:val="58"/>
        <w:ind w:left="210" w:leftChars="100" w:firstLine="420"/>
      </w:pPr>
      <w:r>
        <w:t>1</w:t>
      </w:r>
      <w:r>
        <w:rPr>
          <w:rFonts w:hint="eastAsia"/>
        </w:rPr>
        <w:t>区内不允许有B类质量缺陷。</w:t>
      </w:r>
    </w:p>
    <w:p>
      <w:pPr>
        <w:pStyle w:val="61"/>
        <w:spacing w:before="156" w:beforeLines="50" w:after="156" w:afterLines="50"/>
        <w:ind w:left="420" w:leftChars="200"/>
        <w:rPr>
          <w:rFonts w:hAnsi="黑体"/>
        </w:rPr>
      </w:pPr>
      <w:r>
        <w:rPr>
          <w:rFonts w:hint="eastAsia" w:hAnsi="黑体"/>
        </w:rPr>
        <w:t>在模具返厂阶段开始进行面品等级的判定</w:t>
      </w:r>
    </w:p>
    <w:bookmarkEnd w:id="3"/>
    <w:p>
      <w:pPr>
        <w:pStyle w:val="58"/>
        <w:ind w:firstLine="420"/>
        <w:jc w:val="center"/>
      </w:pPr>
      <w:r>
        <w:rPr>
          <w:rFonts w:hint="eastAsia"/>
        </w:rPr>
        <w:t>表</w:t>
      </w:r>
      <w:r>
        <w:t xml:space="preserve">3 </w:t>
      </w:r>
      <w:r>
        <w:rPr>
          <w:rFonts w:hint="eastAsia" w:hAnsi="宋体" w:cs="宋体"/>
          <w:b/>
          <w:szCs w:val="21"/>
        </w:rPr>
        <w:t>模具开发阶段面品质量等级要求</w:t>
      </w:r>
    </w:p>
    <w:tbl>
      <w:tblPr>
        <w:tblStyle w:val="34"/>
        <w:tblW w:w="0" w:type="auto"/>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2863"/>
        <w:gridCol w:w="300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31" w:type="dxa"/>
            <w:vAlign w:val="center"/>
          </w:tcPr>
          <w:p>
            <w:pPr>
              <w:jc w:val="center"/>
              <w:rPr>
                <w:rFonts w:ascii="宋体" w:hAnsi="宋体" w:cs="宋体"/>
                <w:szCs w:val="21"/>
              </w:rPr>
            </w:pPr>
            <w:r>
              <w:rPr>
                <w:rFonts w:hint="eastAsia" w:ascii="宋体" w:hAnsi="宋体" w:cs="宋体"/>
                <w:szCs w:val="21"/>
              </w:rPr>
              <w:t>零件名称</w:t>
            </w:r>
          </w:p>
        </w:tc>
        <w:tc>
          <w:tcPr>
            <w:tcW w:w="2863" w:type="dxa"/>
            <w:vAlign w:val="center"/>
          </w:tcPr>
          <w:p>
            <w:pPr>
              <w:jc w:val="center"/>
              <w:rPr>
                <w:rFonts w:ascii="宋体" w:hAnsi="宋体" w:cs="宋体"/>
                <w:szCs w:val="21"/>
              </w:rPr>
            </w:pPr>
            <w:r>
              <w:rPr>
                <w:rFonts w:hint="eastAsia" w:ascii="宋体" w:hAnsi="宋体" w:cs="宋体"/>
                <w:szCs w:val="21"/>
              </w:rPr>
              <w:t>模具返厂</w:t>
            </w:r>
          </w:p>
        </w:tc>
        <w:tc>
          <w:tcPr>
            <w:tcW w:w="3007" w:type="dxa"/>
            <w:vAlign w:val="center"/>
          </w:tcPr>
          <w:p>
            <w:pPr>
              <w:jc w:val="center"/>
              <w:rPr>
                <w:rFonts w:ascii="宋体" w:hAnsi="宋体" w:cs="宋体"/>
                <w:szCs w:val="21"/>
              </w:rPr>
            </w:pPr>
            <w:r>
              <w:rPr>
                <w:rFonts w:hint="eastAsia" w:ascii="宋体" w:hAnsi="宋体" w:cs="宋体"/>
                <w:szCs w:val="21"/>
              </w:rPr>
              <w:t>模具终验收</w:t>
            </w:r>
          </w:p>
        </w:tc>
        <w:tc>
          <w:tcPr>
            <w:tcW w:w="998" w:type="dxa"/>
            <w:vAlign w:val="center"/>
          </w:tcPr>
          <w:p>
            <w:pPr>
              <w:jc w:val="center"/>
              <w:rPr>
                <w:rFonts w:ascii="宋体" w:hAnsi="宋体" w:cs="宋体"/>
                <w:color w:val="FF0000"/>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31" w:type="dxa"/>
            <w:vAlign w:val="center"/>
          </w:tcPr>
          <w:p>
            <w:pPr>
              <w:jc w:val="center"/>
              <w:rPr>
                <w:rFonts w:ascii="宋体" w:hAnsi="宋体" w:cs="宋体"/>
                <w:szCs w:val="21"/>
              </w:rPr>
            </w:pPr>
            <w:r>
              <w:rPr>
                <w:rFonts w:hint="eastAsia" w:ascii="宋体" w:hAnsi="宋体" w:cs="宋体"/>
                <w:szCs w:val="21"/>
              </w:rPr>
              <w:t>侧围外板</w:t>
            </w:r>
          </w:p>
        </w:tc>
        <w:tc>
          <w:tcPr>
            <w:tcW w:w="2863" w:type="dxa"/>
            <w:vAlign w:val="center"/>
          </w:tcPr>
          <w:p>
            <w:pPr>
              <w:pStyle w:val="31"/>
              <w:jc w:val="center"/>
              <w:rPr>
                <w:sz w:val="21"/>
                <w:szCs w:val="21"/>
              </w:rPr>
            </w:pPr>
            <w:r>
              <w:rPr>
                <w:rFonts w:hint="eastAsia"/>
                <w:sz w:val="21"/>
                <w:szCs w:val="21"/>
              </w:rPr>
              <w:t>≤3.2</w:t>
            </w:r>
          </w:p>
        </w:tc>
        <w:tc>
          <w:tcPr>
            <w:tcW w:w="3007" w:type="dxa"/>
            <w:vAlign w:val="center"/>
          </w:tcPr>
          <w:p>
            <w:pPr>
              <w:pStyle w:val="31"/>
              <w:jc w:val="center"/>
              <w:rPr>
                <w:sz w:val="21"/>
                <w:szCs w:val="21"/>
              </w:rPr>
            </w:pPr>
            <w:r>
              <w:rPr>
                <w:rFonts w:hint="eastAsia"/>
                <w:sz w:val="21"/>
                <w:szCs w:val="21"/>
              </w:rPr>
              <w:t>≤1.</w:t>
            </w:r>
            <w:r>
              <w:rPr>
                <w:sz w:val="21"/>
                <w:szCs w:val="21"/>
              </w:rPr>
              <w:t>8</w:t>
            </w:r>
          </w:p>
        </w:tc>
        <w:tc>
          <w:tcPr>
            <w:tcW w:w="998" w:type="dxa"/>
            <w:vAlign w:val="center"/>
          </w:tcPr>
          <w:p>
            <w:pPr>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31" w:type="dxa"/>
            <w:vAlign w:val="center"/>
          </w:tcPr>
          <w:p>
            <w:pPr>
              <w:jc w:val="center"/>
              <w:rPr>
                <w:rFonts w:ascii="宋体" w:hAnsi="宋体" w:cs="宋体"/>
                <w:szCs w:val="21"/>
              </w:rPr>
            </w:pPr>
            <w:r>
              <w:rPr>
                <w:rFonts w:hint="eastAsia" w:ascii="宋体" w:hAnsi="宋体" w:cs="宋体"/>
                <w:szCs w:val="21"/>
              </w:rPr>
              <w:t>左右翼子板</w:t>
            </w:r>
          </w:p>
        </w:tc>
        <w:tc>
          <w:tcPr>
            <w:tcW w:w="2863" w:type="dxa"/>
            <w:vAlign w:val="center"/>
          </w:tcPr>
          <w:p>
            <w:pPr>
              <w:pStyle w:val="31"/>
              <w:jc w:val="center"/>
              <w:rPr>
                <w:sz w:val="21"/>
                <w:szCs w:val="21"/>
              </w:rPr>
            </w:pPr>
            <w:r>
              <w:rPr>
                <w:rFonts w:hint="eastAsia"/>
                <w:sz w:val="21"/>
                <w:szCs w:val="21"/>
              </w:rPr>
              <w:t>≤</w:t>
            </w:r>
            <w:r>
              <w:rPr>
                <w:sz w:val="21"/>
                <w:szCs w:val="21"/>
              </w:rPr>
              <w:t>3.0</w:t>
            </w:r>
          </w:p>
        </w:tc>
        <w:tc>
          <w:tcPr>
            <w:tcW w:w="3007" w:type="dxa"/>
            <w:vAlign w:val="center"/>
          </w:tcPr>
          <w:p>
            <w:pPr>
              <w:pStyle w:val="31"/>
              <w:jc w:val="center"/>
              <w:rPr>
                <w:sz w:val="21"/>
                <w:szCs w:val="21"/>
              </w:rPr>
            </w:pPr>
            <w:r>
              <w:rPr>
                <w:rFonts w:hint="eastAsia"/>
                <w:sz w:val="21"/>
                <w:szCs w:val="21"/>
              </w:rPr>
              <w:t>≤1.</w:t>
            </w:r>
            <w:r>
              <w:rPr>
                <w:sz w:val="21"/>
                <w:szCs w:val="21"/>
              </w:rPr>
              <w:t>5</w:t>
            </w:r>
          </w:p>
        </w:tc>
        <w:tc>
          <w:tcPr>
            <w:tcW w:w="998" w:type="dxa"/>
            <w:vAlign w:val="center"/>
          </w:tcPr>
          <w:p>
            <w:pPr>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31" w:type="dxa"/>
            <w:vAlign w:val="center"/>
          </w:tcPr>
          <w:p>
            <w:pPr>
              <w:jc w:val="center"/>
              <w:rPr>
                <w:rFonts w:ascii="宋体" w:hAnsi="宋体" w:cs="宋体"/>
                <w:szCs w:val="21"/>
              </w:rPr>
            </w:pPr>
            <w:r>
              <w:rPr>
                <w:rFonts w:hint="eastAsia" w:ascii="宋体" w:hAnsi="宋体" w:cs="宋体"/>
                <w:szCs w:val="21"/>
              </w:rPr>
              <w:t>车门外板</w:t>
            </w:r>
          </w:p>
        </w:tc>
        <w:tc>
          <w:tcPr>
            <w:tcW w:w="2863" w:type="dxa"/>
            <w:vAlign w:val="center"/>
          </w:tcPr>
          <w:p>
            <w:pPr>
              <w:pStyle w:val="31"/>
              <w:jc w:val="center"/>
              <w:rPr>
                <w:sz w:val="21"/>
                <w:szCs w:val="21"/>
              </w:rPr>
            </w:pPr>
            <w:r>
              <w:rPr>
                <w:rFonts w:hint="eastAsia"/>
                <w:sz w:val="21"/>
                <w:szCs w:val="21"/>
              </w:rPr>
              <w:t>≤3.0</w:t>
            </w:r>
          </w:p>
        </w:tc>
        <w:tc>
          <w:tcPr>
            <w:tcW w:w="3007" w:type="dxa"/>
            <w:vAlign w:val="center"/>
          </w:tcPr>
          <w:p>
            <w:pPr>
              <w:pStyle w:val="31"/>
              <w:jc w:val="center"/>
              <w:rPr>
                <w:sz w:val="21"/>
                <w:szCs w:val="21"/>
              </w:rPr>
            </w:pPr>
            <w:r>
              <w:rPr>
                <w:rFonts w:hint="eastAsia"/>
                <w:sz w:val="21"/>
                <w:szCs w:val="21"/>
              </w:rPr>
              <w:t>≤1.</w:t>
            </w:r>
            <w:r>
              <w:rPr>
                <w:sz w:val="21"/>
                <w:szCs w:val="21"/>
              </w:rPr>
              <w:t>5</w:t>
            </w:r>
          </w:p>
        </w:tc>
        <w:tc>
          <w:tcPr>
            <w:tcW w:w="998" w:type="dxa"/>
            <w:vAlign w:val="center"/>
          </w:tcPr>
          <w:p>
            <w:pPr>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31" w:type="dxa"/>
            <w:vAlign w:val="center"/>
          </w:tcPr>
          <w:p>
            <w:pPr>
              <w:jc w:val="center"/>
              <w:rPr>
                <w:rFonts w:ascii="宋体" w:hAnsi="宋体" w:cs="宋体"/>
                <w:szCs w:val="21"/>
              </w:rPr>
            </w:pPr>
            <w:r>
              <w:rPr>
                <w:rFonts w:hint="eastAsia" w:ascii="宋体" w:hAnsi="宋体" w:cs="宋体"/>
                <w:szCs w:val="21"/>
              </w:rPr>
              <w:t>机盖外板</w:t>
            </w:r>
          </w:p>
        </w:tc>
        <w:tc>
          <w:tcPr>
            <w:tcW w:w="2863" w:type="dxa"/>
            <w:vAlign w:val="center"/>
          </w:tcPr>
          <w:p>
            <w:pPr>
              <w:jc w:val="center"/>
              <w:rPr>
                <w:rFonts w:ascii="宋体" w:hAnsi="宋体" w:cs="宋体"/>
                <w:szCs w:val="21"/>
              </w:rPr>
            </w:pPr>
            <w:r>
              <w:rPr>
                <w:rFonts w:hint="eastAsia" w:ascii="宋体" w:hAnsi="宋体" w:cs="宋体"/>
                <w:szCs w:val="21"/>
              </w:rPr>
              <w:t>≤2.8</w:t>
            </w:r>
          </w:p>
        </w:tc>
        <w:tc>
          <w:tcPr>
            <w:tcW w:w="3007" w:type="dxa"/>
            <w:vAlign w:val="center"/>
          </w:tcPr>
          <w:p>
            <w:pPr>
              <w:jc w:val="center"/>
              <w:rPr>
                <w:rFonts w:ascii="宋体" w:hAnsi="宋体" w:cs="宋体"/>
                <w:szCs w:val="21"/>
              </w:rPr>
            </w:pPr>
            <w:r>
              <w:rPr>
                <w:rFonts w:hint="eastAsia" w:ascii="宋体" w:hAnsi="宋体"/>
                <w:szCs w:val="21"/>
              </w:rPr>
              <w:t>≤1.</w:t>
            </w:r>
            <w:r>
              <w:rPr>
                <w:rFonts w:ascii="宋体" w:hAnsi="宋体"/>
                <w:szCs w:val="21"/>
              </w:rPr>
              <w:t>5</w:t>
            </w:r>
          </w:p>
        </w:tc>
        <w:tc>
          <w:tcPr>
            <w:tcW w:w="998" w:type="dxa"/>
            <w:vAlign w:val="center"/>
          </w:tcPr>
          <w:p>
            <w:pPr>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31" w:type="dxa"/>
            <w:vAlign w:val="center"/>
          </w:tcPr>
          <w:p>
            <w:pPr>
              <w:jc w:val="center"/>
              <w:rPr>
                <w:rFonts w:ascii="宋体" w:hAnsi="宋体" w:cs="宋体"/>
                <w:szCs w:val="21"/>
              </w:rPr>
            </w:pPr>
            <w:r>
              <w:rPr>
                <w:rFonts w:hint="eastAsia" w:ascii="宋体" w:hAnsi="宋体" w:cs="宋体"/>
                <w:szCs w:val="21"/>
              </w:rPr>
              <w:t>顶盖外板</w:t>
            </w:r>
          </w:p>
        </w:tc>
        <w:tc>
          <w:tcPr>
            <w:tcW w:w="2863" w:type="dxa"/>
            <w:vAlign w:val="center"/>
          </w:tcPr>
          <w:p>
            <w:pPr>
              <w:pStyle w:val="31"/>
              <w:jc w:val="center"/>
              <w:rPr>
                <w:sz w:val="21"/>
                <w:szCs w:val="21"/>
              </w:rPr>
            </w:pPr>
            <w:r>
              <w:rPr>
                <w:rFonts w:hint="eastAsia"/>
                <w:sz w:val="21"/>
                <w:szCs w:val="21"/>
              </w:rPr>
              <w:t>≤2.</w:t>
            </w:r>
            <w:r>
              <w:rPr>
                <w:sz w:val="21"/>
                <w:szCs w:val="21"/>
              </w:rPr>
              <w:t>8</w:t>
            </w:r>
          </w:p>
        </w:tc>
        <w:tc>
          <w:tcPr>
            <w:tcW w:w="3007" w:type="dxa"/>
            <w:vAlign w:val="center"/>
          </w:tcPr>
          <w:p>
            <w:pPr>
              <w:pStyle w:val="31"/>
              <w:jc w:val="center"/>
              <w:rPr>
                <w:sz w:val="21"/>
                <w:szCs w:val="21"/>
              </w:rPr>
            </w:pPr>
            <w:r>
              <w:rPr>
                <w:rFonts w:hint="eastAsia"/>
                <w:sz w:val="21"/>
                <w:szCs w:val="21"/>
              </w:rPr>
              <w:t>≤1.</w:t>
            </w:r>
            <w:r>
              <w:rPr>
                <w:sz w:val="21"/>
                <w:szCs w:val="21"/>
              </w:rPr>
              <w:t>5</w:t>
            </w:r>
          </w:p>
        </w:tc>
        <w:tc>
          <w:tcPr>
            <w:tcW w:w="998" w:type="dxa"/>
            <w:vAlign w:val="center"/>
          </w:tcPr>
          <w:p>
            <w:pPr>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31" w:type="dxa"/>
            <w:vAlign w:val="center"/>
          </w:tcPr>
          <w:p>
            <w:pPr>
              <w:jc w:val="center"/>
              <w:rPr>
                <w:rFonts w:ascii="宋体" w:hAnsi="宋体" w:cs="宋体"/>
                <w:szCs w:val="21"/>
              </w:rPr>
            </w:pPr>
            <w:r>
              <w:rPr>
                <w:rFonts w:hint="eastAsia" w:ascii="宋体" w:hAnsi="宋体" w:cs="宋体"/>
                <w:szCs w:val="21"/>
              </w:rPr>
              <w:t>货箱外板</w:t>
            </w:r>
          </w:p>
        </w:tc>
        <w:tc>
          <w:tcPr>
            <w:tcW w:w="2863" w:type="dxa"/>
            <w:vAlign w:val="center"/>
          </w:tcPr>
          <w:p>
            <w:pPr>
              <w:pStyle w:val="31"/>
              <w:jc w:val="center"/>
              <w:rPr>
                <w:sz w:val="21"/>
                <w:szCs w:val="21"/>
              </w:rPr>
            </w:pPr>
            <w:r>
              <w:rPr>
                <w:rFonts w:hint="eastAsia"/>
                <w:sz w:val="21"/>
                <w:szCs w:val="21"/>
              </w:rPr>
              <w:t>≤2.8</w:t>
            </w:r>
          </w:p>
        </w:tc>
        <w:tc>
          <w:tcPr>
            <w:tcW w:w="3007" w:type="dxa"/>
            <w:vAlign w:val="center"/>
          </w:tcPr>
          <w:p>
            <w:pPr>
              <w:pStyle w:val="31"/>
              <w:jc w:val="center"/>
              <w:rPr>
                <w:sz w:val="21"/>
                <w:szCs w:val="21"/>
              </w:rPr>
            </w:pPr>
            <w:r>
              <w:rPr>
                <w:rFonts w:hint="eastAsia"/>
                <w:sz w:val="21"/>
                <w:szCs w:val="21"/>
              </w:rPr>
              <w:t>≤1.</w:t>
            </w:r>
            <w:r>
              <w:rPr>
                <w:sz w:val="21"/>
                <w:szCs w:val="21"/>
              </w:rPr>
              <w:t>5</w:t>
            </w:r>
          </w:p>
        </w:tc>
        <w:tc>
          <w:tcPr>
            <w:tcW w:w="998" w:type="dxa"/>
            <w:vAlign w:val="center"/>
          </w:tcPr>
          <w:p>
            <w:pPr>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31" w:type="dxa"/>
            <w:vAlign w:val="center"/>
          </w:tcPr>
          <w:p>
            <w:pPr>
              <w:jc w:val="center"/>
              <w:rPr>
                <w:rFonts w:ascii="宋体" w:hAnsi="宋体" w:cs="宋体"/>
                <w:szCs w:val="21"/>
              </w:rPr>
            </w:pPr>
            <w:r>
              <w:rPr>
                <w:rFonts w:hint="eastAsia" w:ascii="宋体" w:hAnsi="宋体" w:cs="宋体"/>
                <w:szCs w:val="21"/>
              </w:rPr>
              <w:t>开闭件内板</w:t>
            </w:r>
          </w:p>
        </w:tc>
        <w:tc>
          <w:tcPr>
            <w:tcW w:w="2863" w:type="dxa"/>
            <w:vAlign w:val="center"/>
          </w:tcPr>
          <w:p>
            <w:pPr>
              <w:pStyle w:val="31"/>
              <w:jc w:val="center"/>
              <w:rPr>
                <w:sz w:val="21"/>
                <w:szCs w:val="21"/>
              </w:rPr>
            </w:pPr>
            <w:r>
              <w:rPr>
                <w:rFonts w:hint="eastAsia"/>
                <w:sz w:val="21"/>
                <w:szCs w:val="21"/>
              </w:rPr>
              <w:t>≤3.2</w:t>
            </w:r>
          </w:p>
        </w:tc>
        <w:tc>
          <w:tcPr>
            <w:tcW w:w="3007" w:type="dxa"/>
            <w:vAlign w:val="center"/>
          </w:tcPr>
          <w:p>
            <w:pPr>
              <w:pStyle w:val="31"/>
              <w:jc w:val="center"/>
              <w:rPr>
                <w:sz w:val="21"/>
                <w:szCs w:val="21"/>
              </w:rPr>
            </w:pPr>
            <w:r>
              <w:rPr>
                <w:rFonts w:hint="eastAsia"/>
                <w:sz w:val="21"/>
                <w:szCs w:val="21"/>
              </w:rPr>
              <w:t>≤1.</w:t>
            </w:r>
            <w:r>
              <w:rPr>
                <w:sz w:val="21"/>
                <w:szCs w:val="21"/>
              </w:rPr>
              <w:t>5</w:t>
            </w:r>
          </w:p>
        </w:tc>
        <w:tc>
          <w:tcPr>
            <w:tcW w:w="998" w:type="dxa"/>
            <w:vAlign w:val="center"/>
          </w:tcPr>
          <w:p>
            <w:pPr>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31" w:type="dxa"/>
            <w:vAlign w:val="center"/>
          </w:tcPr>
          <w:p>
            <w:pPr>
              <w:jc w:val="center"/>
              <w:rPr>
                <w:rFonts w:ascii="宋体" w:hAnsi="宋体" w:cs="宋体"/>
                <w:szCs w:val="21"/>
              </w:rPr>
            </w:pPr>
            <w:r>
              <w:rPr>
                <w:rFonts w:hint="eastAsia" w:ascii="宋体" w:hAnsi="宋体" w:cs="宋体"/>
                <w:szCs w:val="21"/>
              </w:rPr>
              <w:t>备注</w:t>
            </w:r>
          </w:p>
        </w:tc>
        <w:tc>
          <w:tcPr>
            <w:tcW w:w="2863" w:type="dxa"/>
            <w:vAlign w:val="center"/>
          </w:tcPr>
          <w:p>
            <w:pPr>
              <w:pStyle w:val="31"/>
              <w:spacing w:before="0" w:beforeAutospacing="0" w:after="0" w:afterAutospacing="0"/>
              <w:rPr>
                <w:sz w:val="21"/>
                <w:szCs w:val="21"/>
              </w:rPr>
            </w:pPr>
            <w:r>
              <w:rPr>
                <w:rFonts w:hint="eastAsia"/>
                <w:sz w:val="21"/>
                <w:szCs w:val="21"/>
              </w:rPr>
              <w:t>无A类缺陷；</w:t>
            </w:r>
          </w:p>
          <w:p>
            <w:pPr>
              <w:pStyle w:val="31"/>
              <w:spacing w:before="0" w:beforeAutospacing="0" w:after="0" w:afterAutospacing="0"/>
              <w:rPr>
                <w:sz w:val="21"/>
                <w:szCs w:val="21"/>
              </w:rPr>
            </w:pPr>
            <w:r>
              <w:rPr>
                <w:rFonts w:hint="eastAsia"/>
                <w:sz w:val="21"/>
                <w:szCs w:val="21"/>
              </w:rPr>
              <w:t>1区不允许有B类缺陷</w:t>
            </w:r>
          </w:p>
          <w:p>
            <w:pPr>
              <w:pStyle w:val="31"/>
              <w:spacing w:before="0" w:beforeAutospacing="0" w:after="0" w:afterAutospacing="0"/>
              <w:rPr>
                <w:sz w:val="21"/>
                <w:szCs w:val="21"/>
              </w:rPr>
            </w:pPr>
            <w:r>
              <w:rPr>
                <w:rFonts w:hint="eastAsia"/>
                <w:sz w:val="21"/>
                <w:szCs w:val="21"/>
              </w:rPr>
              <w:t>B类缺陷</w:t>
            </w:r>
            <w:r>
              <w:rPr>
                <w:rFonts w:hint="eastAsia"/>
                <w:sz w:val="21"/>
                <w:szCs w:val="21"/>
                <w:lang w:val="en-US" w:eastAsia="zh-CN"/>
              </w:rPr>
              <w:t>不引起</w:t>
            </w:r>
            <w:r>
              <w:rPr>
                <w:rFonts w:hint="eastAsia"/>
                <w:sz w:val="21"/>
                <w:szCs w:val="21"/>
              </w:rPr>
              <w:t>整车抱怨</w:t>
            </w:r>
          </w:p>
        </w:tc>
        <w:tc>
          <w:tcPr>
            <w:tcW w:w="3007" w:type="dxa"/>
            <w:vAlign w:val="center"/>
          </w:tcPr>
          <w:p>
            <w:pPr>
              <w:pStyle w:val="31"/>
              <w:spacing w:before="0" w:beforeAutospacing="0" w:after="0" w:afterAutospacing="0"/>
              <w:rPr>
                <w:sz w:val="21"/>
                <w:szCs w:val="21"/>
              </w:rPr>
            </w:pPr>
            <w:r>
              <w:rPr>
                <w:rFonts w:hint="eastAsia"/>
                <w:sz w:val="21"/>
                <w:szCs w:val="21"/>
              </w:rPr>
              <w:t>无A类缺陷</w:t>
            </w:r>
          </w:p>
          <w:p>
            <w:pPr>
              <w:pStyle w:val="31"/>
              <w:spacing w:before="0" w:beforeAutospacing="0" w:after="0" w:afterAutospacing="0"/>
              <w:rPr>
                <w:rFonts w:hint="eastAsia"/>
                <w:sz w:val="21"/>
                <w:szCs w:val="21"/>
              </w:rPr>
            </w:pPr>
            <w:r>
              <w:rPr>
                <w:rFonts w:hint="eastAsia"/>
                <w:sz w:val="21"/>
                <w:szCs w:val="21"/>
              </w:rPr>
              <w:t>无B类缺陷</w:t>
            </w:r>
          </w:p>
          <w:p>
            <w:pPr>
              <w:pStyle w:val="31"/>
              <w:spacing w:before="0" w:beforeAutospacing="0" w:after="0" w:afterAutospacing="0"/>
              <w:rPr>
                <w:rFonts w:hint="default" w:eastAsia="宋体"/>
                <w:sz w:val="21"/>
                <w:szCs w:val="21"/>
                <w:lang w:val="en-US" w:eastAsia="zh-CN"/>
              </w:rPr>
            </w:pPr>
            <w:r>
              <w:rPr>
                <w:rFonts w:hint="eastAsia"/>
                <w:sz w:val="21"/>
                <w:szCs w:val="21"/>
                <w:lang w:val="en-US" w:eastAsia="zh-CN"/>
              </w:rPr>
              <w:t>C1类缺陷不引起整车抱怨</w:t>
            </w:r>
          </w:p>
        </w:tc>
        <w:tc>
          <w:tcPr>
            <w:tcW w:w="998" w:type="dxa"/>
            <w:vAlign w:val="center"/>
          </w:tcPr>
          <w:p>
            <w:pPr>
              <w:jc w:val="center"/>
              <w:rPr>
                <w:rFonts w:ascii="宋体" w:hAnsi="宋体" w:cs="宋体"/>
                <w:color w:val="FF0000"/>
                <w:szCs w:val="21"/>
              </w:rPr>
            </w:pPr>
          </w:p>
        </w:tc>
      </w:tr>
    </w:tbl>
    <w:p>
      <w:pPr>
        <w:pStyle w:val="59"/>
        <w:spacing w:before="312" w:beforeLines="100" w:after="312" w:afterLines="100"/>
      </w:pPr>
      <w:bookmarkStart w:id="4" w:name="OLE_LINK6"/>
      <w:r>
        <w:rPr>
          <w:rFonts w:hint="eastAsia"/>
        </w:rPr>
        <w:t>冲压件尺寸精度质量</w:t>
      </w:r>
      <w:r>
        <w:t>标准</w:t>
      </w:r>
      <w:bookmarkEnd w:id="4"/>
    </w:p>
    <w:p>
      <w:pPr>
        <w:pStyle w:val="60"/>
        <w:spacing w:before="156" w:beforeLines="50" w:after="156" w:afterLines="50"/>
        <w:ind w:left="283"/>
      </w:pPr>
      <w:r>
        <w:rPr>
          <w:rFonts w:hint="eastAsia"/>
        </w:rPr>
        <w:t>基准面质量判定</w:t>
      </w:r>
    </w:p>
    <w:p>
      <w:pPr>
        <w:pStyle w:val="61"/>
        <w:spacing w:before="156" w:beforeLines="50" w:after="156" w:afterLines="50"/>
        <w:ind w:left="420" w:leftChars="200"/>
      </w:pPr>
      <w:r>
        <w:rPr>
          <w:rFonts w:hint="eastAsia"/>
        </w:rPr>
        <w:t>单个基准面质量判定</w:t>
      </w:r>
    </w:p>
    <w:p>
      <w:pPr>
        <w:pStyle w:val="58"/>
        <w:ind w:firstLine="420"/>
      </w:pPr>
      <w:r>
        <w:t>4.1.1.1</w:t>
      </w:r>
      <w:r>
        <w:rPr>
          <w:rFonts w:hint="eastAsia"/>
        </w:rPr>
        <w:t>自由状态零件与基准面间隙≤</w:t>
      </w:r>
      <w:r>
        <w:t>0.3mm</w:t>
      </w:r>
      <w:r>
        <w:rPr>
          <w:rFonts w:hint="eastAsia"/>
        </w:rPr>
        <w:t>可判定合格；</w:t>
      </w:r>
    </w:p>
    <w:p>
      <w:pPr>
        <w:pStyle w:val="58"/>
        <w:ind w:firstLine="420"/>
      </w:pPr>
      <w:r>
        <w:t>4.1.1.2</w:t>
      </w:r>
      <w:r>
        <w:rPr>
          <w:rFonts w:hint="eastAsia"/>
        </w:rPr>
        <w:t>外板零件:如果自由状态零件与基准面间隙≤</w:t>
      </w:r>
      <w:r>
        <w:t>2.0mm</w:t>
      </w:r>
      <w:r>
        <w:rPr>
          <w:rFonts w:hint="eastAsia"/>
        </w:rPr>
        <w:t>（对焊接及车身精度无影响的区域可放宽至</w:t>
      </w:r>
      <w:r>
        <w:t>3.0mm</w:t>
      </w:r>
      <w:r>
        <w:rPr>
          <w:rFonts w:hint="eastAsia"/>
        </w:rPr>
        <w:t>），在单独给予</w:t>
      </w:r>
      <w:r>
        <w:t>25N</w:t>
      </w:r>
      <w:r>
        <w:rPr>
          <w:rFonts w:hint="eastAsia"/>
        </w:rPr>
        <w:t>的夹持力（即为检具夹紧器夹紧状态）时，零件与基准面贴合，且其他基准面状态不发生变化则可判定为合格；</w:t>
      </w:r>
    </w:p>
    <w:p>
      <w:pPr>
        <w:pStyle w:val="58"/>
        <w:ind w:firstLine="420"/>
      </w:pPr>
      <w:r>
        <w:t>4.1.1.3</w:t>
      </w:r>
      <w:r>
        <w:rPr>
          <w:rFonts w:hint="eastAsia"/>
        </w:rPr>
        <w:t>内板零件：如果自由状态零件与基准面间隙≤</w:t>
      </w:r>
      <w:r>
        <w:t>1mm</w:t>
      </w:r>
      <w:r>
        <w:rPr>
          <w:rFonts w:hint="eastAsia"/>
        </w:rPr>
        <w:t>（对焊接及车身精度无影响的可放宽至</w:t>
      </w:r>
      <w:r>
        <w:t>3mm</w:t>
      </w:r>
      <w:r>
        <w:rPr>
          <w:rFonts w:hint="eastAsia"/>
        </w:rPr>
        <w:t>），在单独给予</w:t>
      </w:r>
      <w:r>
        <w:t>25N</w:t>
      </w:r>
      <w:r>
        <w:rPr>
          <w:rFonts w:hint="eastAsia"/>
        </w:rPr>
        <w:t>的夹持力（即为检具夹紧器夹紧状态）时，零件与基准面贴合，且其他基准面状态不发生变化则可判定为合格。</w:t>
      </w:r>
      <w:r>
        <w:t xml:space="preserve"> </w:t>
      </w:r>
    </w:p>
    <w:p>
      <w:pPr>
        <w:pStyle w:val="60"/>
        <w:spacing w:before="156" w:beforeLines="50" w:after="156" w:afterLines="50"/>
        <w:ind w:left="283"/>
      </w:pPr>
      <w:r>
        <w:rPr>
          <w:rFonts w:hint="eastAsia"/>
        </w:rPr>
        <w:t>基准孔质量判定</w:t>
      </w:r>
    </w:p>
    <w:p>
      <w:pPr>
        <w:pStyle w:val="58"/>
        <w:ind w:firstLine="420"/>
      </w:pPr>
      <w:r>
        <w:rPr>
          <w:rFonts w:hint="eastAsia"/>
        </w:rPr>
        <w:t>孔径满足GD&amp;T设计要求，孔位置确保能在零件不变形的前提下轻松放入合格检具上，当孔径和孔位置均合格才视为基准孔合格。</w:t>
      </w:r>
    </w:p>
    <w:p>
      <w:pPr>
        <w:pStyle w:val="60"/>
        <w:spacing w:before="156" w:beforeLines="50" w:after="156" w:afterLines="50"/>
        <w:ind w:left="283"/>
        <w:rPr>
          <w:rFonts w:hAnsi="黑体"/>
        </w:rPr>
      </w:pPr>
      <w:bookmarkStart w:id="5" w:name="OLE_LINK4"/>
      <w:r>
        <w:rPr>
          <w:rFonts w:hint="eastAsia" w:hAnsi="黑体"/>
        </w:rPr>
        <w:t>全尺寸合格率</w:t>
      </w:r>
      <w:r>
        <w:rPr>
          <w:rFonts w:hint="eastAsia"/>
        </w:rPr>
        <w:t>判定</w:t>
      </w:r>
    </w:p>
    <w:p>
      <w:pPr>
        <w:pStyle w:val="58"/>
        <w:ind w:firstLine="420"/>
      </w:pPr>
      <w:r>
        <w:rPr>
          <w:rFonts w:hint="eastAsia"/>
        </w:rPr>
        <w:t>在基准判定合格的情况后，所有单件在夹持状态下测量计算合格率，总成件在不夹持状态下测量计算合格率。</w:t>
      </w:r>
    </w:p>
    <w:p>
      <w:pPr>
        <w:pStyle w:val="58"/>
        <w:ind w:firstLine="420"/>
        <w:rPr>
          <w:rFonts w:hint="eastAsia"/>
        </w:rPr>
      </w:pPr>
      <w:r>
        <w:rPr>
          <w:rFonts w:hint="eastAsia"/>
          <w:lang w:val="en-US" w:eastAsia="zh-CN"/>
        </w:rPr>
        <w:t>通用公差见下表所示，具体位置的</w:t>
      </w:r>
      <w:r>
        <w:rPr>
          <w:rFonts w:hint="eastAsia"/>
        </w:rPr>
        <w:t>测量点</w:t>
      </w:r>
      <w:r>
        <w:rPr>
          <w:rFonts w:hint="eastAsia"/>
          <w:lang w:val="en-US" w:eastAsia="zh-CN"/>
        </w:rPr>
        <w:t>位置及公差以</w:t>
      </w:r>
      <w:r>
        <w:rPr>
          <w:rFonts w:hint="eastAsia"/>
        </w:rPr>
        <w:t>GD&amp;T</w:t>
      </w:r>
      <w:r>
        <w:rPr>
          <w:rFonts w:hint="eastAsia"/>
          <w:lang w:val="en-US" w:eastAsia="zh-CN"/>
        </w:rPr>
        <w:t>图</w:t>
      </w:r>
      <w:r>
        <w:rPr>
          <w:rFonts w:hint="eastAsia"/>
        </w:rPr>
        <w:t>要求</w:t>
      </w:r>
      <w:r>
        <w:rPr>
          <w:rFonts w:hint="eastAsia"/>
          <w:lang w:val="en-US" w:eastAsia="zh-CN"/>
        </w:rPr>
        <w:t>为准</w:t>
      </w:r>
      <w:r>
        <w:rPr>
          <w:rFonts w:hint="eastAsia"/>
        </w:rPr>
        <w:t>。</w:t>
      </w:r>
    </w:p>
    <w:tbl>
      <w:tblPr>
        <w:tblW w:w="9675" w:type="dxa"/>
        <w:tblInd w:w="-150" w:type="dxa"/>
        <w:shd w:val="clear"/>
        <w:tblLayout w:type="fixed"/>
        <w:tblCellMar>
          <w:top w:w="0" w:type="dxa"/>
          <w:left w:w="108" w:type="dxa"/>
          <w:bottom w:w="0" w:type="dxa"/>
          <w:right w:w="108" w:type="dxa"/>
        </w:tblCellMar>
      </w:tblPr>
      <w:tblGrid>
        <w:gridCol w:w="588"/>
        <w:gridCol w:w="512"/>
        <w:gridCol w:w="563"/>
        <w:gridCol w:w="2912"/>
        <w:gridCol w:w="1350"/>
        <w:gridCol w:w="1100"/>
        <w:gridCol w:w="1000"/>
        <w:gridCol w:w="813"/>
        <w:gridCol w:w="837"/>
      </w:tblGrid>
      <w:tr>
        <w:tblPrEx>
          <w:tblCellMar>
            <w:top w:w="0" w:type="dxa"/>
            <w:left w:w="108" w:type="dxa"/>
            <w:bottom w:w="0" w:type="dxa"/>
            <w:right w:w="108" w:type="dxa"/>
          </w:tblCellMar>
        </w:tblPrEx>
        <w:trPr>
          <w:trHeight w:val="610" w:hRule="atLeast"/>
        </w:trPr>
        <w:tc>
          <w:tcPr>
            <w:tcW w:w="9675" w:type="dxa"/>
            <w:gridSpan w:val="9"/>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中国重汽尺寸通用公差表</w:t>
            </w:r>
          </w:p>
        </w:tc>
      </w:tr>
      <w:tr>
        <w:tblPrEx>
          <w:shd w:val="clear"/>
          <w:tblCellMar>
            <w:top w:w="0" w:type="dxa"/>
            <w:left w:w="108" w:type="dxa"/>
            <w:bottom w:w="0" w:type="dxa"/>
            <w:right w:w="108" w:type="dxa"/>
          </w:tblCellMar>
        </w:tblPrEx>
        <w:trPr>
          <w:trHeight w:val="350" w:hRule="atLeast"/>
        </w:trPr>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类型</w:t>
            </w:r>
          </w:p>
        </w:tc>
        <w:tc>
          <w:tcPr>
            <w:tcW w:w="5337"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要素</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尺寸公差</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位置度</w:t>
            </w:r>
          </w:p>
        </w:tc>
        <w:tc>
          <w:tcPr>
            <w:tcW w:w="8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面轮廓度</w:t>
            </w:r>
          </w:p>
        </w:tc>
        <w:tc>
          <w:tcPr>
            <w:tcW w:w="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线轮廓度</w:t>
            </w:r>
          </w:p>
        </w:tc>
      </w:tr>
      <w:tr>
        <w:tblPrEx>
          <w:tblCellMar>
            <w:top w:w="0" w:type="dxa"/>
            <w:left w:w="108" w:type="dxa"/>
            <w:bottom w:w="0" w:type="dxa"/>
            <w:right w:w="108" w:type="dxa"/>
          </w:tblCellMar>
        </w:tblPrEx>
        <w:trPr>
          <w:trHeight w:val="350"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冲压件</w:t>
            </w:r>
          </w:p>
        </w:tc>
        <w:tc>
          <w:tcPr>
            <w:tcW w:w="51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孔</w:t>
            </w:r>
          </w:p>
        </w:tc>
        <w:tc>
          <w:tcPr>
            <w:tcW w:w="5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定位孔</w:t>
            </w: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主定位圆孔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次定位圆孔</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定位方向</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非定位方向</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次定位长圆孔</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定位方向</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rPr>
          <w:trHeight w:val="40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非定位方向</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10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装配件定位孔、工装定位孔</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定位方向</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+0.2~0 </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w:t>
            </w: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87"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非定位方向</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装配孔</w:t>
            </w: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装配孔（硬性安装件）、螺母（柱）孔</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+0.2~0 </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装配孔（柔性安装件）</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±0.2</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装配过孔、排水孔、注蜡孔</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+0.5~0</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线束卡扣孔</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+0.2~0</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92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其它孔</w:t>
            </w: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焊接通过孔、减重孔等，未注公差孔</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shd w:val="clear"/>
        </w:tblPrEx>
        <w:trPr>
          <w:trHeight w:val="6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面</w:t>
            </w: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重要匹配面（外观匹配面、焊接面、内板包边面、密封面）</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83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shd w:val="clear"/>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一般匹配面（安装面、涂胶面、外板包边面）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c>
          <w:tcPr>
            <w:tcW w:w="83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非匹配面（外观件的A面）</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shd w:val="cle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非匹配面（非外观件）、未注公差面</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nil"/>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工装辅助夹持面</w:t>
            </w:r>
          </w:p>
        </w:tc>
        <w:tc>
          <w:tcPr>
            <w:tcW w:w="1350" w:type="dxa"/>
            <w:tcBorders>
              <w:top w:val="single" w:color="000000" w:sz="4" w:space="0"/>
              <w:left w:val="single" w:color="000000" w:sz="4" w:space="0"/>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nil"/>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±0.3</w:t>
            </w:r>
          </w:p>
        </w:tc>
        <w:tc>
          <w:tcPr>
            <w:tcW w:w="83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边</w:t>
            </w: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重要修边（门洞牙边、密封边、外板包边的小圆弧过渡和尖角处）</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00" w:type="dxa"/>
            <w:tcBorders>
              <w:top w:val="nil"/>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w:t>
            </w:r>
          </w:p>
        </w:tc>
      </w:tr>
      <w:tr>
        <w:tblPrEx>
          <w:shd w:val="clear"/>
          <w:tblCellMar>
            <w:top w:w="0" w:type="dxa"/>
            <w:left w:w="108" w:type="dxa"/>
            <w:bottom w:w="0" w:type="dxa"/>
            <w:right w:w="108" w:type="dxa"/>
          </w:tblCellMar>
        </w:tblPrEx>
        <w:trPr>
          <w:trHeight w:val="35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内板包边的修边</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w:t>
            </w:r>
          </w:p>
        </w:tc>
      </w:tr>
      <w:tr>
        <w:tblPrEx>
          <w:shd w:val="clear"/>
          <w:tblCellMar>
            <w:top w:w="0" w:type="dxa"/>
            <w:left w:w="108" w:type="dxa"/>
            <w:bottom w:w="0" w:type="dxa"/>
            <w:right w:w="108" w:type="dxa"/>
          </w:tblCellMar>
        </w:tblPrEx>
        <w:trPr>
          <w:trHeight w:val="62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一般修边（压合件外板翻边的水滴形包边、直边、平缓过渡区域）</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r>
        <w:tblPrEx>
          <w:shd w:val="clear"/>
        </w:tblPrEx>
        <w:trPr>
          <w:trHeight w:val="370"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91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未注修边</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r2bl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r>
    </w:tbl>
    <w:p>
      <w:pPr>
        <w:pStyle w:val="58"/>
        <w:ind w:firstLine="420"/>
        <w:rPr>
          <w:rFonts w:hint="eastAsia"/>
        </w:rPr>
      </w:pPr>
    </w:p>
    <w:p>
      <w:pPr>
        <w:pStyle w:val="60"/>
        <w:spacing w:before="156" w:beforeLines="50" w:after="156" w:afterLines="50"/>
        <w:ind w:left="283"/>
        <w:rPr>
          <w:rFonts w:hAnsi="黑体"/>
          <w:highlight w:val="none"/>
        </w:rPr>
      </w:pPr>
      <w:r>
        <w:rPr>
          <w:rFonts w:hint="eastAsia" w:hAnsi="黑体"/>
          <w:highlight w:val="none"/>
        </w:rPr>
        <w:t>关键控制点合格率判定</w:t>
      </w:r>
    </w:p>
    <w:p>
      <w:pPr>
        <w:pStyle w:val="58"/>
        <w:ind w:firstLine="420"/>
        <w:rPr>
          <w:highlight w:val="none"/>
        </w:rPr>
      </w:pPr>
      <w:bookmarkStart w:id="6" w:name="OLE_LINK3"/>
      <w:r>
        <w:rPr>
          <w:rFonts w:hint="eastAsia"/>
          <w:highlight w:val="none"/>
        </w:rPr>
        <w:t>关键控制点按《冲压件检验指导书》要求执行。</w:t>
      </w:r>
    </w:p>
    <w:p>
      <w:pPr>
        <w:pStyle w:val="58"/>
        <w:ind w:firstLine="420"/>
        <w:rPr>
          <w:highlight w:val="none"/>
        </w:rPr>
      </w:pPr>
      <w:r>
        <w:rPr>
          <w:rFonts w:hint="eastAsia"/>
          <w:highlight w:val="none"/>
        </w:rPr>
        <w:t>关键控制点不单独测量，只需要在全尺寸测量成绩表中分类统计即可，其达到每批次的质量指标则视为关键点合格。</w:t>
      </w:r>
      <w:bookmarkEnd w:id="6"/>
    </w:p>
    <w:p>
      <w:pPr>
        <w:pStyle w:val="60"/>
        <w:spacing w:before="156" w:beforeLines="50" w:after="156" w:afterLines="50"/>
        <w:ind w:left="283"/>
        <w:rPr>
          <w:rFonts w:hAnsi="黑体"/>
        </w:rPr>
      </w:pPr>
      <w:r>
        <w:rPr>
          <w:rFonts w:hint="eastAsia" w:hAnsi="黑体"/>
        </w:rPr>
        <w:t>模具开发各阶段尺寸质量要求</w:t>
      </w:r>
    </w:p>
    <w:p>
      <w:pPr>
        <w:pStyle w:val="58"/>
        <w:ind w:firstLine="420"/>
        <w:rPr>
          <w:bCs/>
        </w:rPr>
      </w:pPr>
      <w:r>
        <w:rPr>
          <w:rFonts w:hint="eastAsia"/>
          <w:bCs/>
        </w:rPr>
        <w:t>每批次零件的全尺寸合格率、关键尺寸合格率及基准合格率达到指标则视为零件合格。</w:t>
      </w:r>
    </w:p>
    <w:p>
      <w:pPr>
        <w:tabs>
          <w:tab w:val="left" w:pos="0"/>
        </w:tabs>
        <w:ind w:right="420"/>
        <w:jc w:val="center"/>
        <w:rPr>
          <w:rFonts w:asciiTheme="minorEastAsia" w:hAnsiTheme="minorEastAsia" w:eastAsiaTheme="minorEastAsia"/>
          <w:b/>
          <w:bCs/>
          <w:color w:val="000000" w:themeColor="text1"/>
          <w:szCs w:val="21"/>
        </w:rPr>
      </w:pPr>
      <w:r>
        <w:rPr>
          <w:rFonts w:hint="eastAsia" w:asciiTheme="minorEastAsia" w:hAnsiTheme="minorEastAsia" w:eastAsiaTheme="minorEastAsia"/>
          <w:b/>
          <w:bCs/>
          <w:color w:val="000000" w:themeColor="text1"/>
          <w:szCs w:val="21"/>
        </w:rPr>
        <w:t>表</w:t>
      </w:r>
      <w:r>
        <w:rPr>
          <w:rFonts w:asciiTheme="minorEastAsia" w:hAnsiTheme="minorEastAsia" w:eastAsiaTheme="minorEastAsia"/>
          <w:b/>
          <w:bCs/>
          <w:color w:val="000000" w:themeColor="text1"/>
          <w:szCs w:val="21"/>
        </w:rPr>
        <w:t>4</w:t>
      </w:r>
      <w:r>
        <w:rPr>
          <w:rFonts w:hint="eastAsia" w:asciiTheme="minorEastAsia" w:hAnsiTheme="minorEastAsia" w:eastAsiaTheme="minorEastAsia"/>
          <w:b/>
          <w:bCs/>
          <w:color w:val="000000" w:themeColor="text1"/>
          <w:szCs w:val="21"/>
        </w:rPr>
        <w:t>：模具开发各阶段质量要求</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559"/>
        <w:gridCol w:w="1560"/>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68" w:type="dxa"/>
          </w:tcPr>
          <w:p>
            <w:pPr>
              <w:adjustRightInd w:val="0"/>
              <w:snapToGrid w:val="0"/>
              <w:spacing w:line="400" w:lineRule="exact"/>
              <w:jc w:val="center"/>
              <w:rPr>
                <w:rFonts w:ascii="宋体" w:hAnsi="宋体"/>
                <w:bCs/>
                <w:color w:val="000000" w:themeColor="text1"/>
                <w:kern w:val="0"/>
                <w:szCs w:val="21"/>
                <w:lang w:val="zh-CN"/>
              </w:rPr>
            </w:pPr>
            <w:r>
              <w:rPr>
                <w:rFonts w:hint="eastAsia" w:ascii="宋体" w:hAnsi="宋体"/>
                <w:bCs/>
                <w:color w:val="000000" w:themeColor="text1"/>
                <w:kern w:val="0"/>
                <w:szCs w:val="21"/>
                <w:lang w:val="zh-CN"/>
              </w:rPr>
              <w:t>项  目</w:t>
            </w:r>
          </w:p>
        </w:tc>
        <w:tc>
          <w:tcPr>
            <w:tcW w:w="1417" w:type="dxa"/>
          </w:tcPr>
          <w:p>
            <w:pPr>
              <w:adjustRightInd w:val="0"/>
              <w:snapToGrid w:val="0"/>
              <w:spacing w:line="40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半工装样件</w:t>
            </w:r>
          </w:p>
        </w:tc>
        <w:tc>
          <w:tcPr>
            <w:tcW w:w="1559" w:type="dxa"/>
          </w:tcPr>
          <w:p>
            <w:pPr>
              <w:adjustRightInd w:val="0"/>
              <w:snapToGrid w:val="0"/>
              <w:spacing w:line="400" w:lineRule="exact"/>
              <w:jc w:val="center"/>
              <w:rPr>
                <w:rFonts w:ascii="宋体" w:hAnsi="宋体"/>
                <w:bCs/>
                <w:color w:val="000000" w:themeColor="text1"/>
                <w:kern w:val="0"/>
                <w:szCs w:val="21"/>
                <w:lang w:val="zh-CN"/>
              </w:rPr>
            </w:pPr>
            <w:r>
              <w:rPr>
                <w:rFonts w:hint="eastAsia" w:ascii="宋体" w:hAnsi="宋体" w:cs="宋体"/>
                <w:bCs/>
                <w:color w:val="000000" w:themeColor="text1"/>
                <w:kern w:val="0"/>
                <w:szCs w:val="21"/>
              </w:rPr>
              <w:t>全序样件</w:t>
            </w:r>
          </w:p>
        </w:tc>
        <w:tc>
          <w:tcPr>
            <w:tcW w:w="1560" w:type="dxa"/>
          </w:tcPr>
          <w:p>
            <w:pPr>
              <w:adjustRightInd w:val="0"/>
              <w:snapToGrid w:val="0"/>
              <w:spacing w:line="400" w:lineRule="exact"/>
              <w:jc w:val="center"/>
              <w:rPr>
                <w:rFonts w:ascii="宋体" w:hAnsi="宋体"/>
                <w:bCs/>
                <w:color w:val="000000" w:themeColor="text1"/>
                <w:kern w:val="0"/>
                <w:szCs w:val="21"/>
                <w:lang w:val="zh-CN"/>
              </w:rPr>
            </w:pPr>
            <w:r>
              <w:rPr>
                <w:rFonts w:hint="eastAsia" w:ascii="宋体" w:hAnsi="宋体" w:cs="宋体"/>
                <w:bCs/>
                <w:color w:val="000000" w:themeColor="text1"/>
                <w:kern w:val="0"/>
                <w:szCs w:val="21"/>
              </w:rPr>
              <w:t>模具预验收</w:t>
            </w:r>
          </w:p>
        </w:tc>
        <w:tc>
          <w:tcPr>
            <w:tcW w:w="1701" w:type="dxa"/>
          </w:tcPr>
          <w:p>
            <w:pPr>
              <w:widowControl/>
              <w:adjustRightInd w:val="0"/>
              <w:snapToGrid w:val="0"/>
              <w:spacing w:line="40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模具回厂</w:t>
            </w:r>
          </w:p>
        </w:tc>
        <w:tc>
          <w:tcPr>
            <w:tcW w:w="1701" w:type="dxa"/>
          </w:tcPr>
          <w:p>
            <w:pPr>
              <w:widowControl/>
              <w:adjustRightInd w:val="0"/>
              <w:snapToGrid w:val="0"/>
              <w:spacing w:line="400" w:lineRule="exact"/>
              <w:jc w:val="center"/>
              <w:rPr>
                <w:rFonts w:ascii="宋体" w:hAnsi="宋体" w:cs="宋体"/>
                <w:bCs/>
                <w:color w:val="000000" w:themeColor="text1"/>
                <w:kern w:val="0"/>
                <w:szCs w:val="21"/>
              </w:rPr>
            </w:pPr>
            <w:r>
              <w:rPr>
                <w:rFonts w:hint="eastAsia" w:ascii="宋体" w:hAnsi="宋体" w:cs="宋体"/>
                <w:bCs/>
                <w:color w:val="000000" w:themeColor="text1"/>
                <w:kern w:val="0"/>
                <w:szCs w:val="21"/>
              </w:rPr>
              <w:t>SOP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8" w:type="dxa"/>
          </w:tcPr>
          <w:p>
            <w:pPr>
              <w:adjustRightInd w:val="0"/>
              <w:snapToGrid w:val="0"/>
              <w:spacing w:line="400" w:lineRule="exact"/>
              <w:ind w:left="420" w:right="31" w:rightChars="15" w:hanging="420"/>
              <w:jc w:val="center"/>
              <w:rPr>
                <w:rFonts w:ascii="宋体" w:hAnsi="宋体"/>
                <w:color w:val="000000" w:themeColor="text1"/>
                <w:kern w:val="0"/>
                <w:sz w:val="20"/>
                <w:szCs w:val="20"/>
                <w:lang w:val="zh-CN"/>
              </w:rPr>
            </w:pPr>
            <w:r>
              <w:rPr>
                <w:rFonts w:hint="eastAsia" w:ascii="宋体" w:hAnsi="宋体"/>
                <w:color w:val="000000" w:themeColor="text1"/>
                <w:kern w:val="0"/>
                <w:sz w:val="20"/>
                <w:szCs w:val="20"/>
                <w:lang w:val="zh-CN"/>
              </w:rPr>
              <w:t>全尺寸合格率</w:t>
            </w:r>
          </w:p>
        </w:tc>
        <w:tc>
          <w:tcPr>
            <w:tcW w:w="1417" w:type="dxa"/>
          </w:tcPr>
          <w:p>
            <w:pPr>
              <w:adjustRightInd w:val="0"/>
              <w:snapToGrid w:val="0"/>
              <w:spacing w:line="400" w:lineRule="exact"/>
              <w:ind w:left="42" w:leftChars="20"/>
              <w:jc w:val="center"/>
              <w:rPr>
                <w:rFonts w:ascii="宋体" w:hAnsi="宋体"/>
                <w:bCs/>
                <w:color w:val="000000" w:themeColor="text1"/>
                <w:sz w:val="20"/>
                <w:szCs w:val="20"/>
              </w:rPr>
            </w:pPr>
            <w:r>
              <w:rPr>
                <w:rFonts w:ascii="宋体" w:hAnsi="宋体"/>
                <w:bCs/>
                <w:color w:val="000000" w:themeColor="text1"/>
                <w:sz w:val="20"/>
                <w:szCs w:val="20"/>
              </w:rPr>
              <w:t>7</w:t>
            </w:r>
            <w:r>
              <w:rPr>
                <w:rFonts w:hint="eastAsia" w:ascii="宋体" w:hAnsi="宋体"/>
                <w:bCs/>
                <w:color w:val="000000" w:themeColor="text1"/>
                <w:sz w:val="20"/>
                <w:szCs w:val="20"/>
              </w:rPr>
              <w:t>0%</w:t>
            </w:r>
          </w:p>
        </w:tc>
        <w:tc>
          <w:tcPr>
            <w:tcW w:w="1559" w:type="dxa"/>
          </w:tcPr>
          <w:p>
            <w:pPr>
              <w:adjustRightInd w:val="0"/>
              <w:snapToGrid w:val="0"/>
              <w:spacing w:line="400" w:lineRule="exact"/>
              <w:ind w:left="42" w:leftChars="20"/>
              <w:jc w:val="center"/>
              <w:rPr>
                <w:rFonts w:ascii="宋体" w:hAnsi="宋体"/>
                <w:bCs/>
                <w:color w:val="000000" w:themeColor="text1"/>
                <w:sz w:val="20"/>
                <w:szCs w:val="20"/>
              </w:rPr>
            </w:pPr>
            <w:r>
              <w:rPr>
                <w:rFonts w:hint="eastAsia" w:ascii="宋体" w:hAnsi="宋体"/>
                <w:bCs/>
                <w:color w:val="000000" w:themeColor="text1"/>
                <w:sz w:val="20"/>
                <w:szCs w:val="20"/>
              </w:rPr>
              <w:t>80%</w:t>
            </w:r>
          </w:p>
        </w:tc>
        <w:tc>
          <w:tcPr>
            <w:tcW w:w="1560" w:type="dxa"/>
          </w:tcPr>
          <w:p>
            <w:pPr>
              <w:adjustRightInd w:val="0"/>
              <w:snapToGrid w:val="0"/>
              <w:spacing w:line="400" w:lineRule="exact"/>
              <w:ind w:left="42" w:leftChars="20"/>
              <w:jc w:val="center"/>
              <w:rPr>
                <w:rFonts w:ascii="宋体" w:hAnsi="宋体"/>
                <w:bCs/>
                <w:color w:val="000000" w:themeColor="text1"/>
                <w:sz w:val="20"/>
                <w:szCs w:val="20"/>
              </w:rPr>
            </w:pPr>
            <w:r>
              <w:rPr>
                <w:rFonts w:hint="eastAsia" w:ascii="宋体" w:hAnsi="宋体"/>
                <w:bCs/>
                <w:color w:val="000000" w:themeColor="text1"/>
                <w:sz w:val="20"/>
                <w:szCs w:val="20"/>
              </w:rPr>
              <w:t>85%</w:t>
            </w:r>
          </w:p>
        </w:tc>
        <w:tc>
          <w:tcPr>
            <w:tcW w:w="1701" w:type="dxa"/>
          </w:tcPr>
          <w:p>
            <w:pPr>
              <w:adjustRightInd w:val="0"/>
              <w:snapToGrid w:val="0"/>
              <w:spacing w:line="400" w:lineRule="exact"/>
              <w:ind w:left="42" w:leftChars="20"/>
              <w:jc w:val="center"/>
              <w:rPr>
                <w:rFonts w:ascii="宋体" w:hAnsi="宋体"/>
                <w:color w:val="000000" w:themeColor="text1"/>
                <w:kern w:val="0"/>
                <w:sz w:val="20"/>
                <w:szCs w:val="20"/>
                <w:lang w:val="zh-CN"/>
              </w:rPr>
            </w:pPr>
            <w:r>
              <w:rPr>
                <w:rFonts w:hint="eastAsia" w:ascii="宋体" w:hAnsi="宋体"/>
                <w:bCs/>
                <w:color w:val="000000" w:themeColor="text1"/>
                <w:sz w:val="20"/>
                <w:szCs w:val="20"/>
              </w:rPr>
              <w:t>90%</w:t>
            </w:r>
          </w:p>
        </w:tc>
        <w:tc>
          <w:tcPr>
            <w:tcW w:w="1701" w:type="dxa"/>
          </w:tcPr>
          <w:p>
            <w:pPr>
              <w:adjustRightInd w:val="0"/>
              <w:snapToGrid w:val="0"/>
              <w:spacing w:line="400" w:lineRule="exact"/>
              <w:ind w:left="42" w:leftChars="20"/>
              <w:jc w:val="center"/>
              <w:rPr>
                <w:rFonts w:ascii="宋体" w:hAnsi="宋体"/>
                <w:color w:val="000000" w:themeColor="text1"/>
                <w:kern w:val="0"/>
                <w:sz w:val="20"/>
                <w:szCs w:val="20"/>
                <w:lang w:val="zh-CN"/>
              </w:rPr>
            </w:pPr>
            <w:r>
              <w:rPr>
                <w:rFonts w:hint="eastAsia" w:ascii="宋体" w:hAnsi="宋体"/>
                <w:color w:val="000000" w:themeColor="text1"/>
                <w:kern w:val="0"/>
                <w:sz w:val="20"/>
                <w:szCs w:val="20"/>
                <w:lang w:val="zh-CN"/>
              </w:rPr>
              <w:t>9</w:t>
            </w:r>
            <w:r>
              <w:rPr>
                <w:rFonts w:ascii="宋体" w:hAnsi="宋体"/>
                <w:color w:val="000000" w:themeColor="text1"/>
                <w:kern w:val="0"/>
                <w:sz w:val="20"/>
                <w:szCs w:val="20"/>
                <w:lang w:val="zh-CN"/>
              </w:rPr>
              <w:t>2</w:t>
            </w:r>
            <w:r>
              <w:rPr>
                <w:rFonts w:hint="eastAsia" w:ascii="宋体" w:hAnsi="宋体"/>
                <w:color w:val="000000" w:themeColor="text1"/>
                <w:kern w:val="0"/>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8" w:type="dxa"/>
          </w:tcPr>
          <w:p>
            <w:pPr>
              <w:adjustRightInd w:val="0"/>
              <w:snapToGrid w:val="0"/>
              <w:spacing w:line="400" w:lineRule="exact"/>
              <w:ind w:left="420" w:right="31" w:rightChars="15" w:hanging="420"/>
              <w:jc w:val="center"/>
              <w:rPr>
                <w:rFonts w:ascii="宋体" w:hAnsi="宋体"/>
                <w:color w:val="000000" w:themeColor="text1"/>
                <w:kern w:val="0"/>
                <w:sz w:val="20"/>
                <w:szCs w:val="20"/>
                <w:lang w:val="zh-CN"/>
              </w:rPr>
            </w:pPr>
            <w:r>
              <w:rPr>
                <w:rFonts w:hint="eastAsia" w:ascii="宋体" w:hAnsi="宋体"/>
                <w:kern w:val="0"/>
                <w:sz w:val="20"/>
                <w:szCs w:val="20"/>
                <w:lang w:val="zh-CN"/>
              </w:rPr>
              <w:t>关键尺寸合</w:t>
            </w:r>
            <w:r>
              <w:rPr>
                <w:rFonts w:hint="eastAsia" w:ascii="宋体" w:hAnsi="宋体"/>
                <w:color w:val="000000" w:themeColor="text1"/>
                <w:kern w:val="0"/>
                <w:sz w:val="20"/>
                <w:szCs w:val="20"/>
                <w:lang w:val="zh-CN"/>
              </w:rPr>
              <w:t>格率</w:t>
            </w:r>
          </w:p>
        </w:tc>
        <w:tc>
          <w:tcPr>
            <w:tcW w:w="1417" w:type="dxa"/>
          </w:tcPr>
          <w:p>
            <w:pPr>
              <w:adjustRightInd w:val="0"/>
              <w:snapToGrid w:val="0"/>
              <w:spacing w:line="400" w:lineRule="exact"/>
              <w:ind w:left="6"/>
              <w:jc w:val="center"/>
              <w:rPr>
                <w:rFonts w:ascii="宋体" w:hAnsi="宋体"/>
                <w:bCs/>
                <w:color w:val="000000" w:themeColor="text1"/>
                <w:sz w:val="20"/>
                <w:szCs w:val="20"/>
              </w:rPr>
            </w:pPr>
            <w:r>
              <w:rPr>
                <w:rFonts w:ascii="宋体" w:hAnsi="宋体"/>
                <w:bCs/>
                <w:color w:val="000000" w:themeColor="text1"/>
                <w:sz w:val="20"/>
                <w:szCs w:val="20"/>
              </w:rPr>
              <w:t>-</w:t>
            </w:r>
          </w:p>
        </w:tc>
        <w:tc>
          <w:tcPr>
            <w:tcW w:w="1559" w:type="dxa"/>
          </w:tcPr>
          <w:p>
            <w:pPr>
              <w:adjustRightInd w:val="0"/>
              <w:snapToGrid w:val="0"/>
              <w:spacing w:line="400" w:lineRule="exact"/>
              <w:ind w:left="6"/>
              <w:jc w:val="center"/>
              <w:rPr>
                <w:rFonts w:ascii="宋体" w:hAnsi="宋体"/>
                <w:bCs/>
                <w:color w:val="000000" w:themeColor="text1"/>
                <w:sz w:val="20"/>
                <w:szCs w:val="20"/>
              </w:rPr>
            </w:pPr>
            <w:r>
              <w:rPr>
                <w:rFonts w:ascii="宋体" w:hAnsi="宋体"/>
                <w:bCs/>
                <w:color w:val="000000" w:themeColor="text1"/>
                <w:sz w:val="20"/>
                <w:szCs w:val="20"/>
              </w:rPr>
              <w:t>-</w:t>
            </w:r>
          </w:p>
        </w:tc>
        <w:tc>
          <w:tcPr>
            <w:tcW w:w="1560" w:type="dxa"/>
          </w:tcPr>
          <w:p>
            <w:pPr>
              <w:adjustRightInd w:val="0"/>
              <w:snapToGrid w:val="0"/>
              <w:spacing w:line="400" w:lineRule="exact"/>
              <w:ind w:left="6"/>
              <w:jc w:val="center"/>
              <w:rPr>
                <w:rFonts w:ascii="宋体" w:hAnsi="宋体"/>
                <w:bCs/>
                <w:color w:val="000000" w:themeColor="text1"/>
                <w:sz w:val="20"/>
                <w:szCs w:val="20"/>
              </w:rPr>
            </w:pPr>
            <w:r>
              <w:rPr>
                <w:rFonts w:hint="eastAsia" w:ascii="宋体" w:hAnsi="宋体"/>
                <w:bCs/>
                <w:color w:val="000000" w:themeColor="text1"/>
                <w:sz w:val="20"/>
                <w:szCs w:val="20"/>
              </w:rPr>
              <w:t>95%</w:t>
            </w:r>
          </w:p>
        </w:tc>
        <w:tc>
          <w:tcPr>
            <w:tcW w:w="1701" w:type="dxa"/>
          </w:tcPr>
          <w:p>
            <w:pPr>
              <w:adjustRightInd w:val="0"/>
              <w:snapToGrid w:val="0"/>
              <w:spacing w:line="400" w:lineRule="exact"/>
              <w:ind w:left="6"/>
              <w:jc w:val="center"/>
              <w:rPr>
                <w:rFonts w:ascii="宋体" w:hAnsi="宋体"/>
                <w:bCs/>
                <w:color w:val="000000" w:themeColor="text1"/>
                <w:sz w:val="20"/>
                <w:szCs w:val="20"/>
              </w:rPr>
            </w:pPr>
            <w:r>
              <w:rPr>
                <w:rFonts w:hint="eastAsia" w:ascii="宋体" w:hAnsi="宋体"/>
                <w:bCs/>
                <w:color w:val="000000" w:themeColor="text1"/>
                <w:sz w:val="20"/>
                <w:szCs w:val="20"/>
              </w:rPr>
              <w:t>100%</w:t>
            </w:r>
          </w:p>
        </w:tc>
        <w:tc>
          <w:tcPr>
            <w:tcW w:w="1701" w:type="dxa"/>
          </w:tcPr>
          <w:p>
            <w:pPr>
              <w:adjustRightInd w:val="0"/>
              <w:snapToGrid w:val="0"/>
              <w:spacing w:line="400" w:lineRule="exact"/>
              <w:ind w:left="6"/>
              <w:jc w:val="center"/>
              <w:rPr>
                <w:rFonts w:ascii="宋体" w:hAnsi="宋体"/>
                <w:bCs/>
                <w:color w:val="000000" w:themeColor="text1"/>
                <w:sz w:val="20"/>
                <w:szCs w:val="20"/>
              </w:rPr>
            </w:pPr>
            <w:r>
              <w:rPr>
                <w:rFonts w:hint="eastAsia" w:ascii="宋体" w:hAnsi="宋体"/>
                <w:bCs/>
                <w:color w:val="000000" w:themeColor="text1"/>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68" w:type="dxa"/>
            <w:vAlign w:val="center"/>
          </w:tcPr>
          <w:p>
            <w:pPr>
              <w:adjustRightInd w:val="0"/>
              <w:snapToGrid w:val="0"/>
              <w:spacing w:line="400" w:lineRule="exact"/>
              <w:ind w:left="420" w:right="31" w:rightChars="15" w:hanging="420"/>
              <w:jc w:val="center"/>
              <w:rPr>
                <w:rFonts w:ascii="宋体" w:hAnsi="宋体"/>
                <w:color w:val="000000" w:themeColor="text1"/>
                <w:kern w:val="0"/>
                <w:sz w:val="20"/>
                <w:szCs w:val="20"/>
                <w:lang w:val="zh-CN"/>
              </w:rPr>
            </w:pPr>
            <w:r>
              <w:rPr>
                <w:rFonts w:hint="eastAsia" w:ascii="宋体" w:hAnsi="宋体"/>
                <w:color w:val="000000" w:themeColor="text1"/>
                <w:kern w:val="0"/>
                <w:sz w:val="20"/>
                <w:szCs w:val="20"/>
                <w:lang w:val="zh-CN"/>
              </w:rPr>
              <w:t>基准合格率</w:t>
            </w:r>
          </w:p>
        </w:tc>
        <w:tc>
          <w:tcPr>
            <w:tcW w:w="1417" w:type="dxa"/>
          </w:tcPr>
          <w:p>
            <w:pPr>
              <w:adjustRightInd w:val="0"/>
              <w:snapToGrid w:val="0"/>
              <w:spacing w:line="400" w:lineRule="exact"/>
              <w:ind w:left="6"/>
              <w:jc w:val="center"/>
              <w:rPr>
                <w:rFonts w:ascii="宋体" w:hAnsi="宋体"/>
                <w:bCs/>
                <w:color w:val="000000" w:themeColor="text1"/>
                <w:sz w:val="20"/>
                <w:szCs w:val="20"/>
              </w:rPr>
            </w:pPr>
            <w:r>
              <w:rPr>
                <w:rFonts w:hint="eastAsia" w:ascii="宋体" w:hAnsi="宋体"/>
                <w:bCs/>
                <w:color w:val="000000" w:themeColor="text1"/>
                <w:sz w:val="20"/>
                <w:szCs w:val="20"/>
              </w:rPr>
              <w:t xml:space="preserve">基准孔：100%   </w:t>
            </w:r>
            <w:r>
              <w:rPr>
                <w:rFonts w:hint="eastAsia" w:ascii="宋体" w:hAnsi="宋体"/>
                <w:bCs/>
                <w:color w:val="000000" w:themeColor="text1"/>
                <w:sz w:val="20"/>
                <w:szCs w:val="20"/>
              </w:rPr>
              <w:br w:type="textWrapping"/>
            </w:r>
            <w:r>
              <w:rPr>
                <w:rFonts w:hint="eastAsia" w:ascii="宋体" w:hAnsi="宋体"/>
                <w:bCs/>
                <w:color w:val="000000" w:themeColor="text1"/>
                <w:sz w:val="20"/>
                <w:szCs w:val="20"/>
              </w:rPr>
              <w:t>基准面：</w:t>
            </w:r>
            <w:r>
              <w:rPr>
                <w:rFonts w:ascii="宋体" w:hAnsi="宋体"/>
                <w:bCs/>
                <w:color w:val="000000" w:themeColor="text1"/>
                <w:sz w:val="20"/>
                <w:szCs w:val="20"/>
              </w:rPr>
              <w:t>8</w:t>
            </w:r>
            <w:r>
              <w:rPr>
                <w:rFonts w:hint="eastAsia" w:ascii="宋体" w:hAnsi="宋体"/>
                <w:bCs/>
                <w:color w:val="000000" w:themeColor="text1"/>
                <w:sz w:val="20"/>
                <w:szCs w:val="20"/>
              </w:rPr>
              <w:t>0%</w:t>
            </w:r>
          </w:p>
        </w:tc>
        <w:tc>
          <w:tcPr>
            <w:tcW w:w="1559" w:type="dxa"/>
          </w:tcPr>
          <w:p>
            <w:pPr>
              <w:adjustRightInd w:val="0"/>
              <w:snapToGrid w:val="0"/>
              <w:spacing w:line="400" w:lineRule="exact"/>
              <w:ind w:left="6"/>
              <w:jc w:val="center"/>
              <w:rPr>
                <w:rFonts w:ascii="宋体" w:hAnsi="宋体"/>
                <w:bCs/>
                <w:color w:val="000000" w:themeColor="text1"/>
                <w:sz w:val="20"/>
                <w:szCs w:val="20"/>
              </w:rPr>
            </w:pPr>
            <w:r>
              <w:rPr>
                <w:rFonts w:hint="eastAsia" w:ascii="宋体" w:hAnsi="宋体"/>
                <w:bCs/>
                <w:color w:val="000000" w:themeColor="text1"/>
                <w:sz w:val="20"/>
                <w:szCs w:val="20"/>
              </w:rPr>
              <w:t xml:space="preserve">基准孔：100%   </w:t>
            </w:r>
            <w:r>
              <w:rPr>
                <w:rFonts w:hint="eastAsia" w:ascii="宋体" w:hAnsi="宋体"/>
                <w:bCs/>
                <w:color w:val="000000" w:themeColor="text1"/>
                <w:sz w:val="20"/>
                <w:szCs w:val="20"/>
              </w:rPr>
              <w:br w:type="textWrapping"/>
            </w:r>
            <w:r>
              <w:rPr>
                <w:rFonts w:hint="eastAsia" w:ascii="宋体" w:hAnsi="宋体"/>
                <w:bCs/>
                <w:color w:val="000000" w:themeColor="text1"/>
                <w:sz w:val="20"/>
                <w:szCs w:val="20"/>
              </w:rPr>
              <w:t>基准面：</w:t>
            </w:r>
            <w:r>
              <w:rPr>
                <w:rFonts w:ascii="宋体" w:hAnsi="宋体"/>
                <w:bCs/>
                <w:color w:val="000000" w:themeColor="text1"/>
                <w:sz w:val="20"/>
                <w:szCs w:val="20"/>
              </w:rPr>
              <w:t>8</w:t>
            </w:r>
            <w:r>
              <w:rPr>
                <w:rFonts w:hint="eastAsia" w:ascii="宋体" w:hAnsi="宋体"/>
                <w:bCs/>
                <w:color w:val="000000" w:themeColor="text1"/>
                <w:sz w:val="20"/>
                <w:szCs w:val="20"/>
              </w:rPr>
              <w:t>0%</w:t>
            </w:r>
          </w:p>
        </w:tc>
        <w:tc>
          <w:tcPr>
            <w:tcW w:w="1560" w:type="dxa"/>
          </w:tcPr>
          <w:p>
            <w:pPr>
              <w:adjustRightInd w:val="0"/>
              <w:snapToGrid w:val="0"/>
              <w:spacing w:line="400" w:lineRule="exact"/>
              <w:ind w:left="6"/>
              <w:jc w:val="center"/>
              <w:rPr>
                <w:rFonts w:ascii="宋体" w:hAnsi="宋体"/>
                <w:bCs/>
                <w:color w:val="000000" w:themeColor="text1"/>
                <w:sz w:val="20"/>
                <w:szCs w:val="20"/>
              </w:rPr>
            </w:pPr>
            <w:r>
              <w:rPr>
                <w:rFonts w:hint="eastAsia" w:ascii="宋体" w:hAnsi="宋体"/>
                <w:bCs/>
                <w:color w:val="000000" w:themeColor="text1"/>
                <w:sz w:val="20"/>
                <w:szCs w:val="20"/>
              </w:rPr>
              <w:t xml:space="preserve">基准孔：100%   </w:t>
            </w:r>
            <w:r>
              <w:rPr>
                <w:rFonts w:hint="eastAsia" w:ascii="宋体" w:hAnsi="宋体"/>
                <w:bCs/>
                <w:color w:val="000000" w:themeColor="text1"/>
                <w:sz w:val="20"/>
                <w:szCs w:val="20"/>
              </w:rPr>
              <w:br w:type="textWrapping"/>
            </w:r>
            <w:r>
              <w:rPr>
                <w:rFonts w:hint="eastAsia" w:ascii="宋体" w:hAnsi="宋体"/>
                <w:bCs/>
                <w:color w:val="000000" w:themeColor="text1"/>
                <w:sz w:val="20"/>
                <w:szCs w:val="20"/>
              </w:rPr>
              <w:t>基准面：100%</w:t>
            </w:r>
          </w:p>
        </w:tc>
        <w:tc>
          <w:tcPr>
            <w:tcW w:w="1701" w:type="dxa"/>
          </w:tcPr>
          <w:p>
            <w:pPr>
              <w:adjustRightInd w:val="0"/>
              <w:snapToGrid w:val="0"/>
              <w:spacing w:line="400" w:lineRule="exact"/>
              <w:ind w:left="210"/>
              <w:jc w:val="center"/>
              <w:rPr>
                <w:rFonts w:ascii="宋体" w:hAnsi="宋体"/>
                <w:bCs/>
                <w:color w:val="000000" w:themeColor="text1"/>
                <w:sz w:val="20"/>
                <w:szCs w:val="20"/>
              </w:rPr>
            </w:pPr>
            <w:r>
              <w:rPr>
                <w:rFonts w:hint="eastAsia" w:ascii="宋体" w:hAnsi="宋体"/>
                <w:bCs/>
                <w:color w:val="000000" w:themeColor="text1"/>
                <w:sz w:val="20"/>
                <w:szCs w:val="20"/>
              </w:rPr>
              <w:t xml:space="preserve">基准孔：100%   </w:t>
            </w:r>
            <w:r>
              <w:rPr>
                <w:rFonts w:hint="eastAsia" w:ascii="宋体" w:hAnsi="宋体"/>
                <w:bCs/>
                <w:color w:val="000000" w:themeColor="text1"/>
                <w:sz w:val="20"/>
                <w:szCs w:val="20"/>
              </w:rPr>
              <w:br w:type="textWrapping"/>
            </w:r>
            <w:r>
              <w:rPr>
                <w:rFonts w:hint="eastAsia" w:ascii="宋体" w:hAnsi="宋体"/>
                <w:bCs/>
                <w:color w:val="000000" w:themeColor="text1"/>
                <w:sz w:val="20"/>
                <w:szCs w:val="20"/>
              </w:rPr>
              <w:t>基准面：100%</w:t>
            </w:r>
          </w:p>
        </w:tc>
        <w:tc>
          <w:tcPr>
            <w:tcW w:w="1701" w:type="dxa"/>
          </w:tcPr>
          <w:p>
            <w:pPr>
              <w:adjustRightInd w:val="0"/>
              <w:snapToGrid w:val="0"/>
              <w:spacing w:line="400" w:lineRule="exact"/>
              <w:ind w:left="6"/>
              <w:jc w:val="center"/>
              <w:rPr>
                <w:rFonts w:ascii="宋体" w:hAnsi="宋体"/>
                <w:bCs/>
                <w:color w:val="000000" w:themeColor="text1"/>
                <w:sz w:val="20"/>
                <w:szCs w:val="20"/>
              </w:rPr>
            </w:pPr>
            <w:r>
              <w:rPr>
                <w:rFonts w:hint="eastAsia" w:ascii="宋体" w:hAnsi="宋体"/>
                <w:bCs/>
                <w:color w:val="000000" w:themeColor="text1"/>
                <w:sz w:val="20"/>
                <w:szCs w:val="20"/>
              </w:rPr>
              <w:t>基准孔：100%</w:t>
            </w:r>
          </w:p>
          <w:p>
            <w:pPr>
              <w:adjustRightInd w:val="0"/>
              <w:snapToGrid w:val="0"/>
              <w:spacing w:line="400" w:lineRule="exact"/>
              <w:ind w:left="6"/>
              <w:jc w:val="center"/>
              <w:rPr>
                <w:rFonts w:ascii="宋体" w:hAnsi="宋体"/>
                <w:bCs/>
                <w:color w:val="000000" w:themeColor="text1"/>
                <w:sz w:val="20"/>
                <w:szCs w:val="20"/>
              </w:rPr>
            </w:pPr>
            <w:r>
              <w:rPr>
                <w:rFonts w:hint="eastAsia" w:ascii="宋体" w:hAnsi="宋体"/>
                <w:bCs/>
                <w:color w:val="000000" w:themeColor="text1"/>
                <w:sz w:val="20"/>
                <w:szCs w:val="20"/>
              </w:rPr>
              <w:t>基准面：100%</w:t>
            </w:r>
          </w:p>
        </w:tc>
      </w:tr>
    </w:tbl>
    <w:p>
      <w:pPr>
        <w:pStyle w:val="58"/>
        <w:ind w:firstLine="420"/>
        <w:rPr>
          <w:rFonts w:hint="eastAsia"/>
        </w:rPr>
      </w:pPr>
    </w:p>
    <w:p>
      <w:pPr>
        <w:pStyle w:val="58"/>
        <w:ind w:firstLine="420"/>
      </w:pPr>
      <w:r>
        <w:rPr>
          <w:rFonts w:hint="eastAsia"/>
        </w:rPr>
        <w:t>除达成以上合格率指标外，在车型SOP节点还需满足：</w:t>
      </w:r>
    </w:p>
    <w:p>
      <w:pPr>
        <w:pStyle w:val="58"/>
        <w:numPr>
          <w:ilvl w:val="0"/>
          <w:numId w:val="12"/>
        </w:numPr>
        <w:ind w:firstLineChars="0"/>
      </w:pPr>
      <w:r>
        <w:rPr>
          <w:rFonts w:hint="eastAsia"/>
        </w:rPr>
        <w:t>不允许有影响总成匹配的测量点；</w:t>
      </w:r>
    </w:p>
    <w:p>
      <w:pPr>
        <w:pStyle w:val="58"/>
        <w:numPr>
          <w:ilvl w:val="0"/>
          <w:numId w:val="12"/>
        </w:numPr>
        <w:ind w:firstLineChars="0"/>
      </w:pPr>
      <w:r>
        <w:rPr>
          <w:rFonts w:hint="eastAsia"/>
        </w:rPr>
        <w:t>不允许有超过</w:t>
      </w:r>
      <w:r>
        <w:t>2</w:t>
      </w:r>
      <w:r>
        <w:rPr>
          <w:rFonts w:hint="eastAsia"/>
        </w:rPr>
        <w:t>倍公差的测量点；</w:t>
      </w:r>
    </w:p>
    <w:p>
      <w:pPr>
        <w:pStyle w:val="58"/>
        <w:numPr>
          <w:ilvl w:val="0"/>
          <w:numId w:val="12"/>
        </w:numPr>
        <w:ind w:firstLineChars="0"/>
      </w:pPr>
      <w:r>
        <w:rPr>
          <w:rFonts w:hint="eastAsia"/>
        </w:rPr>
        <w:t>1</w:t>
      </w:r>
      <w:r>
        <w:t>-2</w:t>
      </w:r>
      <w:r>
        <w:rPr>
          <w:rFonts w:hint="eastAsia"/>
        </w:rPr>
        <w:t>倍公差的测量点经过后工序装车验证不影响质量和匹配，并签署尺寸认可文件；</w:t>
      </w:r>
    </w:p>
    <w:p>
      <w:pPr>
        <w:pStyle w:val="58"/>
        <w:numPr>
          <w:ilvl w:val="0"/>
          <w:numId w:val="12"/>
        </w:numPr>
        <w:ind w:firstLineChars="0"/>
      </w:pPr>
      <w:r>
        <w:rPr>
          <w:rFonts w:hint="eastAsia"/>
        </w:rPr>
        <w:t>匹配法兰面平行差不超过0</w:t>
      </w:r>
      <w:r>
        <w:t>.5</w:t>
      </w:r>
      <w:r>
        <w:rPr>
          <w:rFonts w:hint="eastAsia"/>
        </w:rPr>
        <w:t>mm；</w:t>
      </w:r>
    </w:p>
    <w:p>
      <w:pPr>
        <w:pStyle w:val="58"/>
        <w:numPr>
          <w:ilvl w:val="0"/>
          <w:numId w:val="12"/>
        </w:numPr>
        <w:ind w:firstLineChars="0"/>
        <w:rPr>
          <w:rFonts w:hint="eastAsia"/>
        </w:rPr>
      </w:pPr>
      <w:r>
        <w:rPr>
          <w:rFonts w:hint="eastAsia"/>
        </w:rPr>
        <w:t>测量不同零件的同一测点，偏差范围不超过0</w:t>
      </w:r>
      <w:r>
        <w:t>.3</w:t>
      </w:r>
      <w:r>
        <w:rPr>
          <w:rFonts w:hint="eastAsia"/>
        </w:rPr>
        <w:t>mm。</w:t>
      </w:r>
      <w:bookmarkEnd w:id="5"/>
      <w:bookmarkStart w:id="7" w:name="_GoBack"/>
      <w:bookmarkEnd w:id="7"/>
    </w:p>
    <w:sectPr>
      <w:footerReference r:id="rId3" w:type="default"/>
      <w:footerReference r:id="rId4" w:type="even"/>
      <w:pgSz w:w="11907" w:h="16839"/>
      <w:pgMar w:top="1418" w:right="1134" w:bottom="1134" w:left="1418" w:header="1418"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Style w:val="37"/>
      </w:rPr>
    </w:pPr>
    <w:r>
      <w:rPr>
        <w:rStyle w:val="37"/>
      </w:rPr>
      <w:fldChar w:fldCharType="begin"/>
    </w:r>
    <w:r>
      <w:rPr>
        <w:rStyle w:val="37"/>
      </w:rPr>
      <w:instrText xml:space="preserve">PAGE  </w:instrText>
    </w:r>
    <w:r>
      <w:rPr>
        <w:rStyle w:val="37"/>
      </w:rPr>
      <w:fldChar w:fldCharType="separate"/>
    </w:r>
    <w:r>
      <w:rPr>
        <w:rStyle w:val="37"/>
      </w:rPr>
      <w:t>3</w:t>
    </w:r>
    <w:r>
      <w:rPr>
        <w:rStyle w:val="3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Style w:val="37"/>
      </w:rPr>
    </w:pPr>
    <w:r>
      <w:rPr>
        <w:rStyle w:val="37"/>
      </w:rPr>
      <w:fldChar w:fldCharType="begin"/>
    </w:r>
    <w:r>
      <w:rPr>
        <w:rStyle w:val="37"/>
      </w:rPr>
      <w:instrText xml:space="preserve">PAGE  </w:instrText>
    </w:r>
    <w:r>
      <w:rPr>
        <w:rStyle w:val="37"/>
      </w:rPr>
      <w:fldChar w:fldCharType="separate"/>
    </w:r>
    <w:r>
      <w:rPr>
        <w:rStyle w:val="37"/>
      </w:rPr>
      <w:t>2</w:t>
    </w:r>
    <w:r>
      <w:rPr>
        <w:rStyle w:val="37"/>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5917C3"/>
    <w:multiLevelType w:val="multilevel"/>
    <w:tmpl w:val="2C5917C3"/>
    <w:lvl w:ilvl="0" w:tentative="0">
      <w:start w:val="1"/>
      <w:numFmt w:val="none"/>
      <w:pStyle w:val="112"/>
      <w:suff w:val="nothing"/>
      <w:lvlText w:val="%1——"/>
      <w:lvlJc w:val="left"/>
      <w:pPr>
        <w:ind w:left="833" w:hanging="408"/>
      </w:pPr>
      <w:rPr>
        <w:rFonts w:hint="eastAsia"/>
      </w:rPr>
    </w:lvl>
    <w:lvl w:ilvl="1" w:tentative="0">
      <w:start w:val="1"/>
      <w:numFmt w:val="bullet"/>
      <w:pStyle w:val="113"/>
      <w:lvlText w:val=""/>
      <w:lvlJc w:val="left"/>
      <w:pPr>
        <w:tabs>
          <w:tab w:val="left" w:pos="760"/>
        </w:tabs>
        <w:ind w:left="1264" w:hanging="413"/>
      </w:pPr>
      <w:rPr>
        <w:rFonts w:hint="default" w:ascii="Symbol" w:hAnsi="Symbol"/>
        <w:color w:val="auto"/>
      </w:rPr>
    </w:lvl>
    <w:lvl w:ilvl="2" w:tentative="0">
      <w:start w:val="1"/>
      <w:numFmt w:val="bullet"/>
      <w:pStyle w:val="11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07E65F9"/>
    <w:multiLevelType w:val="multilevel"/>
    <w:tmpl w:val="407E65F9"/>
    <w:lvl w:ilvl="0" w:tentative="0">
      <w:start w:val="1"/>
      <w:numFmt w:val="none"/>
      <w:pStyle w:val="87"/>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96E4D7B"/>
    <w:multiLevelType w:val="multilevel"/>
    <w:tmpl w:val="496E4D7B"/>
    <w:lvl w:ilvl="0" w:tentative="0">
      <w:start w:val="1"/>
      <w:numFmt w:val="none"/>
      <w:pStyle w:val="10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20C271C"/>
    <w:multiLevelType w:val="multilevel"/>
    <w:tmpl w:val="620C271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46260FA"/>
    <w:multiLevelType w:val="multilevel"/>
    <w:tmpl w:val="646260FA"/>
    <w:lvl w:ilvl="0" w:tentative="0">
      <w:start w:val="1"/>
      <w:numFmt w:val="decimal"/>
      <w:pStyle w:val="10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75"/>
      <w:suff w:val="nothing"/>
      <w:lvlText w:val="附　录　%1"/>
      <w:lvlJc w:val="left"/>
      <w:pPr>
        <w:ind w:left="0" w:firstLine="0"/>
      </w:pPr>
      <w:rPr>
        <w:rFonts w:hint="eastAsia" w:ascii="黑体" w:hAnsi="Times New Roman" w:eastAsia="黑体"/>
        <w:b w:val="0"/>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8"/>
      <w:suff w:val="nothing"/>
      <w:lvlText w:val="%1.%2.%3　"/>
      <w:lvlJc w:val="left"/>
      <w:pPr>
        <w:ind w:left="0" w:firstLine="0"/>
      </w:pPr>
      <w:rPr>
        <w:rFonts w:hint="eastAsia" w:ascii="黑体" w:hAnsi="Times New Roman" w:eastAsia="黑体"/>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81"/>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56"/>
      <w:suff w:val="nothing"/>
      <w:lvlText w:val="%1"/>
      <w:lvlJc w:val="left"/>
      <w:pPr>
        <w:ind w:left="0" w:firstLine="0"/>
      </w:pPr>
      <w:rPr>
        <w:rFonts w:hint="default" w:ascii="Times New Roman" w:hAnsi="Times New Roman"/>
        <w:b/>
        <w:i w:val="0"/>
        <w:sz w:val="21"/>
      </w:rPr>
    </w:lvl>
    <w:lvl w:ilvl="1" w:tentative="0">
      <w:start w:val="1"/>
      <w:numFmt w:val="decimal"/>
      <w:pStyle w:val="59"/>
      <w:suff w:val="nothing"/>
      <w:lvlText w:val="%1%2　"/>
      <w:lvlJc w:val="left"/>
      <w:pPr>
        <w:ind w:left="0" w:firstLine="0"/>
      </w:pPr>
      <w:rPr>
        <w:rFonts w:hint="eastAsia" w:ascii="黑体" w:hAnsi="Times New Roman" w:eastAsia="黑体"/>
        <w:b w:val="0"/>
        <w:i w:val="0"/>
        <w:sz w:val="21"/>
      </w:rPr>
    </w:lvl>
    <w:lvl w:ilvl="2" w:tentative="0">
      <w:start w:val="1"/>
      <w:numFmt w:val="decimal"/>
      <w:pStyle w:val="60"/>
      <w:suff w:val="nothing"/>
      <w:lvlText w:val="%1%2.%3　"/>
      <w:lvlJc w:val="left"/>
      <w:pPr>
        <w:ind w:left="2552" w:firstLine="0"/>
      </w:pPr>
      <w:rPr>
        <w:rFonts w:hint="eastAsia" w:ascii="黑体" w:hAnsi="Times New Roman" w:eastAsia="黑体"/>
        <w:b w:val="0"/>
        <w:i w:val="0"/>
        <w:sz w:val="21"/>
      </w:rPr>
    </w:lvl>
    <w:lvl w:ilvl="3" w:tentative="0">
      <w:start w:val="1"/>
      <w:numFmt w:val="decimal"/>
      <w:pStyle w:val="61"/>
      <w:suff w:val="nothing"/>
      <w:lvlText w:val="%1%2.%3.%4　"/>
      <w:lvlJc w:val="left"/>
      <w:pPr>
        <w:ind w:left="3827" w:firstLine="0"/>
      </w:pPr>
      <w:rPr>
        <w:rFonts w:hint="eastAsia" w:ascii="黑体" w:hAnsi="Times New Roman" w:eastAsia="黑体"/>
        <w:b w:val="0"/>
        <w:i w:val="0"/>
        <w:sz w:val="21"/>
      </w:rPr>
    </w:lvl>
    <w:lvl w:ilvl="4" w:tentative="0">
      <w:start w:val="1"/>
      <w:numFmt w:val="decimal"/>
      <w:pStyle w:val="92"/>
      <w:suff w:val="nothing"/>
      <w:lvlText w:val="%1%2.%3.%4.%5　"/>
      <w:lvlJc w:val="left"/>
      <w:pPr>
        <w:ind w:left="708"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0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0"/>
  </w:num>
  <w:num w:numId="3">
    <w:abstractNumId w:val="8"/>
  </w:num>
  <w:num w:numId="4">
    <w:abstractNumId w:val="11"/>
  </w:num>
  <w:num w:numId="5">
    <w:abstractNumId w:val="3"/>
  </w:num>
  <w:num w:numId="6">
    <w:abstractNumId w:val="1"/>
  </w:num>
  <w:num w:numId="7">
    <w:abstractNumId w:val="7"/>
  </w:num>
  <w:num w:numId="8">
    <w:abstractNumId w:val="5"/>
  </w:num>
  <w:num w:numId="9">
    <w:abstractNumId w:val="10"/>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0EC3"/>
    <w:rsid w:val="00003F6E"/>
    <w:rsid w:val="0000549D"/>
    <w:rsid w:val="00007E5E"/>
    <w:rsid w:val="000113CE"/>
    <w:rsid w:val="00012962"/>
    <w:rsid w:val="00014075"/>
    <w:rsid w:val="0001603E"/>
    <w:rsid w:val="000221B8"/>
    <w:rsid w:val="00022B64"/>
    <w:rsid w:val="00032B46"/>
    <w:rsid w:val="00040C3E"/>
    <w:rsid w:val="000423A1"/>
    <w:rsid w:val="000438EA"/>
    <w:rsid w:val="00044AD6"/>
    <w:rsid w:val="00046865"/>
    <w:rsid w:val="00052F22"/>
    <w:rsid w:val="0005433B"/>
    <w:rsid w:val="00061BE0"/>
    <w:rsid w:val="0006350A"/>
    <w:rsid w:val="000764CF"/>
    <w:rsid w:val="000764DA"/>
    <w:rsid w:val="00076D91"/>
    <w:rsid w:val="00077C4B"/>
    <w:rsid w:val="000847B0"/>
    <w:rsid w:val="000856C4"/>
    <w:rsid w:val="00086091"/>
    <w:rsid w:val="00096750"/>
    <w:rsid w:val="000A1B74"/>
    <w:rsid w:val="000A2E3B"/>
    <w:rsid w:val="000A3988"/>
    <w:rsid w:val="000A41B5"/>
    <w:rsid w:val="000A5D7F"/>
    <w:rsid w:val="000A72BF"/>
    <w:rsid w:val="000C050A"/>
    <w:rsid w:val="000C13E1"/>
    <w:rsid w:val="000C3E1F"/>
    <w:rsid w:val="000C6B7F"/>
    <w:rsid w:val="000D0A56"/>
    <w:rsid w:val="000D3D62"/>
    <w:rsid w:val="000D47A3"/>
    <w:rsid w:val="000D4F89"/>
    <w:rsid w:val="000D6454"/>
    <w:rsid w:val="000D7303"/>
    <w:rsid w:val="000D74BB"/>
    <w:rsid w:val="000D76B3"/>
    <w:rsid w:val="000E2BFD"/>
    <w:rsid w:val="000E6CD0"/>
    <w:rsid w:val="000F1325"/>
    <w:rsid w:val="000F43E8"/>
    <w:rsid w:val="000F4AA0"/>
    <w:rsid w:val="000F55DF"/>
    <w:rsid w:val="000F59B2"/>
    <w:rsid w:val="000F5E79"/>
    <w:rsid w:val="001103F4"/>
    <w:rsid w:val="0011133E"/>
    <w:rsid w:val="0012091F"/>
    <w:rsid w:val="0012425F"/>
    <w:rsid w:val="001332A3"/>
    <w:rsid w:val="00134EE8"/>
    <w:rsid w:val="00135C30"/>
    <w:rsid w:val="00142966"/>
    <w:rsid w:val="001435B0"/>
    <w:rsid w:val="00144C43"/>
    <w:rsid w:val="00150B16"/>
    <w:rsid w:val="001575EC"/>
    <w:rsid w:val="00163E72"/>
    <w:rsid w:val="00167AD2"/>
    <w:rsid w:val="00176D7C"/>
    <w:rsid w:val="001822B2"/>
    <w:rsid w:val="00186AFF"/>
    <w:rsid w:val="001875DC"/>
    <w:rsid w:val="001932B1"/>
    <w:rsid w:val="001967D1"/>
    <w:rsid w:val="001B60D7"/>
    <w:rsid w:val="001C40FD"/>
    <w:rsid w:val="001C6F3A"/>
    <w:rsid w:val="001C71EF"/>
    <w:rsid w:val="001D1DFB"/>
    <w:rsid w:val="001D3ED5"/>
    <w:rsid w:val="001D6C65"/>
    <w:rsid w:val="001F77B6"/>
    <w:rsid w:val="0020360E"/>
    <w:rsid w:val="002050CD"/>
    <w:rsid w:val="002053EF"/>
    <w:rsid w:val="002055BA"/>
    <w:rsid w:val="00211D9E"/>
    <w:rsid w:val="00215121"/>
    <w:rsid w:val="00220B2E"/>
    <w:rsid w:val="00220BDA"/>
    <w:rsid w:val="00226D78"/>
    <w:rsid w:val="00230477"/>
    <w:rsid w:val="002304CD"/>
    <w:rsid w:val="00240FF0"/>
    <w:rsid w:val="00245087"/>
    <w:rsid w:val="00246FAD"/>
    <w:rsid w:val="0025651C"/>
    <w:rsid w:val="002602FD"/>
    <w:rsid w:val="002606AC"/>
    <w:rsid w:val="00266C25"/>
    <w:rsid w:val="002708FA"/>
    <w:rsid w:val="00276E1F"/>
    <w:rsid w:val="00283D6B"/>
    <w:rsid w:val="002856E8"/>
    <w:rsid w:val="0028573C"/>
    <w:rsid w:val="0029176F"/>
    <w:rsid w:val="0029187D"/>
    <w:rsid w:val="00295398"/>
    <w:rsid w:val="002A2A54"/>
    <w:rsid w:val="002A6DD0"/>
    <w:rsid w:val="002C0029"/>
    <w:rsid w:val="002C10B1"/>
    <w:rsid w:val="002C183D"/>
    <w:rsid w:val="002C1B5F"/>
    <w:rsid w:val="002C417E"/>
    <w:rsid w:val="002C674B"/>
    <w:rsid w:val="002C796C"/>
    <w:rsid w:val="002D2BC9"/>
    <w:rsid w:val="002D32C0"/>
    <w:rsid w:val="002D7AC9"/>
    <w:rsid w:val="002E3B6F"/>
    <w:rsid w:val="002E59D4"/>
    <w:rsid w:val="002E6E86"/>
    <w:rsid w:val="002F124C"/>
    <w:rsid w:val="002F7795"/>
    <w:rsid w:val="003003D5"/>
    <w:rsid w:val="0030236E"/>
    <w:rsid w:val="0030280F"/>
    <w:rsid w:val="00303B0E"/>
    <w:rsid w:val="003075D3"/>
    <w:rsid w:val="0031071A"/>
    <w:rsid w:val="0031410F"/>
    <w:rsid w:val="00322DBD"/>
    <w:rsid w:val="00327331"/>
    <w:rsid w:val="00334710"/>
    <w:rsid w:val="00336ADD"/>
    <w:rsid w:val="00340C34"/>
    <w:rsid w:val="003447B8"/>
    <w:rsid w:val="003545D9"/>
    <w:rsid w:val="00356A7E"/>
    <w:rsid w:val="00363191"/>
    <w:rsid w:val="00363EE8"/>
    <w:rsid w:val="00372634"/>
    <w:rsid w:val="00376064"/>
    <w:rsid w:val="003828C6"/>
    <w:rsid w:val="003859F1"/>
    <w:rsid w:val="0039128A"/>
    <w:rsid w:val="0039438B"/>
    <w:rsid w:val="003B1247"/>
    <w:rsid w:val="003C0477"/>
    <w:rsid w:val="003C190B"/>
    <w:rsid w:val="003D474F"/>
    <w:rsid w:val="003D5147"/>
    <w:rsid w:val="003E206B"/>
    <w:rsid w:val="003E3AA9"/>
    <w:rsid w:val="003F0E0E"/>
    <w:rsid w:val="003F23FC"/>
    <w:rsid w:val="0040135F"/>
    <w:rsid w:val="004014C6"/>
    <w:rsid w:val="00401B58"/>
    <w:rsid w:val="00412B0D"/>
    <w:rsid w:val="00421983"/>
    <w:rsid w:val="004260ED"/>
    <w:rsid w:val="00426B5F"/>
    <w:rsid w:val="004308B5"/>
    <w:rsid w:val="00433396"/>
    <w:rsid w:val="00443872"/>
    <w:rsid w:val="00444AE1"/>
    <w:rsid w:val="00446311"/>
    <w:rsid w:val="00466191"/>
    <w:rsid w:val="00474F02"/>
    <w:rsid w:val="00475FD4"/>
    <w:rsid w:val="004857D8"/>
    <w:rsid w:val="00491FA6"/>
    <w:rsid w:val="0049668A"/>
    <w:rsid w:val="004A2092"/>
    <w:rsid w:val="004A664C"/>
    <w:rsid w:val="004A78C5"/>
    <w:rsid w:val="004B1E1A"/>
    <w:rsid w:val="004B21D1"/>
    <w:rsid w:val="004B71FE"/>
    <w:rsid w:val="004C24EB"/>
    <w:rsid w:val="004D14CD"/>
    <w:rsid w:val="004D246F"/>
    <w:rsid w:val="004D4242"/>
    <w:rsid w:val="004D58D8"/>
    <w:rsid w:val="004D71AA"/>
    <w:rsid w:val="004E7813"/>
    <w:rsid w:val="004F649B"/>
    <w:rsid w:val="00501ABA"/>
    <w:rsid w:val="0052607F"/>
    <w:rsid w:val="00544EC5"/>
    <w:rsid w:val="00551735"/>
    <w:rsid w:val="00551DD5"/>
    <w:rsid w:val="0055707F"/>
    <w:rsid w:val="005570C7"/>
    <w:rsid w:val="00561EC0"/>
    <w:rsid w:val="00563E02"/>
    <w:rsid w:val="0056619A"/>
    <w:rsid w:val="00574B0F"/>
    <w:rsid w:val="00575D16"/>
    <w:rsid w:val="005806B1"/>
    <w:rsid w:val="00583D04"/>
    <w:rsid w:val="00587161"/>
    <w:rsid w:val="00593942"/>
    <w:rsid w:val="00596EB6"/>
    <w:rsid w:val="005A0E21"/>
    <w:rsid w:val="005A3A50"/>
    <w:rsid w:val="005B10E2"/>
    <w:rsid w:val="005B1141"/>
    <w:rsid w:val="005B28DE"/>
    <w:rsid w:val="005B45AB"/>
    <w:rsid w:val="005B462B"/>
    <w:rsid w:val="005C267C"/>
    <w:rsid w:val="005C2C4B"/>
    <w:rsid w:val="005C6AF4"/>
    <w:rsid w:val="005C724B"/>
    <w:rsid w:val="005D07E0"/>
    <w:rsid w:val="005E2715"/>
    <w:rsid w:val="005E78F5"/>
    <w:rsid w:val="005F4662"/>
    <w:rsid w:val="005F468B"/>
    <w:rsid w:val="005F5815"/>
    <w:rsid w:val="005F5AA9"/>
    <w:rsid w:val="005F5C4D"/>
    <w:rsid w:val="00607137"/>
    <w:rsid w:val="006105B9"/>
    <w:rsid w:val="006154A1"/>
    <w:rsid w:val="0062005A"/>
    <w:rsid w:val="006222A9"/>
    <w:rsid w:val="00631240"/>
    <w:rsid w:val="00632CE2"/>
    <w:rsid w:val="00635C20"/>
    <w:rsid w:val="00636716"/>
    <w:rsid w:val="006426C3"/>
    <w:rsid w:val="00643743"/>
    <w:rsid w:val="00643C26"/>
    <w:rsid w:val="00643F49"/>
    <w:rsid w:val="00644191"/>
    <w:rsid w:val="00647A93"/>
    <w:rsid w:val="0065195D"/>
    <w:rsid w:val="0065293E"/>
    <w:rsid w:val="00653F0D"/>
    <w:rsid w:val="00657144"/>
    <w:rsid w:val="006661DC"/>
    <w:rsid w:val="006700F6"/>
    <w:rsid w:val="00671AB0"/>
    <w:rsid w:val="006721A2"/>
    <w:rsid w:val="00674A26"/>
    <w:rsid w:val="0067505F"/>
    <w:rsid w:val="006931C5"/>
    <w:rsid w:val="00694489"/>
    <w:rsid w:val="006A16C6"/>
    <w:rsid w:val="006B2D25"/>
    <w:rsid w:val="006B31C6"/>
    <w:rsid w:val="006B5E09"/>
    <w:rsid w:val="006B6A31"/>
    <w:rsid w:val="006C14CC"/>
    <w:rsid w:val="006C2E3A"/>
    <w:rsid w:val="006C4C5A"/>
    <w:rsid w:val="006C4F7F"/>
    <w:rsid w:val="006D40D2"/>
    <w:rsid w:val="006E73C1"/>
    <w:rsid w:val="006F7A0C"/>
    <w:rsid w:val="00704B66"/>
    <w:rsid w:val="00716AA1"/>
    <w:rsid w:val="00721284"/>
    <w:rsid w:val="007222F7"/>
    <w:rsid w:val="00733773"/>
    <w:rsid w:val="00737DC5"/>
    <w:rsid w:val="0074382D"/>
    <w:rsid w:val="00743F77"/>
    <w:rsid w:val="007520D6"/>
    <w:rsid w:val="00752B49"/>
    <w:rsid w:val="007530F2"/>
    <w:rsid w:val="00756260"/>
    <w:rsid w:val="007701DC"/>
    <w:rsid w:val="00774E9F"/>
    <w:rsid w:val="0077553E"/>
    <w:rsid w:val="0079600B"/>
    <w:rsid w:val="00797960"/>
    <w:rsid w:val="007A0B78"/>
    <w:rsid w:val="007B06E0"/>
    <w:rsid w:val="007B0EC3"/>
    <w:rsid w:val="007B1D6F"/>
    <w:rsid w:val="007B3165"/>
    <w:rsid w:val="007B49A2"/>
    <w:rsid w:val="007B5C78"/>
    <w:rsid w:val="007D026E"/>
    <w:rsid w:val="007D34B8"/>
    <w:rsid w:val="007D6075"/>
    <w:rsid w:val="007D717E"/>
    <w:rsid w:val="007E0782"/>
    <w:rsid w:val="007F52D2"/>
    <w:rsid w:val="008038DB"/>
    <w:rsid w:val="008055C1"/>
    <w:rsid w:val="00812E8C"/>
    <w:rsid w:val="008135C5"/>
    <w:rsid w:val="00813A25"/>
    <w:rsid w:val="008209DA"/>
    <w:rsid w:val="00824AE1"/>
    <w:rsid w:val="00832B92"/>
    <w:rsid w:val="008427EE"/>
    <w:rsid w:val="00844025"/>
    <w:rsid w:val="00845A4E"/>
    <w:rsid w:val="00855EA8"/>
    <w:rsid w:val="00856C9B"/>
    <w:rsid w:val="00857363"/>
    <w:rsid w:val="008709AD"/>
    <w:rsid w:val="008739E2"/>
    <w:rsid w:val="00873FAE"/>
    <w:rsid w:val="0087414C"/>
    <w:rsid w:val="00884B67"/>
    <w:rsid w:val="00886DAC"/>
    <w:rsid w:val="00897E12"/>
    <w:rsid w:val="008A0557"/>
    <w:rsid w:val="008A4BAD"/>
    <w:rsid w:val="008B0FCD"/>
    <w:rsid w:val="008B26BE"/>
    <w:rsid w:val="008D09F9"/>
    <w:rsid w:val="008D5129"/>
    <w:rsid w:val="008D71CD"/>
    <w:rsid w:val="008E2D1B"/>
    <w:rsid w:val="008F1A99"/>
    <w:rsid w:val="00903183"/>
    <w:rsid w:val="00904CA8"/>
    <w:rsid w:val="00906094"/>
    <w:rsid w:val="00910B2A"/>
    <w:rsid w:val="00912BBE"/>
    <w:rsid w:val="00921531"/>
    <w:rsid w:val="009216F4"/>
    <w:rsid w:val="009226CE"/>
    <w:rsid w:val="009350A2"/>
    <w:rsid w:val="009359AF"/>
    <w:rsid w:val="0094087E"/>
    <w:rsid w:val="0094740B"/>
    <w:rsid w:val="00947FA0"/>
    <w:rsid w:val="00950E56"/>
    <w:rsid w:val="00955BCA"/>
    <w:rsid w:val="00970DC4"/>
    <w:rsid w:val="009714A2"/>
    <w:rsid w:val="009753FB"/>
    <w:rsid w:val="00981529"/>
    <w:rsid w:val="00981E7E"/>
    <w:rsid w:val="00985BBF"/>
    <w:rsid w:val="00987BEF"/>
    <w:rsid w:val="009925C1"/>
    <w:rsid w:val="00994664"/>
    <w:rsid w:val="009973ED"/>
    <w:rsid w:val="009A4929"/>
    <w:rsid w:val="009A4AA1"/>
    <w:rsid w:val="009A7C67"/>
    <w:rsid w:val="009B38F0"/>
    <w:rsid w:val="009B5070"/>
    <w:rsid w:val="009C0B3C"/>
    <w:rsid w:val="009C6D2E"/>
    <w:rsid w:val="009E10FB"/>
    <w:rsid w:val="009E265F"/>
    <w:rsid w:val="00A002AA"/>
    <w:rsid w:val="00A04FD0"/>
    <w:rsid w:val="00A06A7E"/>
    <w:rsid w:val="00A07DDF"/>
    <w:rsid w:val="00A1014B"/>
    <w:rsid w:val="00A13C58"/>
    <w:rsid w:val="00A148B8"/>
    <w:rsid w:val="00A16F2C"/>
    <w:rsid w:val="00A21380"/>
    <w:rsid w:val="00A221B0"/>
    <w:rsid w:val="00A22883"/>
    <w:rsid w:val="00A33E7B"/>
    <w:rsid w:val="00A347F8"/>
    <w:rsid w:val="00A5230A"/>
    <w:rsid w:val="00A5340D"/>
    <w:rsid w:val="00A565F9"/>
    <w:rsid w:val="00A632E4"/>
    <w:rsid w:val="00A67E1E"/>
    <w:rsid w:val="00A73387"/>
    <w:rsid w:val="00A76BD8"/>
    <w:rsid w:val="00A7718A"/>
    <w:rsid w:val="00A83820"/>
    <w:rsid w:val="00A84949"/>
    <w:rsid w:val="00A8612E"/>
    <w:rsid w:val="00A94E8A"/>
    <w:rsid w:val="00A9655F"/>
    <w:rsid w:val="00AA093B"/>
    <w:rsid w:val="00AA169D"/>
    <w:rsid w:val="00AA5BA4"/>
    <w:rsid w:val="00AA5EBE"/>
    <w:rsid w:val="00AA73C6"/>
    <w:rsid w:val="00AB1178"/>
    <w:rsid w:val="00AB23B2"/>
    <w:rsid w:val="00AB3B07"/>
    <w:rsid w:val="00AB610F"/>
    <w:rsid w:val="00AB71CD"/>
    <w:rsid w:val="00AB76D9"/>
    <w:rsid w:val="00AC18DA"/>
    <w:rsid w:val="00AC2ECD"/>
    <w:rsid w:val="00AC5A17"/>
    <w:rsid w:val="00AC74A8"/>
    <w:rsid w:val="00AD5E24"/>
    <w:rsid w:val="00AD6747"/>
    <w:rsid w:val="00AE269F"/>
    <w:rsid w:val="00AE2E1A"/>
    <w:rsid w:val="00AE629B"/>
    <w:rsid w:val="00AF7AF8"/>
    <w:rsid w:val="00B00975"/>
    <w:rsid w:val="00B03321"/>
    <w:rsid w:val="00B03435"/>
    <w:rsid w:val="00B03EDD"/>
    <w:rsid w:val="00B15B6C"/>
    <w:rsid w:val="00B16E1F"/>
    <w:rsid w:val="00B231FB"/>
    <w:rsid w:val="00B30E09"/>
    <w:rsid w:val="00B317C3"/>
    <w:rsid w:val="00B40325"/>
    <w:rsid w:val="00B40402"/>
    <w:rsid w:val="00B46990"/>
    <w:rsid w:val="00B5225D"/>
    <w:rsid w:val="00B53CF4"/>
    <w:rsid w:val="00B63713"/>
    <w:rsid w:val="00B67ACE"/>
    <w:rsid w:val="00B67CF2"/>
    <w:rsid w:val="00B70352"/>
    <w:rsid w:val="00B7152A"/>
    <w:rsid w:val="00B72E6C"/>
    <w:rsid w:val="00B769EB"/>
    <w:rsid w:val="00B85538"/>
    <w:rsid w:val="00B85EEB"/>
    <w:rsid w:val="00B9239B"/>
    <w:rsid w:val="00B92AC3"/>
    <w:rsid w:val="00B97001"/>
    <w:rsid w:val="00B97059"/>
    <w:rsid w:val="00BA06B0"/>
    <w:rsid w:val="00BA4E31"/>
    <w:rsid w:val="00BB554B"/>
    <w:rsid w:val="00BB72CF"/>
    <w:rsid w:val="00BC2C7D"/>
    <w:rsid w:val="00BD0229"/>
    <w:rsid w:val="00BD22F9"/>
    <w:rsid w:val="00BE0BA0"/>
    <w:rsid w:val="00BE0F7D"/>
    <w:rsid w:val="00BE2D94"/>
    <w:rsid w:val="00BE3C72"/>
    <w:rsid w:val="00BE4F72"/>
    <w:rsid w:val="00BE61EC"/>
    <w:rsid w:val="00C01CF3"/>
    <w:rsid w:val="00C0234C"/>
    <w:rsid w:val="00C03AA6"/>
    <w:rsid w:val="00C0585A"/>
    <w:rsid w:val="00C05BC2"/>
    <w:rsid w:val="00C05CB9"/>
    <w:rsid w:val="00C10C81"/>
    <w:rsid w:val="00C163E7"/>
    <w:rsid w:val="00C16CBD"/>
    <w:rsid w:val="00C20A05"/>
    <w:rsid w:val="00C24A12"/>
    <w:rsid w:val="00C25F48"/>
    <w:rsid w:val="00C33E65"/>
    <w:rsid w:val="00C3573D"/>
    <w:rsid w:val="00C40919"/>
    <w:rsid w:val="00C41DDE"/>
    <w:rsid w:val="00C436B5"/>
    <w:rsid w:val="00C57003"/>
    <w:rsid w:val="00C60578"/>
    <w:rsid w:val="00C63E9D"/>
    <w:rsid w:val="00C646C0"/>
    <w:rsid w:val="00C664FA"/>
    <w:rsid w:val="00C75015"/>
    <w:rsid w:val="00C77C78"/>
    <w:rsid w:val="00C847C0"/>
    <w:rsid w:val="00C92B00"/>
    <w:rsid w:val="00CA1ECD"/>
    <w:rsid w:val="00CA3140"/>
    <w:rsid w:val="00CB2DCD"/>
    <w:rsid w:val="00CB6DE3"/>
    <w:rsid w:val="00CB7988"/>
    <w:rsid w:val="00CC19CB"/>
    <w:rsid w:val="00CC383E"/>
    <w:rsid w:val="00CC3894"/>
    <w:rsid w:val="00CC3A7C"/>
    <w:rsid w:val="00CC6193"/>
    <w:rsid w:val="00CC7268"/>
    <w:rsid w:val="00CD0EF2"/>
    <w:rsid w:val="00CE6BE4"/>
    <w:rsid w:val="00CF1877"/>
    <w:rsid w:val="00CF23CA"/>
    <w:rsid w:val="00CF2831"/>
    <w:rsid w:val="00CF556D"/>
    <w:rsid w:val="00CF7CEC"/>
    <w:rsid w:val="00D017ED"/>
    <w:rsid w:val="00D12EEE"/>
    <w:rsid w:val="00D12F6A"/>
    <w:rsid w:val="00D13230"/>
    <w:rsid w:val="00D17E1B"/>
    <w:rsid w:val="00D218A1"/>
    <w:rsid w:val="00D22F04"/>
    <w:rsid w:val="00D23890"/>
    <w:rsid w:val="00D240CA"/>
    <w:rsid w:val="00D26AE3"/>
    <w:rsid w:val="00D275C6"/>
    <w:rsid w:val="00D32630"/>
    <w:rsid w:val="00D40959"/>
    <w:rsid w:val="00D41216"/>
    <w:rsid w:val="00D4420B"/>
    <w:rsid w:val="00D52CD1"/>
    <w:rsid w:val="00D7212B"/>
    <w:rsid w:val="00D73017"/>
    <w:rsid w:val="00D75880"/>
    <w:rsid w:val="00D8215A"/>
    <w:rsid w:val="00DA5574"/>
    <w:rsid w:val="00DA6DE2"/>
    <w:rsid w:val="00DB109E"/>
    <w:rsid w:val="00DB3C98"/>
    <w:rsid w:val="00DB5C17"/>
    <w:rsid w:val="00DB64D7"/>
    <w:rsid w:val="00DB6B8A"/>
    <w:rsid w:val="00DB7BAB"/>
    <w:rsid w:val="00DC088D"/>
    <w:rsid w:val="00DD54FC"/>
    <w:rsid w:val="00DE2C3D"/>
    <w:rsid w:val="00DE3622"/>
    <w:rsid w:val="00DE4FD2"/>
    <w:rsid w:val="00DE72BB"/>
    <w:rsid w:val="00DF404F"/>
    <w:rsid w:val="00DF5073"/>
    <w:rsid w:val="00E008FB"/>
    <w:rsid w:val="00E01E4A"/>
    <w:rsid w:val="00E04260"/>
    <w:rsid w:val="00E05947"/>
    <w:rsid w:val="00E079C6"/>
    <w:rsid w:val="00E179C3"/>
    <w:rsid w:val="00E2377F"/>
    <w:rsid w:val="00E30304"/>
    <w:rsid w:val="00E316EF"/>
    <w:rsid w:val="00E32307"/>
    <w:rsid w:val="00E356A8"/>
    <w:rsid w:val="00E4047A"/>
    <w:rsid w:val="00E40819"/>
    <w:rsid w:val="00E4421E"/>
    <w:rsid w:val="00E51CCD"/>
    <w:rsid w:val="00E559DF"/>
    <w:rsid w:val="00E65502"/>
    <w:rsid w:val="00E70BAD"/>
    <w:rsid w:val="00E718C5"/>
    <w:rsid w:val="00E72D56"/>
    <w:rsid w:val="00E74342"/>
    <w:rsid w:val="00E76F71"/>
    <w:rsid w:val="00E8358E"/>
    <w:rsid w:val="00E84E9D"/>
    <w:rsid w:val="00EA4354"/>
    <w:rsid w:val="00EB12F8"/>
    <w:rsid w:val="00EB2A5F"/>
    <w:rsid w:val="00EB3150"/>
    <w:rsid w:val="00EB3CC2"/>
    <w:rsid w:val="00EB44C6"/>
    <w:rsid w:val="00EC5943"/>
    <w:rsid w:val="00ED2740"/>
    <w:rsid w:val="00EE603B"/>
    <w:rsid w:val="00EF3EE3"/>
    <w:rsid w:val="00EF750C"/>
    <w:rsid w:val="00F055CF"/>
    <w:rsid w:val="00F13EDE"/>
    <w:rsid w:val="00F2249C"/>
    <w:rsid w:val="00F33316"/>
    <w:rsid w:val="00F36FAC"/>
    <w:rsid w:val="00F40A96"/>
    <w:rsid w:val="00F54881"/>
    <w:rsid w:val="00F55D9F"/>
    <w:rsid w:val="00F626BD"/>
    <w:rsid w:val="00F6339F"/>
    <w:rsid w:val="00F66915"/>
    <w:rsid w:val="00F66D02"/>
    <w:rsid w:val="00F6799D"/>
    <w:rsid w:val="00F67F61"/>
    <w:rsid w:val="00F7253B"/>
    <w:rsid w:val="00F73ABA"/>
    <w:rsid w:val="00F73EC4"/>
    <w:rsid w:val="00F7519C"/>
    <w:rsid w:val="00F7547C"/>
    <w:rsid w:val="00F8665A"/>
    <w:rsid w:val="00FA3F12"/>
    <w:rsid w:val="00FA541A"/>
    <w:rsid w:val="00FB05C2"/>
    <w:rsid w:val="00FB25F1"/>
    <w:rsid w:val="00FC49CE"/>
    <w:rsid w:val="00FC638E"/>
    <w:rsid w:val="00FE1FE7"/>
    <w:rsid w:val="5B3954EC"/>
    <w:rsid w:val="7F8E77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iPriority="99" w:name="Normal Indent"/>
    <w:lsdException w:unhideWhenUsed="0" w:uiPriority="0" w:name="footnote text"/>
    <w:lsdException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semiHidden="0" w:name="Normal (Web)"/>
    <w:lsdException w:qFormat="1" w:unhideWhenUsed="0" w:uiPriority="0" w:name="HTML Acronym"/>
    <w:lsdException w:unhideWhenUsed="0" w:uiPriority="0" w:name="HTML Address"/>
    <w:lsdException w:unhideWhenUsed="0" w:uiPriority="0" w:name="HTML Cite"/>
    <w:lsdException w:qFormat="1" w:unhideWhenUsed="0" w:uiPriority="0" w:name="HTML Code"/>
    <w:lsdException w:qFormat="1" w:unhideWhenUsed="0" w:uiPriority="0" w:name="HTML Definition"/>
    <w:lsdException w:qFormat="1" w:unhideWhenUsed="0" w:uiPriority="0" w:name="HTML Keyboard"/>
    <w:lsdException w:unhideWhenUsed="0" w:uiPriority="0" w:name="HTML Preformatted"/>
    <w:lsdException w:unhideWhenUsed="0" w:uiPriority="0" w:name="HTML Sample"/>
    <w:lsdException w:qFormat="1" w:unhideWhenUsed="0" w:uiPriority="0" w:name="HTML Typewriter"/>
    <w:lsdException w:qFormat="1" w:unhideWhenUsed="0" w:uiPriority="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uiPriority w:val="0"/>
  </w:style>
  <w:style w:type="paragraph" w:styleId="13">
    <w:name w:val="toc 5"/>
    <w:basedOn w:val="14"/>
    <w:next w:val="1"/>
    <w:semiHidden/>
    <w:qFormat/>
    <w:uiPriority w:val="0"/>
  </w:style>
  <w:style w:type="paragraph" w:styleId="14">
    <w:name w:val="toc 4"/>
    <w:basedOn w:val="15"/>
    <w:next w:val="1"/>
    <w:semiHidden/>
    <w:uiPriority w:val="0"/>
  </w:style>
  <w:style w:type="paragraph" w:styleId="15">
    <w:name w:val="toc 3"/>
    <w:basedOn w:val="16"/>
    <w:next w:val="1"/>
    <w:semiHidden/>
    <w:uiPriority w:val="0"/>
  </w:style>
  <w:style w:type="paragraph" w:styleId="16">
    <w:name w:val="toc 2"/>
    <w:basedOn w:val="17"/>
    <w:next w:val="1"/>
    <w:semiHidden/>
    <w:qFormat/>
    <w:uiPriority w:val="0"/>
  </w:style>
  <w:style w:type="paragraph" w:styleId="17">
    <w:name w:val="toc 1"/>
    <w:next w:val="1"/>
    <w:semiHidden/>
    <w:uiPriority w:val="0"/>
    <w:pPr>
      <w:jc w:val="both"/>
    </w:pPr>
    <w:rPr>
      <w:rFonts w:ascii="宋体" w:hAnsi="Times New Roman" w:eastAsia="宋体" w:cs="Times New Roman"/>
      <w:sz w:val="21"/>
      <w:lang w:val="en-US" w:eastAsia="zh-CN" w:bidi="ar-SA"/>
    </w:rPr>
  </w:style>
  <w:style w:type="paragraph" w:styleId="18">
    <w:name w:val="Document Map"/>
    <w:basedOn w:val="1"/>
    <w:link w:val="124"/>
    <w:qFormat/>
    <w:uiPriority w:val="0"/>
    <w:rPr>
      <w:rFonts w:ascii="宋体"/>
      <w:sz w:val="18"/>
      <w:szCs w:val="18"/>
      <w:lang w:val="zh-CN"/>
    </w:rPr>
  </w:style>
  <w:style w:type="paragraph" w:styleId="19">
    <w:name w:val="annotation text"/>
    <w:basedOn w:val="1"/>
    <w:link w:val="120"/>
    <w:uiPriority w:val="0"/>
    <w:pPr>
      <w:jc w:val="left"/>
    </w:pPr>
    <w:rPr>
      <w:szCs w:val="20"/>
      <w:lang w:val="zh-CN"/>
    </w:rPr>
  </w:style>
  <w:style w:type="paragraph" w:styleId="20">
    <w:name w:val="Body Text"/>
    <w:basedOn w:val="1"/>
    <w:link w:val="119"/>
    <w:uiPriority w:val="0"/>
    <w:pPr>
      <w:spacing w:line="360" w:lineRule="auto"/>
    </w:pPr>
    <w:rPr>
      <w:b/>
      <w:bCs/>
      <w:sz w:val="24"/>
      <w:szCs w:val="20"/>
    </w:rPr>
  </w:style>
  <w:style w:type="paragraph" w:styleId="21">
    <w:name w:val="Body Text Indent"/>
    <w:basedOn w:val="1"/>
    <w:link w:val="117"/>
    <w:uiPriority w:val="0"/>
    <w:pPr>
      <w:ind w:firstLine="200" w:firstLineChars="200"/>
    </w:pPr>
    <w:rPr>
      <w:rFonts w:ascii="楷体_GB2312" w:eastAsia="楷体_GB2312"/>
      <w:bCs/>
      <w:sz w:val="28"/>
      <w:szCs w:val="20"/>
    </w:rPr>
  </w:style>
  <w:style w:type="paragraph" w:styleId="22">
    <w:name w:val="HTML Address"/>
    <w:basedOn w:val="1"/>
    <w:semiHidden/>
    <w:uiPriority w:val="0"/>
    <w:rPr>
      <w:i/>
      <w:iCs/>
    </w:rPr>
  </w:style>
  <w:style w:type="paragraph" w:styleId="23">
    <w:name w:val="toc 8"/>
    <w:basedOn w:val="11"/>
    <w:next w:val="1"/>
    <w:semiHidden/>
    <w:uiPriority w:val="0"/>
  </w:style>
  <w:style w:type="paragraph" w:styleId="24">
    <w:name w:val="Date"/>
    <w:basedOn w:val="1"/>
    <w:next w:val="1"/>
    <w:link w:val="118"/>
    <w:uiPriority w:val="0"/>
    <w:rPr>
      <w:rFonts w:ascii="宋体"/>
      <w:sz w:val="24"/>
      <w:szCs w:val="20"/>
      <w:lang w:val="zh-CN"/>
    </w:rPr>
  </w:style>
  <w:style w:type="paragraph" w:styleId="25">
    <w:name w:val="Balloon Text"/>
    <w:basedOn w:val="1"/>
    <w:link w:val="115"/>
    <w:unhideWhenUsed/>
    <w:qFormat/>
    <w:uiPriority w:val="0"/>
    <w:rPr>
      <w:sz w:val="18"/>
      <w:szCs w:val="18"/>
    </w:rPr>
  </w:style>
  <w:style w:type="paragraph" w:styleId="26">
    <w:name w:val="footer"/>
    <w:basedOn w:val="1"/>
    <w:uiPriority w:val="0"/>
    <w:pPr>
      <w:tabs>
        <w:tab w:val="center" w:pos="4153"/>
        <w:tab w:val="right" w:pos="8306"/>
      </w:tabs>
      <w:snapToGrid w:val="0"/>
      <w:ind w:right="210" w:rightChars="100"/>
      <w:jc w:val="righ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uiPriority w:val="0"/>
    <w:pPr>
      <w:snapToGrid w:val="0"/>
      <w:jc w:val="left"/>
    </w:pPr>
    <w:rPr>
      <w:sz w:val="18"/>
      <w:szCs w:val="18"/>
    </w:rPr>
  </w:style>
  <w:style w:type="paragraph" w:styleId="29">
    <w:name w:val="toc 9"/>
    <w:basedOn w:val="23"/>
    <w:next w:val="1"/>
    <w:semiHidden/>
    <w:qFormat/>
    <w:uiPriority w:val="0"/>
  </w:style>
  <w:style w:type="paragraph" w:styleId="30">
    <w:name w:val="HTML Preformatted"/>
    <w:basedOn w:val="1"/>
    <w:semiHidden/>
    <w:uiPriority w:val="0"/>
    <w:rPr>
      <w:rFonts w:ascii="Courier New" w:hAnsi="Courier New" w:cs="Courier New"/>
      <w:sz w:val="20"/>
      <w:szCs w:val="20"/>
    </w:rPr>
  </w:style>
  <w:style w:type="paragraph" w:styleId="31">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32">
    <w:name w:val="Title"/>
    <w:basedOn w:val="1"/>
    <w:qFormat/>
    <w:uiPriority w:val="0"/>
    <w:pPr>
      <w:spacing w:before="240" w:after="60"/>
      <w:jc w:val="center"/>
      <w:outlineLvl w:val="0"/>
    </w:pPr>
    <w:rPr>
      <w:rFonts w:ascii="Arial" w:hAnsi="Arial" w:cs="Arial"/>
      <w:b/>
      <w:bCs/>
      <w:sz w:val="32"/>
      <w:szCs w:val="32"/>
    </w:rPr>
  </w:style>
  <w:style w:type="paragraph" w:styleId="33">
    <w:name w:val="annotation subject"/>
    <w:basedOn w:val="19"/>
    <w:next w:val="19"/>
    <w:link w:val="125"/>
    <w:uiPriority w:val="0"/>
    <w:rPr>
      <w:b/>
      <w:bCs/>
    </w:rPr>
  </w:style>
  <w:style w:type="table" w:styleId="35">
    <w:name w:val="Table Grid"/>
    <w:basedOn w:val="3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qFormat/>
    <w:uiPriority w:val="0"/>
    <w:rPr>
      <w:rFonts w:ascii="Times New Roman" w:hAnsi="Times New Roman" w:eastAsia="宋体"/>
      <w:sz w:val="18"/>
    </w:rPr>
  </w:style>
  <w:style w:type="character" w:styleId="38">
    <w:name w:val="HTML Definition"/>
    <w:semiHidden/>
    <w:qFormat/>
    <w:uiPriority w:val="0"/>
    <w:rPr>
      <w:i/>
      <w:iCs/>
    </w:rPr>
  </w:style>
  <w:style w:type="character" w:styleId="39">
    <w:name w:val="HTML Typewriter"/>
    <w:semiHidden/>
    <w:qFormat/>
    <w:uiPriority w:val="0"/>
    <w:rPr>
      <w:rFonts w:ascii="Courier New" w:hAnsi="Courier New"/>
      <w:sz w:val="20"/>
      <w:szCs w:val="20"/>
    </w:rPr>
  </w:style>
  <w:style w:type="character" w:styleId="40">
    <w:name w:val="HTML Acronym"/>
    <w:basedOn w:val="36"/>
    <w:semiHidden/>
    <w:qFormat/>
    <w:uiPriority w:val="0"/>
  </w:style>
  <w:style w:type="character" w:styleId="41">
    <w:name w:val="HTML Variable"/>
    <w:semiHidden/>
    <w:qFormat/>
    <w:uiPriority w:val="0"/>
    <w:rPr>
      <w:i/>
      <w:iCs/>
    </w:rPr>
  </w:style>
  <w:style w:type="character" w:styleId="42">
    <w:name w:val="Hyperlink"/>
    <w:semiHidden/>
    <w:uiPriority w:val="0"/>
    <w:rPr>
      <w:rFonts w:ascii="Times New Roman" w:hAnsi="Times New Roman" w:eastAsia="宋体"/>
      <w:color w:val="auto"/>
      <w:spacing w:val="0"/>
      <w:w w:val="100"/>
      <w:position w:val="0"/>
      <w:sz w:val="21"/>
      <w:u w:val="none"/>
      <w:vertAlign w:val="baseline"/>
    </w:rPr>
  </w:style>
  <w:style w:type="character" w:styleId="43">
    <w:name w:val="HTML Code"/>
    <w:semiHidden/>
    <w:qFormat/>
    <w:uiPriority w:val="0"/>
    <w:rPr>
      <w:rFonts w:ascii="Courier New" w:hAnsi="Courier New"/>
      <w:sz w:val="20"/>
      <w:szCs w:val="20"/>
    </w:rPr>
  </w:style>
  <w:style w:type="character" w:styleId="44">
    <w:name w:val="annotation reference"/>
    <w:qFormat/>
    <w:uiPriority w:val="0"/>
    <w:rPr>
      <w:rFonts w:cs="Times New Roman"/>
      <w:sz w:val="21"/>
      <w:lang w:bidi="ar-SA"/>
    </w:rPr>
  </w:style>
  <w:style w:type="character" w:styleId="45">
    <w:name w:val="HTML Cite"/>
    <w:semiHidden/>
    <w:uiPriority w:val="0"/>
    <w:rPr>
      <w:i/>
      <w:iCs/>
    </w:rPr>
  </w:style>
  <w:style w:type="character" w:styleId="46">
    <w:name w:val="footnote reference"/>
    <w:semiHidden/>
    <w:qFormat/>
    <w:uiPriority w:val="0"/>
    <w:rPr>
      <w:vertAlign w:val="superscript"/>
    </w:rPr>
  </w:style>
  <w:style w:type="character" w:styleId="47">
    <w:name w:val="HTML Keyboard"/>
    <w:semiHidden/>
    <w:qFormat/>
    <w:uiPriority w:val="0"/>
    <w:rPr>
      <w:rFonts w:ascii="Courier New" w:hAnsi="Courier New"/>
      <w:sz w:val="20"/>
      <w:szCs w:val="20"/>
    </w:rPr>
  </w:style>
  <w:style w:type="character" w:styleId="48">
    <w:name w:val="HTML Sample"/>
    <w:semiHidden/>
    <w:uiPriority w:val="0"/>
    <w:rPr>
      <w:rFonts w:ascii="Courier New" w:hAnsi="Courier New"/>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标准书眉_偶数页"/>
    <w:basedOn w:val="53"/>
    <w:next w:val="1"/>
    <w:uiPriority w:val="0"/>
    <w:pPr>
      <w:jc w:val="left"/>
    </w:pPr>
  </w:style>
  <w:style w:type="paragraph" w:customStyle="1" w:styleId="55">
    <w:name w:val="标准书眉一"/>
    <w:uiPriority w:val="0"/>
    <w:pPr>
      <w:jc w:val="both"/>
    </w:pPr>
    <w:rPr>
      <w:rFonts w:ascii="Times New Roman" w:hAnsi="Times New Roman" w:eastAsia="宋体" w:cs="Times New Roman"/>
      <w:lang w:val="en-US" w:eastAsia="zh-CN" w:bidi="ar-SA"/>
    </w:rPr>
  </w:style>
  <w:style w:type="paragraph" w:customStyle="1" w:styleId="56">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参考文献、索引标题"/>
    <w:basedOn w:val="56"/>
    <w:next w:val="1"/>
    <w:uiPriority w:val="0"/>
    <w:pPr>
      <w:numPr>
        <w:numId w:val="0"/>
      </w:numPr>
      <w:spacing w:after="200"/>
    </w:pPr>
    <w:rPr>
      <w:sz w:val="21"/>
    </w:rPr>
  </w:style>
  <w:style w:type="paragraph" w:customStyle="1" w:styleId="58">
    <w:name w:val="段"/>
    <w:link w:val="111"/>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章标题"/>
    <w:next w:val="58"/>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0">
    <w:name w:val="一级条标题"/>
    <w:basedOn w:val="59"/>
    <w:next w:val="58"/>
    <w:uiPriority w:val="0"/>
    <w:pPr>
      <w:numPr>
        <w:ilvl w:val="2"/>
      </w:numPr>
      <w:spacing w:beforeLines="0" w:afterLines="0"/>
      <w:outlineLvl w:val="2"/>
    </w:pPr>
  </w:style>
  <w:style w:type="paragraph" w:customStyle="1" w:styleId="61">
    <w:name w:val="二级条标题"/>
    <w:basedOn w:val="60"/>
    <w:next w:val="58"/>
    <w:uiPriority w:val="0"/>
    <w:pPr>
      <w:numPr>
        <w:ilvl w:val="3"/>
      </w:numPr>
      <w:outlineLvl w:val="3"/>
    </w:pPr>
  </w:style>
  <w:style w:type="paragraph" w:customStyle="1" w:styleId="62">
    <w:name w:val="二级无标题条"/>
    <w:basedOn w:val="1"/>
    <w:uiPriority w:val="0"/>
    <w:pPr>
      <w:numPr>
        <w:ilvl w:val="3"/>
        <w:numId w:val="2"/>
      </w:numPr>
    </w:pPr>
  </w:style>
  <w:style w:type="character" w:customStyle="1" w:styleId="63">
    <w:name w:val="发布"/>
    <w:uiPriority w:val="0"/>
    <w:rPr>
      <w:rFonts w:ascii="黑体" w:eastAsia="黑体"/>
      <w:spacing w:val="22"/>
      <w:w w:val="100"/>
      <w:position w:val="3"/>
      <w:sz w:val="28"/>
    </w:rPr>
  </w:style>
  <w:style w:type="paragraph" w:customStyle="1" w:styleId="64">
    <w:name w:val="发布部门"/>
    <w:next w:val="58"/>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6">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7">
    <w:name w:val="封面标准号2"/>
    <w:basedOn w:val="66"/>
    <w:uiPriority w:val="0"/>
    <w:pPr>
      <w:framePr w:w="9138" w:h="1244" w:hRule="exact" w:wrap="around" w:vAnchor="page" w:hAnchor="margin" w:y="2908"/>
      <w:adjustRightInd w:val="0"/>
      <w:spacing w:before="357" w:line="280" w:lineRule="exact"/>
    </w:pPr>
  </w:style>
  <w:style w:type="paragraph" w:customStyle="1" w:styleId="68">
    <w:name w:val="封面标准代替信息"/>
    <w:basedOn w:val="67"/>
    <w:qFormat/>
    <w:uiPriority w:val="0"/>
    <w:pPr>
      <w:framePr w:wrap="around"/>
      <w:spacing w:before="57"/>
    </w:pPr>
    <w:rPr>
      <w:rFonts w:ascii="宋体"/>
      <w:sz w:val="21"/>
    </w:rPr>
  </w:style>
  <w:style w:type="paragraph" w:customStyle="1" w:styleId="69">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0">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72">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74">
    <w:name w:val="封面正文"/>
    <w:qFormat/>
    <w:uiPriority w:val="0"/>
    <w:pPr>
      <w:jc w:val="both"/>
    </w:pPr>
    <w:rPr>
      <w:rFonts w:ascii="Times New Roman" w:hAnsi="Times New Roman" w:eastAsia="宋体" w:cs="Times New Roman"/>
      <w:lang w:val="en-US" w:eastAsia="zh-CN" w:bidi="ar-SA"/>
    </w:rPr>
  </w:style>
  <w:style w:type="paragraph" w:customStyle="1" w:styleId="75">
    <w:name w:val="附录标识"/>
    <w:basedOn w:val="56"/>
    <w:uiPriority w:val="0"/>
    <w:pPr>
      <w:numPr>
        <w:ilvl w:val="0"/>
        <w:numId w:val="3"/>
      </w:numPr>
      <w:tabs>
        <w:tab w:val="left" w:pos="6405"/>
      </w:tabs>
      <w:spacing w:after="200"/>
    </w:pPr>
    <w:rPr>
      <w:sz w:val="21"/>
    </w:rPr>
  </w:style>
  <w:style w:type="paragraph" w:customStyle="1" w:styleId="76">
    <w:name w:val="附录表标题"/>
    <w:next w:val="58"/>
    <w:uiPriority w:val="0"/>
    <w:pPr>
      <w:jc w:val="center"/>
      <w:textAlignment w:val="baseline"/>
    </w:pPr>
    <w:rPr>
      <w:rFonts w:ascii="黑体" w:hAnsi="Times New Roman" w:eastAsia="黑体" w:cs="Times New Roman"/>
      <w:kern w:val="21"/>
      <w:sz w:val="21"/>
      <w:lang w:val="en-US" w:eastAsia="zh-CN" w:bidi="ar-SA"/>
    </w:rPr>
  </w:style>
  <w:style w:type="paragraph" w:customStyle="1" w:styleId="77">
    <w:name w:val="附录章标题"/>
    <w:next w:val="58"/>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附录一级条标题"/>
    <w:basedOn w:val="77"/>
    <w:next w:val="58"/>
    <w:uiPriority w:val="0"/>
    <w:pPr>
      <w:numPr>
        <w:ilvl w:val="2"/>
      </w:numPr>
      <w:autoSpaceDN w:val="0"/>
      <w:spacing w:beforeLines="0" w:afterLines="0"/>
      <w:outlineLvl w:val="2"/>
    </w:pPr>
  </w:style>
  <w:style w:type="paragraph" w:customStyle="1" w:styleId="79">
    <w:name w:val="附录二级条标题"/>
    <w:basedOn w:val="78"/>
    <w:next w:val="58"/>
    <w:uiPriority w:val="0"/>
    <w:pPr>
      <w:numPr>
        <w:ilvl w:val="3"/>
      </w:numPr>
      <w:outlineLvl w:val="3"/>
    </w:pPr>
  </w:style>
  <w:style w:type="paragraph" w:customStyle="1" w:styleId="80">
    <w:name w:val="附录三级条标题"/>
    <w:basedOn w:val="79"/>
    <w:next w:val="58"/>
    <w:uiPriority w:val="0"/>
    <w:pPr>
      <w:numPr>
        <w:ilvl w:val="4"/>
      </w:numPr>
      <w:outlineLvl w:val="4"/>
    </w:pPr>
  </w:style>
  <w:style w:type="paragraph" w:customStyle="1" w:styleId="81">
    <w:name w:val="附录四级条标题"/>
    <w:basedOn w:val="80"/>
    <w:next w:val="58"/>
    <w:uiPriority w:val="0"/>
    <w:pPr>
      <w:numPr>
        <w:ilvl w:val="5"/>
      </w:numPr>
      <w:outlineLvl w:val="5"/>
    </w:pPr>
  </w:style>
  <w:style w:type="paragraph" w:customStyle="1" w:styleId="82">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83">
    <w:name w:val="附录五级条标题"/>
    <w:basedOn w:val="81"/>
    <w:next w:val="58"/>
    <w:uiPriority w:val="0"/>
    <w:pPr>
      <w:numPr>
        <w:ilvl w:val="6"/>
      </w:numPr>
      <w:outlineLvl w:val="6"/>
    </w:pPr>
  </w:style>
  <w:style w:type="character" w:customStyle="1" w:styleId="84">
    <w:name w:val="个人答复风格"/>
    <w:qFormat/>
    <w:uiPriority w:val="0"/>
    <w:rPr>
      <w:rFonts w:ascii="Arial" w:hAnsi="Arial" w:eastAsia="宋体" w:cs="Arial"/>
      <w:color w:val="auto"/>
      <w:sz w:val="20"/>
    </w:rPr>
  </w:style>
  <w:style w:type="character" w:customStyle="1" w:styleId="85">
    <w:name w:val="个人撰写风格"/>
    <w:uiPriority w:val="0"/>
    <w:rPr>
      <w:rFonts w:ascii="Arial" w:hAnsi="Arial" w:eastAsia="宋体" w:cs="Arial"/>
      <w:color w:val="auto"/>
      <w:sz w:val="20"/>
    </w:rPr>
  </w:style>
  <w:style w:type="paragraph" w:customStyle="1" w:styleId="86">
    <w:name w:val="列项——"/>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87">
    <w:name w:val="列项·"/>
    <w:uiPriority w:val="0"/>
    <w:pPr>
      <w:numPr>
        <w:ilvl w:val="0"/>
        <w:numId w:val="5"/>
      </w:numPr>
      <w:tabs>
        <w:tab w:val="left" w:pos="840"/>
      </w:tabs>
      <w:jc w:val="both"/>
    </w:pPr>
    <w:rPr>
      <w:rFonts w:ascii="宋体" w:hAnsi="Times New Roman" w:eastAsia="宋体" w:cs="Times New Roman"/>
      <w:sz w:val="21"/>
      <w:lang w:val="en-US" w:eastAsia="zh-CN" w:bidi="ar-SA"/>
    </w:rPr>
  </w:style>
  <w:style w:type="paragraph" w:customStyle="1" w:styleId="88">
    <w:name w:val="目次、标准名称标题"/>
    <w:basedOn w:val="56"/>
    <w:next w:val="58"/>
    <w:uiPriority w:val="0"/>
    <w:pPr>
      <w:numPr>
        <w:numId w:val="0"/>
      </w:numPr>
      <w:spacing w:line="460" w:lineRule="exact"/>
    </w:pPr>
  </w:style>
  <w:style w:type="paragraph" w:customStyle="1" w:styleId="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91">
    <w:name w:val="其他发布部门"/>
    <w:basedOn w:val="64"/>
    <w:qFormat/>
    <w:uiPriority w:val="0"/>
    <w:pPr>
      <w:framePr w:wrap="around"/>
      <w:spacing w:line="0" w:lineRule="atLeast"/>
    </w:pPr>
    <w:rPr>
      <w:rFonts w:ascii="黑体" w:eastAsia="黑体"/>
      <w:b w:val="0"/>
    </w:rPr>
  </w:style>
  <w:style w:type="paragraph" w:customStyle="1" w:styleId="92">
    <w:name w:val="三级条标题"/>
    <w:basedOn w:val="61"/>
    <w:next w:val="58"/>
    <w:uiPriority w:val="0"/>
    <w:pPr>
      <w:numPr>
        <w:ilvl w:val="4"/>
      </w:numPr>
      <w:outlineLvl w:val="4"/>
    </w:pPr>
  </w:style>
  <w:style w:type="paragraph" w:customStyle="1" w:styleId="93">
    <w:name w:val="三级无标题条"/>
    <w:basedOn w:val="1"/>
    <w:uiPriority w:val="0"/>
    <w:pPr>
      <w:numPr>
        <w:ilvl w:val="4"/>
        <w:numId w:val="2"/>
      </w:numPr>
    </w:pPr>
  </w:style>
  <w:style w:type="paragraph" w:customStyle="1" w:styleId="94">
    <w:name w:val="实施日期"/>
    <w:basedOn w:val="65"/>
    <w:qFormat/>
    <w:uiPriority w:val="0"/>
    <w:pPr>
      <w:framePr w:hSpace="0" w:wrap="around" w:xAlign="right"/>
      <w:jc w:val="right"/>
    </w:pPr>
  </w:style>
  <w:style w:type="paragraph" w:customStyle="1" w:styleId="95">
    <w:name w:val="示例"/>
    <w:next w:val="58"/>
    <w:qFormat/>
    <w:uiPriority w:val="0"/>
    <w:pPr>
      <w:numPr>
        <w:ilvl w:val="0"/>
        <w:numId w:val="6"/>
      </w:numPr>
      <w:jc w:val="both"/>
    </w:pPr>
    <w:rPr>
      <w:rFonts w:ascii="宋体" w:hAnsi="Times New Roman" w:eastAsia="宋体" w:cs="Times New Roman"/>
      <w:sz w:val="18"/>
      <w:lang w:val="en-US" w:eastAsia="zh-CN" w:bidi="ar-SA"/>
    </w:rPr>
  </w:style>
  <w:style w:type="paragraph" w:customStyle="1" w:styleId="9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7">
    <w:name w:val="四级条标题"/>
    <w:basedOn w:val="92"/>
    <w:next w:val="58"/>
    <w:uiPriority w:val="0"/>
    <w:pPr>
      <w:numPr>
        <w:ilvl w:val="5"/>
      </w:numPr>
      <w:outlineLvl w:val="5"/>
    </w:pPr>
  </w:style>
  <w:style w:type="paragraph" w:customStyle="1" w:styleId="98">
    <w:name w:val="四级无标题条"/>
    <w:basedOn w:val="1"/>
    <w:qFormat/>
    <w:uiPriority w:val="0"/>
    <w:pPr>
      <w:numPr>
        <w:ilvl w:val="5"/>
        <w:numId w:val="2"/>
      </w:numPr>
    </w:pPr>
  </w:style>
  <w:style w:type="paragraph" w:customStyle="1" w:styleId="99">
    <w:name w:val="条文脚注"/>
    <w:basedOn w:val="28"/>
    <w:qFormat/>
    <w:uiPriority w:val="0"/>
    <w:pPr>
      <w:ind w:left="780" w:leftChars="200" w:hanging="360" w:hangingChars="200"/>
      <w:jc w:val="both"/>
    </w:pPr>
    <w:rPr>
      <w:rFonts w:ascii="宋体"/>
    </w:rPr>
  </w:style>
  <w:style w:type="paragraph" w:customStyle="1" w:styleId="100">
    <w:name w:val="图表脚注"/>
    <w:next w:val="58"/>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1">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2">
    <w:name w:val="无标题条"/>
    <w:next w:val="58"/>
    <w:uiPriority w:val="0"/>
    <w:pPr>
      <w:jc w:val="both"/>
    </w:pPr>
    <w:rPr>
      <w:rFonts w:ascii="Times New Roman" w:hAnsi="Times New Roman" w:eastAsia="宋体" w:cs="Times New Roman"/>
      <w:sz w:val="21"/>
      <w:lang w:val="en-US" w:eastAsia="zh-CN" w:bidi="ar-SA"/>
    </w:rPr>
  </w:style>
  <w:style w:type="paragraph" w:customStyle="1" w:styleId="103">
    <w:name w:val="五级条标题"/>
    <w:basedOn w:val="97"/>
    <w:next w:val="58"/>
    <w:uiPriority w:val="0"/>
    <w:pPr>
      <w:numPr>
        <w:ilvl w:val="6"/>
      </w:numPr>
      <w:outlineLvl w:val="6"/>
    </w:pPr>
  </w:style>
  <w:style w:type="paragraph" w:customStyle="1" w:styleId="104">
    <w:name w:val="五级无标题条"/>
    <w:basedOn w:val="1"/>
    <w:qFormat/>
    <w:uiPriority w:val="0"/>
    <w:pPr>
      <w:numPr>
        <w:ilvl w:val="6"/>
        <w:numId w:val="2"/>
      </w:numPr>
    </w:pPr>
  </w:style>
  <w:style w:type="paragraph" w:customStyle="1" w:styleId="105">
    <w:name w:val="一级无标题条"/>
    <w:basedOn w:val="1"/>
    <w:qFormat/>
    <w:uiPriority w:val="0"/>
    <w:pPr>
      <w:numPr>
        <w:ilvl w:val="2"/>
        <w:numId w:val="2"/>
      </w:numPr>
    </w:pPr>
  </w:style>
  <w:style w:type="paragraph" w:customStyle="1" w:styleId="106">
    <w:name w:val="正文表标题"/>
    <w:next w:val="58"/>
    <w:uiPriority w:val="0"/>
    <w:pPr>
      <w:numPr>
        <w:ilvl w:val="0"/>
        <w:numId w:val="7"/>
      </w:numPr>
      <w:jc w:val="center"/>
    </w:pPr>
    <w:rPr>
      <w:rFonts w:ascii="黑体" w:hAnsi="Times New Roman" w:eastAsia="黑体" w:cs="Times New Roman"/>
      <w:sz w:val="21"/>
      <w:lang w:val="en-US" w:eastAsia="zh-CN" w:bidi="ar-SA"/>
    </w:rPr>
  </w:style>
  <w:style w:type="paragraph" w:customStyle="1" w:styleId="107">
    <w:name w:val="正文图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注："/>
    <w:next w:val="58"/>
    <w:qFormat/>
    <w:uiPriority w:val="0"/>
    <w:pPr>
      <w:widowControl w:val="0"/>
      <w:numPr>
        <w:ilvl w:val="0"/>
        <w:numId w:val="9"/>
      </w:numPr>
      <w:autoSpaceDE w:val="0"/>
      <w:autoSpaceDN w:val="0"/>
      <w:jc w:val="both"/>
    </w:pPr>
    <w:rPr>
      <w:rFonts w:ascii="宋体" w:hAnsi="Times New Roman" w:eastAsia="宋体" w:cs="Times New Roman"/>
      <w:sz w:val="18"/>
      <w:lang w:val="en-US" w:eastAsia="zh-CN" w:bidi="ar-SA"/>
    </w:rPr>
  </w:style>
  <w:style w:type="paragraph" w:customStyle="1" w:styleId="109">
    <w:name w:val="注×："/>
    <w:qFormat/>
    <w:uiPriority w:val="0"/>
    <w:pPr>
      <w:widowControl w:val="0"/>
      <w:numPr>
        <w:ilvl w:val="0"/>
        <w:numId w:val="10"/>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10">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11">
    <w:name w:val="段 Char"/>
    <w:link w:val="58"/>
    <w:qFormat/>
    <w:uiPriority w:val="0"/>
    <w:rPr>
      <w:rFonts w:ascii="宋体"/>
      <w:sz w:val="21"/>
      <w:lang w:bidi="ar-SA"/>
    </w:rPr>
  </w:style>
  <w:style w:type="paragraph" w:customStyle="1" w:styleId="112">
    <w:name w:val="列项——（一级）"/>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113">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14">
    <w:name w:val="列项◆（三级）"/>
    <w:basedOn w:val="1"/>
    <w:qFormat/>
    <w:uiPriority w:val="0"/>
    <w:pPr>
      <w:numPr>
        <w:ilvl w:val="2"/>
        <w:numId w:val="11"/>
      </w:numPr>
    </w:pPr>
    <w:rPr>
      <w:rFonts w:ascii="宋体"/>
      <w:szCs w:val="21"/>
    </w:rPr>
  </w:style>
  <w:style w:type="character" w:customStyle="1" w:styleId="115">
    <w:name w:val="批注框文本 字符"/>
    <w:basedOn w:val="36"/>
    <w:link w:val="25"/>
    <w:semiHidden/>
    <w:qFormat/>
    <w:uiPriority w:val="99"/>
    <w:rPr>
      <w:kern w:val="2"/>
      <w:sz w:val="18"/>
      <w:szCs w:val="18"/>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7">
    <w:name w:val="正文文本缩进 字符"/>
    <w:basedOn w:val="36"/>
    <w:link w:val="21"/>
    <w:uiPriority w:val="0"/>
    <w:rPr>
      <w:rFonts w:ascii="楷体_GB2312" w:eastAsia="楷体_GB2312"/>
      <w:bCs/>
      <w:kern w:val="2"/>
      <w:sz w:val="28"/>
    </w:rPr>
  </w:style>
  <w:style w:type="character" w:customStyle="1" w:styleId="118">
    <w:name w:val="日期 字符"/>
    <w:basedOn w:val="36"/>
    <w:link w:val="24"/>
    <w:uiPriority w:val="0"/>
    <w:rPr>
      <w:rFonts w:ascii="宋体"/>
      <w:kern w:val="2"/>
      <w:sz w:val="24"/>
      <w:lang w:val="zh-CN" w:eastAsia="zh-CN"/>
    </w:rPr>
  </w:style>
  <w:style w:type="character" w:customStyle="1" w:styleId="119">
    <w:name w:val="正文文本 字符"/>
    <w:basedOn w:val="36"/>
    <w:link w:val="20"/>
    <w:qFormat/>
    <w:uiPriority w:val="0"/>
    <w:rPr>
      <w:b/>
      <w:bCs/>
      <w:kern w:val="2"/>
      <w:sz w:val="24"/>
    </w:rPr>
  </w:style>
  <w:style w:type="character" w:customStyle="1" w:styleId="120">
    <w:name w:val="批注文字 字符"/>
    <w:basedOn w:val="36"/>
    <w:link w:val="19"/>
    <w:qFormat/>
    <w:uiPriority w:val="0"/>
    <w:rPr>
      <w:kern w:val="2"/>
      <w:sz w:val="21"/>
      <w:lang w:val="zh-CN" w:eastAsia="zh-CN"/>
    </w:rPr>
  </w:style>
  <w:style w:type="character" w:customStyle="1" w:styleId="121">
    <w:name w:val="批注文字 Char1"/>
    <w:qFormat/>
    <w:uiPriority w:val="0"/>
    <w:rPr>
      <w:kern w:val="2"/>
      <w:sz w:val="21"/>
    </w:rPr>
  </w:style>
  <w:style w:type="paragraph" w:customStyle="1" w:styleId="122">
    <w:name w:val="_Style 118"/>
    <w:basedOn w:val="1"/>
    <w:next w:val="123"/>
    <w:qFormat/>
    <w:uiPriority w:val="0"/>
    <w:pPr>
      <w:widowControl/>
      <w:ind w:firstLine="200" w:firstLineChars="200"/>
      <w:jc w:val="left"/>
    </w:pPr>
    <w:rPr>
      <w:rFonts w:ascii="宋体" w:cs="宋体"/>
      <w:kern w:val="0"/>
      <w:sz w:val="24"/>
    </w:rPr>
  </w:style>
  <w:style w:type="paragraph" w:styleId="123">
    <w:name w:val="List Paragraph"/>
    <w:basedOn w:val="1"/>
    <w:qFormat/>
    <w:uiPriority w:val="34"/>
    <w:pPr>
      <w:ind w:firstLine="420" w:firstLineChars="200"/>
    </w:pPr>
  </w:style>
  <w:style w:type="character" w:customStyle="1" w:styleId="124">
    <w:name w:val="文档结构图 字符"/>
    <w:basedOn w:val="36"/>
    <w:link w:val="18"/>
    <w:uiPriority w:val="0"/>
    <w:rPr>
      <w:rFonts w:ascii="宋体"/>
      <w:kern w:val="2"/>
      <w:sz w:val="18"/>
      <w:szCs w:val="18"/>
      <w:lang w:val="zh-CN" w:eastAsia="zh-CN"/>
    </w:rPr>
  </w:style>
  <w:style w:type="character" w:customStyle="1" w:styleId="125">
    <w:name w:val="批注主题 字符"/>
    <w:basedOn w:val="120"/>
    <w:link w:val="33"/>
    <w:uiPriority w:val="0"/>
    <w:rPr>
      <w:b/>
      <w:bCs/>
      <w:kern w:val="2"/>
      <w:sz w:val="21"/>
      <w:lang w:val="zh-CN" w:eastAsia="zh-CN"/>
    </w:rPr>
  </w:style>
  <w:style w:type="paragraph" w:customStyle="1" w:styleId="126">
    <w:name w:val="表标题"/>
    <w:basedOn w:val="1"/>
    <w:next w:val="1"/>
    <w:qFormat/>
    <w:uiPriority w:val="0"/>
    <w:pPr>
      <w:adjustRightInd w:val="0"/>
      <w:spacing w:after="40"/>
      <w:jc w:val="center"/>
      <w:textAlignment w:val="baseline"/>
    </w:pPr>
    <w:rPr>
      <w:rFonts w:eastAsia="幼圆"/>
      <w:b/>
      <w:bCs/>
      <w:spacing w:val="120"/>
      <w:kern w:val="0"/>
      <w:sz w:val="32"/>
      <w:szCs w:val="32"/>
    </w:rPr>
  </w:style>
  <w:style w:type="character" w:customStyle="1" w:styleId="127">
    <w:name w:val="标题 3 字符"/>
    <w:basedOn w:val="36"/>
    <w:link w:val="4"/>
    <w:uiPriority w:val="0"/>
    <w:rPr>
      <w:b/>
      <w:bCs/>
      <w:kern w:val="2"/>
      <w:sz w:val="32"/>
      <w:szCs w:val="32"/>
    </w:rPr>
  </w:style>
  <w:style w:type="paragraph" w:customStyle="1" w:styleId="128">
    <w:name w:val="Standard_JK_N"/>
    <w:basedOn w:val="26"/>
    <w:link w:val="129"/>
    <w:uiPriority w:val="0"/>
    <w:pPr>
      <w:tabs>
        <w:tab w:val="clear" w:pos="4153"/>
        <w:tab w:val="clear" w:pos="8306"/>
      </w:tabs>
      <w:snapToGrid/>
      <w:ind w:left="284" w:right="0" w:rightChars="0"/>
      <w:jc w:val="left"/>
    </w:pPr>
    <w:rPr>
      <w:rFonts w:ascii="Arial" w:hAnsi="Arial" w:cs="Arial"/>
      <w:lang w:val="en-GB"/>
    </w:rPr>
  </w:style>
  <w:style w:type="character" w:customStyle="1" w:styleId="129">
    <w:name w:val="Standard_JK_N Char"/>
    <w:basedOn w:val="36"/>
    <w:link w:val="128"/>
    <w:qFormat/>
    <w:uiPriority w:val="0"/>
    <w:rPr>
      <w:rFonts w:ascii="Arial" w:hAnsi="Arial" w:cs="Arial"/>
      <w:kern w:val="2"/>
      <w:sz w:val="18"/>
      <w:szCs w:val="18"/>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7</Pages>
  <Words>987</Words>
  <Characters>5628</Characters>
  <Lines>46</Lines>
  <Paragraphs>13</Paragraphs>
  <TotalTime>1286</TotalTime>
  <ScaleCrop>false</ScaleCrop>
  <LinksUpToDate>false</LinksUpToDate>
  <CharactersWithSpaces>6602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2019-09-24T06:43:00Z</dcterms:created>
  <dc:creator>Lenovo User</dc:creator>
  <cp:lastModifiedBy>王建民</cp:lastModifiedBy>
  <cp:lastPrinted>2021-06-17T05:26:00Z</cp:lastPrinted>
  <dcterms:modified xsi:type="dcterms:W3CDTF">2021-06-26T06:46:25Z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41341937702B47A894018AF1D169B9C9</vt:lpwstr>
  </property>
</Properties>
</file>