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right="-48" w:rightChars="-23"/>
        <w:rPr>
          <w:rFonts w:ascii="文鼎大标宋简" w:hAnsi="华文中宋" w:eastAsia="文鼎大标宋简"/>
          <w:b/>
          <w:spacing w:val="4"/>
          <w:w w:val="90"/>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ascii="文鼎大标宋简" w:hAnsi="华文中宋" w:eastAsia="文鼎大标宋简"/>
          <w:b/>
          <w:spacing w:val="4"/>
          <w:w w:val="90"/>
          <w:sz w:val="52"/>
          <w:szCs w:val="52"/>
        </w:rPr>
      </w:pPr>
      <w:r>
        <w:rPr>
          <w:rFonts w:hint="eastAsia" w:ascii="文鼎大标宋简" w:hAnsi="华文中宋" w:eastAsia="文鼎大标宋简"/>
          <w:b/>
          <w:spacing w:val="4"/>
          <w:w w:val="90"/>
          <w:sz w:val="52"/>
          <w:szCs w:val="52"/>
        </w:rPr>
        <w:t>中国重汽集团济南商用车有限公司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ascii="文鼎大标宋简" w:hAnsi="华文中宋" w:eastAsia="文鼎大标宋简"/>
          <w:b/>
          <w:spacing w:val="4"/>
          <w:w w:val="90"/>
          <w:sz w:val="52"/>
          <w:szCs w:val="52"/>
        </w:rPr>
      </w:pPr>
      <w:r>
        <w:rPr>
          <w:rFonts w:hint="eastAsia" w:ascii="文鼎大标宋简" w:hAnsi="华文中宋" w:eastAsia="文鼎大标宋简"/>
          <w:b/>
          <w:spacing w:val="4"/>
          <w:w w:val="90"/>
          <w:sz w:val="52"/>
          <w:szCs w:val="52"/>
          <w:lang w:val="en-US" w:eastAsia="zh-CN"/>
        </w:rPr>
        <w:t>纯电动皮卡</w:t>
      </w:r>
      <w:r>
        <w:rPr>
          <w:rFonts w:hint="eastAsia" w:ascii="文鼎大标宋简" w:hAnsi="华文中宋" w:eastAsia="文鼎大标宋简"/>
          <w:b/>
          <w:spacing w:val="4"/>
          <w:w w:val="90"/>
          <w:sz w:val="52"/>
          <w:szCs w:val="52"/>
        </w:rPr>
        <w:t>冲压模</w:t>
      </w:r>
      <w:r>
        <w:rPr>
          <w:rFonts w:hint="eastAsia" w:ascii="文鼎大标宋简" w:hAnsi="华文中宋" w:eastAsia="文鼎大标宋简"/>
          <w:b/>
          <w:spacing w:val="4"/>
          <w:w w:val="90"/>
          <w:sz w:val="52"/>
          <w:szCs w:val="52"/>
          <w:lang w:val="en-US" w:eastAsia="zh-CN"/>
        </w:rPr>
        <w:t>检</w:t>
      </w:r>
      <w:r>
        <w:rPr>
          <w:rFonts w:hint="eastAsia" w:ascii="文鼎大标宋简" w:hAnsi="华文中宋" w:eastAsia="文鼎大标宋简"/>
          <w:b/>
          <w:spacing w:val="4"/>
          <w:w w:val="90"/>
          <w:sz w:val="52"/>
          <w:szCs w:val="52"/>
        </w:rPr>
        <w:t>具项目</w:t>
      </w:r>
    </w:p>
    <w:p>
      <w:pPr>
        <w:spacing w:line="1000" w:lineRule="exact"/>
        <w:ind w:right="-48" w:rightChars="-23"/>
        <w:jc w:val="center"/>
        <w:rPr>
          <w:rFonts w:ascii="文鼎大标宋简" w:hAnsi="华文中宋" w:eastAsia="文鼎大标宋简"/>
          <w:b/>
          <w:spacing w:val="4"/>
          <w:w w:val="90"/>
          <w:sz w:val="52"/>
          <w:szCs w:val="52"/>
        </w:rPr>
      </w:pPr>
    </w:p>
    <w:p>
      <w:pPr>
        <w:spacing w:line="1000" w:lineRule="exact"/>
        <w:ind w:right="-48" w:rightChars="-23"/>
        <w:jc w:val="center"/>
        <w:rPr>
          <w:rFonts w:ascii="文鼎大标宋简" w:hAnsi="华文中宋" w:eastAsia="文鼎大标宋简"/>
          <w:b/>
          <w:spacing w:val="4"/>
          <w:w w:val="90"/>
          <w:sz w:val="52"/>
          <w:szCs w:val="52"/>
        </w:rPr>
      </w:pPr>
    </w:p>
    <w:p>
      <w:pPr>
        <w:jc w:val="center"/>
        <w:rPr>
          <w:rFonts w:ascii="文鼎大标宋简" w:hAnsi="华文中宋" w:eastAsia="文鼎大标宋简"/>
          <w:spacing w:val="4"/>
          <w:w w:val="90"/>
          <w:sz w:val="28"/>
          <w:szCs w:val="28"/>
        </w:rPr>
      </w:pPr>
    </w:p>
    <w:p>
      <w:pPr>
        <w:jc w:val="center"/>
        <w:rPr>
          <w:rFonts w:ascii="宋体"/>
          <w:b/>
          <w:sz w:val="96"/>
          <w:szCs w:val="96"/>
        </w:rPr>
      </w:pPr>
      <w:r>
        <w:rPr>
          <w:rFonts w:hint="eastAsia" w:ascii="宋体" w:hAnsi="宋体"/>
          <w:b/>
          <w:sz w:val="96"/>
          <w:szCs w:val="96"/>
        </w:rPr>
        <w:t>招标文件</w:t>
      </w: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r>
        <w:rPr>
          <w:rFonts w:hint="eastAsia" w:ascii="黑体" w:eastAsia="黑体"/>
          <w:sz w:val="28"/>
        </w:rPr>
        <w:t>招标方：中国重汽集团济南商用车有限公司</w:t>
      </w:r>
    </w:p>
    <w:p>
      <w:pPr>
        <w:spacing w:line="360" w:lineRule="auto"/>
        <w:jc w:val="center"/>
        <w:rPr>
          <w:rFonts w:ascii="黑体" w:eastAsia="黑体"/>
          <w:sz w:val="48"/>
          <w:szCs w:val="48"/>
        </w:rPr>
      </w:pPr>
    </w:p>
    <w:p>
      <w:pPr>
        <w:spacing w:line="360" w:lineRule="auto"/>
        <w:jc w:val="center"/>
        <w:rPr>
          <w:rFonts w:ascii="黑体" w:eastAsia="黑体"/>
          <w:sz w:val="28"/>
        </w:rPr>
      </w:pPr>
      <w:r>
        <w:rPr>
          <w:rFonts w:ascii="黑体" w:eastAsia="黑体"/>
          <w:sz w:val="28"/>
        </w:rPr>
        <w:t>20</w:t>
      </w:r>
      <w:r>
        <w:rPr>
          <w:rFonts w:hint="eastAsia" w:ascii="黑体" w:eastAsia="黑体"/>
          <w:sz w:val="28"/>
        </w:rPr>
        <w:t>2</w:t>
      </w:r>
      <w:r>
        <w:rPr>
          <w:rFonts w:hint="eastAsia" w:ascii="黑体" w:eastAsia="黑体"/>
          <w:sz w:val="28"/>
          <w:lang w:val="en-US" w:eastAsia="zh-CN"/>
        </w:rPr>
        <w:t>2</w:t>
      </w:r>
      <w:r>
        <w:rPr>
          <w:rFonts w:hint="eastAsia" w:ascii="黑体" w:eastAsia="黑体"/>
          <w:sz w:val="28"/>
        </w:rPr>
        <w:t>年</w:t>
      </w:r>
      <w:r>
        <w:rPr>
          <w:rFonts w:hint="eastAsia" w:ascii="黑体" w:eastAsia="黑体"/>
          <w:sz w:val="28"/>
          <w:lang w:val="en-US" w:eastAsia="zh-CN"/>
        </w:rPr>
        <w:t>11</w:t>
      </w:r>
      <w:r>
        <w:rPr>
          <w:rFonts w:hint="eastAsia" w:ascii="黑体" w:eastAsia="黑体"/>
          <w:sz w:val="28"/>
        </w:rPr>
        <w:t>月</w:t>
      </w:r>
    </w:p>
    <w:p>
      <w:pPr>
        <w:widowControl/>
        <w:spacing w:line="360" w:lineRule="auto"/>
        <w:jc w:val="center"/>
        <w:rPr>
          <w:rFonts w:ascii="宋体" w:hAnsi="宋体"/>
          <w:b/>
        </w:rPr>
      </w:pPr>
      <w:r>
        <w:rPr>
          <w:rFonts w:ascii="宋体" w:hAnsi="宋体" w:cs="宋体"/>
          <w:b/>
          <w:bCs/>
          <w:sz w:val="36"/>
          <w:szCs w:val="36"/>
        </w:rPr>
        <w:br w:type="page"/>
      </w:r>
      <w:r>
        <w:rPr>
          <w:rFonts w:hint="eastAsia" w:ascii="宋体" w:hAnsi="宋体" w:cs="宋体"/>
          <w:b/>
          <w:bCs/>
          <w:sz w:val="36"/>
          <w:szCs w:val="36"/>
        </w:rPr>
        <w:t>目录</w:t>
      </w:r>
    </w:p>
    <w:p>
      <w:pPr>
        <w:pStyle w:val="52"/>
        <w:tabs>
          <w:tab w:val="right" w:leader="dot" w:pos="9071"/>
        </w:tabs>
      </w:pPr>
      <w:bookmarkStart w:id="247" w:name="_GoBack"/>
      <w:bookmarkEnd w:id="247"/>
      <w:r>
        <w:rPr>
          <w:rFonts w:ascii="宋体" w:hAnsi="宋体" w:cs="宋体"/>
          <w:i/>
          <w:caps w:val="0"/>
          <w:sz w:val="21"/>
          <w:szCs w:val="21"/>
        </w:rPr>
        <w:fldChar w:fldCharType="begin"/>
      </w:r>
      <w:r>
        <w:rPr>
          <w:rFonts w:ascii="宋体" w:hAnsi="宋体" w:cs="宋体"/>
          <w:i/>
          <w:caps w:val="0"/>
          <w:sz w:val="21"/>
          <w:szCs w:val="21"/>
        </w:rPr>
        <w:instrText xml:space="preserve"> TOC \o "1-3" \h \z \u </w:instrText>
      </w:r>
      <w:r>
        <w:rPr>
          <w:rFonts w:ascii="宋体" w:hAnsi="宋体" w:cs="宋体"/>
          <w:i/>
          <w:caps w:val="0"/>
          <w:sz w:val="21"/>
          <w:szCs w:val="21"/>
        </w:rPr>
        <w:fldChar w:fldCharType="separate"/>
      </w:r>
      <w:r>
        <w:rPr>
          <w:rFonts w:ascii="宋体" w:hAnsi="宋体" w:cs="宋体"/>
          <w:i/>
          <w:caps w:val="0"/>
          <w:szCs w:val="21"/>
        </w:rPr>
        <w:fldChar w:fldCharType="begin"/>
      </w:r>
      <w:r>
        <w:rPr>
          <w:rFonts w:ascii="宋体" w:hAnsi="宋体" w:cs="宋体"/>
          <w:i/>
          <w:caps w:val="0"/>
          <w:szCs w:val="21"/>
        </w:rPr>
        <w:instrText xml:space="preserve"> HYPERLINK \l _Toc5010 </w:instrText>
      </w:r>
      <w:r>
        <w:rPr>
          <w:rFonts w:ascii="宋体" w:hAnsi="宋体" w:cs="宋体"/>
          <w:i/>
          <w:caps w:val="0"/>
          <w:szCs w:val="21"/>
        </w:rPr>
        <w:fldChar w:fldCharType="separate"/>
      </w:r>
      <w:r>
        <w:rPr>
          <w:rFonts w:hint="eastAsia" w:ascii="宋体" w:hAnsi="宋体"/>
        </w:rPr>
        <w:t>第一章</w:t>
      </w:r>
      <w:r>
        <w:rPr>
          <w:rFonts w:hint="eastAsia" w:ascii="宋体" w:hAnsi="宋体"/>
          <w:lang w:val="en-US" w:eastAsia="zh-CN"/>
        </w:rPr>
        <w:t xml:space="preserve">  投标人须知</w:t>
      </w:r>
      <w:r>
        <w:tab/>
      </w:r>
      <w:r>
        <w:fldChar w:fldCharType="begin"/>
      </w:r>
      <w:r>
        <w:instrText xml:space="preserve"> PAGEREF _Toc5010 \h </w:instrText>
      </w:r>
      <w:r>
        <w:fldChar w:fldCharType="separate"/>
      </w:r>
      <w:r>
        <w:t>4</w:t>
      </w:r>
      <w:r>
        <w:fldChar w:fldCharType="end"/>
      </w:r>
      <w:r>
        <w:rPr>
          <w:rFonts w:ascii="宋体" w:hAnsi="宋体" w:cs="宋体"/>
          <w:i/>
          <w:caps w:val="0"/>
          <w:szCs w:val="21"/>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_Toc4157 </w:instrText>
      </w:r>
      <w:r>
        <w:rPr>
          <w:rFonts w:ascii="宋体" w:hAnsi="宋体" w:cs="宋体"/>
          <w:i/>
          <w:caps/>
        </w:rPr>
        <w:fldChar w:fldCharType="separate"/>
      </w:r>
      <w:r>
        <w:rPr>
          <w:rFonts w:hint="eastAsia" w:ascii="宋体" w:hAnsi="宋体"/>
          <w:lang w:val="en-US" w:eastAsia="zh-CN"/>
        </w:rPr>
        <w:t xml:space="preserve">第二章  </w:t>
      </w:r>
      <w:r>
        <w:rPr>
          <w:rFonts w:hint="eastAsia" w:ascii="宋体" w:hAnsi="宋体"/>
          <w:highlight w:val="none"/>
        </w:rPr>
        <w:t>投标方须知</w:t>
      </w:r>
      <w:r>
        <w:tab/>
      </w:r>
      <w:r>
        <w:fldChar w:fldCharType="begin"/>
      </w:r>
      <w:r>
        <w:instrText xml:space="preserve"> PAGEREF _Toc4157 \h </w:instrText>
      </w:r>
      <w:r>
        <w:fldChar w:fldCharType="separate"/>
      </w:r>
      <w:r>
        <w:t>7</w:t>
      </w:r>
      <w:r>
        <w:fldChar w:fldCharType="end"/>
      </w:r>
      <w:r>
        <w:rPr>
          <w:rFonts w:ascii="宋体" w:hAnsi="宋体" w:cs="宋体"/>
          <w:i/>
          <w:caps/>
        </w:rPr>
        <w:fldChar w:fldCharType="end"/>
      </w:r>
    </w:p>
    <w:p>
      <w:pPr>
        <w:pStyle w:val="62"/>
        <w:tabs>
          <w:tab w:val="right" w:leader="dot" w:pos="9071"/>
        </w:tabs>
      </w:pPr>
      <w:r>
        <w:rPr>
          <w:rFonts w:ascii="宋体" w:hAnsi="宋体" w:cs="宋体"/>
          <w:i/>
          <w:caps/>
        </w:rPr>
        <w:fldChar w:fldCharType="begin"/>
      </w:r>
      <w:r>
        <w:rPr>
          <w:rFonts w:ascii="宋体" w:hAnsi="宋体" w:cs="宋体"/>
          <w:i/>
          <w:caps/>
        </w:rPr>
        <w:instrText xml:space="preserve"> HYPERLINK \l _Toc23128 </w:instrText>
      </w:r>
      <w:r>
        <w:rPr>
          <w:rFonts w:ascii="宋体" w:hAnsi="宋体" w:cs="宋体"/>
          <w:i/>
          <w:caps/>
        </w:rPr>
        <w:fldChar w:fldCharType="separate"/>
      </w:r>
      <w:r>
        <w:rPr>
          <w:rFonts w:hint="eastAsia" w:ascii="宋体" w:hAnsi="宋体" w:eastAsia="宋体" w:cs="宋体"/>
          <w:szCs w:val="28"/>
          <w:highlight w:val="none"/>
          <w:lang w:val="en-US" w:eastAsia="zh-CN"/>
        </w:rPr>
        <w:t>一</w:t>
      </w: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投标</w:t>
      </w:r>
      <w:r>
        <w:rPr>
          <w:rFonts w:hint="eastAsia" w:ascii="宋体" w:hAnsi="宋体" w:eastAsia="宋体" w:cs="宋体"/>
          <w:szCs w:val="28"/>
          <w:highlight w:val="none"/>
        </w:rPr>
        <w:t>文件编写</w:t>
      </w:r>
      <w:r>
        <w:tab/>
      </w:r>
      <w:r>
        <w:fldChar w:fldCharType="begin"/>
      </w:r>
      <w:r>
        <w:instrText xml:space="preserve"> PAGEREF _Toc23128 \h </w:instrText>
      </w:r>
      <w:r>
        <w:fldChar w:fldCharType="separate"/>
      </w:r>
      <w:r>
        <w:t>7</w:t>
      </w:r>
      <w:r>
        <w:fldChar w:fldCharType="end"/>
      </w:r>
      <w:r>
        <w:rPr>
          <w:rFonts w:ascii="宋体" w:hAnsi="宋体" w:cs="宋体"/>
          <w:i/>
          <w:caps/>
        </w:rPr>
        <w:fldChar w:fldCharType="end"/>
      </w:r>
    </w:p>
    <w:p>
      <w:pPr>
        <w:pStyle w:val="62"/>
        <w:tabs>
          <w:tab w:val="right" w:leader="dot" w:pos="9071"/>
        </w:tabs>
      </w:pPr>
      <w:r>
        <w:rPr>
          <w:rFonts w:ascii="宋体" w:hAnsi="宋体" w:cs="宋体"/>
          <w:i/>
          <w:caps/>
        </w:rPr>
        <w:fldChar w:fldCharType="begin"/>
      </w:r>
      <w:r>
        <w:rPr>
          <w:rFonts w:ascii="宋体" w:hAnsi="宋体" w:cs="宋体"/>
          <w:i/>
          <w:caps/>
        </w:rPr>
        <w:instrText xml:space="preserve"> HYPERLINK \l _Toc29278 </w:instrText>
      </w:r>
      <w:r>
        <w:rPr>
          <w:rFonts w:ascii="宋体" w:hAnsi="宋体" w:cs="宋体"/>
          <w:i/>
          <w:caps/>
        </w:rPr>
        <w:fldChar w:fldCharType="separate"/>
      </w:r>
      <w:r>
        <w:rPr>
          <w:rFonts w:hint="eastAsia" w:ascii="宋体" w:hAnsi="宋体" w:eastAsia="宋体" w:cs="宋体"/>
          <w:szCs w:val="28"/>
          <w:highlight w:val="none"/>
          <w:lang w:val="en-US" w:eastAsia="zh-CN"/>
        </w:rPr>
        <w:t>二</w:t>
      </w:r>
      <w:r>
        <w:rPr>
          <w:rFonts w:hint="eastAsia" w:ascii="宋体" w:hAnsi="宋体" w:eastAsia="宋体" w:cs="宋体"/>
          <w:szCs w:val="28"/>
          <w:highlight w:val="none"/>
        </w:rPr>
        <w:t>、开标与评标</w:t>
      </w:r>
      <w:r>
        <w:tab/>
      </w:r>
      <w:r>
        <w:fldChar w:fldCharType="begin"/>
      </w:r>
      <w:r>
        <w:instrText xml:space="preserve"> PAGEREF _Toc29278 \h </w:instrText>
      </w:r>
      <w:r>
        <w:fldChar w:fldCharType="separate"/>
      </w:r>
      <w:r>
        <w:t>8</w:t>
      </w:r>
      <w:r>
        <w:fldChar w:fldCharType="end"/>
      </w:r>
      <w:r>
        <w:rPr>
          <w:rFonts w:ascii="宋体" w:hAnsi="宋体" w:cs="宋体"/>
          <w:i/>
          <w:caps/>
        </w:rPr>
        <w:fldChar w:fldCharType="end"/>
      </w:r>
    </w:p>
    <w:p>
      <w:pPr>
        <w:pStyle w:val="62"/>
        <w:tabs>
          <w:tab w:val="right" w:leader="dot" w:pos="9071"/>
        </w:tabs>
      </w:pPr>
      <w:r>
        <w:rPr>
          <w:rFonts w:ascii="宋体" w:hAnsi="宋体" w:cs="宋体"/>
          <w:i/>
          <w:caps/>
        </w:rPr>
        <w:fldChar w:fldCharType="begin"/>
      </w:r>
      <w:r>
        <w:rPr>
          <w:rFonts w:ascii="宋体" w:hAnsi="宋体" w:cs="宋体"/>
          <w:i/>
          <w:caps/>
        </w:rPr>
        <w:instrText xml:space="preserve"> HYPERLINK \l _Toc25402 </w:instrText>
      </w:r>
      <w:r>
        <w:rPr>
          <w:rFonts w:ascii="宋体" w:hAnsi="宋体" w:cs="宋体"/>
          <w:i/>
          <w:caps/>
        </w:rPr>
        <w:fldChar w:fldCharType="separate"/>
      </w:r>
      <w:r>
        <w:rPr>
          <w:rFonts w:hint="eastAsia" w:ascii="宋体" w:hAnsi="宋体" w:eastAsia="宋体" w:cs="宋体"/>
          <w:szCs w:val="28"/>
          <w:highlight w:val="none"/>
          <w:lang w:val="en-US" w:eastAsia="zh-CN"/>
        </w:rPr>
        <w:t>三</w:t>
      </w:r>
      <w:r>
        <w:rPr>
          <w:rFonts w:hint="eastAsia" w:ascii="宋体" w:hAnsi="宋体" w:eastAsia="宋体" w:cs="宋体"/>
          <w:szCs w:val="28"/>
          <w:highlight w:val="none"/>
        </w:rPr>
        <w:t>、授予合同</w:t>
      </w:r>
      <w:r>
        <w:tab/>
      </w:r>
      <w:r>
        <w:fldChar w:fldCharType="begin"/>
      </w:r>
      <w:r>
        <w:instrText xml:space="preserve"> PAGEREF _Toc25402 \h </w:instrText>
      </w:r>
      <w:r>
        <w:fldChar w:fldCharType="separate"/>
      </w:r>
      <w:r>
        <w:t>8</w:t>
      </w:r>
      <w:r>
        <w:fldChar w:fldCharType="end"/>
      </w:r>
      <w:r>
        <w:rPr>
          <w:rFonts w:ascii="宋体" w:hAnsi="宋体" w:cs="宋体"/>
          <w:i/>
          <w:caps/>
        </w:rPr>
        <w:fldChar w:fldCharType="end"/>
      </w:r>
    </w:p>
    <w:p>
      <w:pPr>
        <w:pStyle w:val="62"/>
        <w:tabs>
          <w:tab w:val="right" w:leader="dot" w:pos="9071"/>
        </w:tabs>
      </w:pPr>
      <w:r>
        <w:rPr>
          <w:rFonts w:ascii="宋体" w:hAnsi="宋体" w:cs="宋体"/>
          <w:i/>
          <w:caps/>
        </w:rPr>
        <w:fldChar w:fldCharType="begin"/>
      </w:r>
      <w:r>
        <w:rPr>
          <w:rFonts w:ascii="宋体" w:hAnsi="宋体" w:cs="宋体"/>
          <w:i/>
          <w:caps/>
        </w:rPr>
        <w:instrText xml:space="preserve"> HYPERLINK \l _Toc21007 </w:instrText>
      </w:r>
      <w:r>
        <w:rPr>
          <w:rFonts w:ascii="宋体" w:hAnsi="宋体" w:cs="宋体"/>
          <w:i/>
          <w:caps/>
        </w:rPr>
        <w:fldChar w:fldCharType="separate"/>
      </w:r>
      <w:r>
        <w:rPr>
          <w:rFonts w:hint="eastAsia" w:ascii="宋体" w:hAnsi="宋体" w:eastAsia="宋体" w:cs="宋体"/>
          <w:szCs w:val="28"/>
          <w:highlight w:val="none"/>
          <w:lang w:val="en-US" w:eastAsia="zh-CN"/>
        </w:rPr>
        <w:t>四</w:t>
      </w:r>
      <w:r>
        <w:rPr>
          <w:rFonts w:hint="eastAsia" w:ascii="宋体" w:hAnsi="宋体" w:eastAsia="宋体" w:cs="宋体"/>
          <w:szCs w:val="28"/>
          <w:highlight w:val="none"/>
        </w:rPr>
        <w:t>、解释权</w:t>
      </w:r>
      <w:r>
        <w:tab/>
      </w:r>
      <w:r>
        <w:fldChar w:fldCharType="begin"/>
      </w:r>
      <w:r>
        <w:instrText xml:space="preserve"> PAGEREF _Toc21007 \h </w:instrText>
      </w:r>
      <w:r>
        <w:fldChar w:fldCharType="separate"/>
      </w:r>
      <w:r>
        <w:t>10</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_Toc15559 </w:instrText>
      </w:r>
      <w:r>
        <w:rPr>
          <w:rFonts w:ascii="宋体" w:hAnsi="宋体" w:cs="宋体"/>
          <w:i/>
          <w:caps/>
        </w:rPr>
        <w:fldChar w:fldCharType="separate"/>
      </w:r>
      <w:r>
        <w:rPr>
          <w:rFonts w:hint="eastAsia" w:ascii="宋体" w:hAnsi="宋体"/>
        </w:rPr>
        <w:t>第</w:t>
      </w:r>
      <w:r>
        <w:rPr>
          <w:rFonts w:hint="eastAsia" w:ascii="宋体" w:hAnsi="宋体"/>
          <w:lang w:val="en-US" w:eastAsia="zh-CN"/>
        </w:rPr>
        <w:t>三</w:t>
      </w:r>
      <w:r>
        <w:rPr>
          <w:rFonts w:hint="eastAsia" w:ascii="宋体" w:hAnsi="宋体"/>
        </w:rPr>
        <w:t>章  技术规格及技术要求</w:t>
      </w:r>
      <w:r>
        <w:tab/>
      </w:r>
      <w:r>
        <w:fldChar w:fldCharType="begin"/>
      </w:r>
      <w:r>
        <w:instrText xml:space="preserve"> PAGEREF _Toc15559 \h </w:instrText>
      </w:r>
      <w:r>
        <w:fldChar w:fldCharType="separate"/>
      </w:r>
      <w:r>
        <w:t>11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_Toc9384 </w:instrText>
      </w:r>
      <w:r>
        <w:rPr>
          <w:rFonts w:ascii="宋体" w:hAnsi="宋体" w:cs="宋体"/>
          <w:i/>
          <w:caps/>
        </w:rPr>
        <w:fldChar w:fldCharType="separate"/>
      </w:r>
      <w:r>
        <w:rPr>
          <w:rFonts w:hint="eastAsia" w:ascii="宋体" w:hAnsi="宋体" w:eastAsia="宋体" w:cs="宋体"/>
          <w:bCs w:val="0"/>
          <w:kern w:val="2"/>
          <w:szCs w:val="21"/>
        </w:rPr>
        <w:t>1．项目概况及货物的使用环境</w:t>
      </w:r>
      <w:r>
        <w:tab/>
      </w:r>
      <w:r>
        <w:fldChar w:fldCharType="begin"/>
      </w:r>
      <w:r>
        <w:instrText xml:space="preserve"> PAGEREF _Toc9384 \h </w:instrText>
      </w:r>
      <w:r>
        <w:fldChar w:fldCharType="separate"/>
      </w:r>
      <w:r>
        <w:t>11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_Toc19419 </w:instrText>
      </w:r>
      <w:r>
        <w:rPr>
          <w:rFonts w:ascii="宋体" w:hAnsi="宋体" w:cs="宋体"/>
          <w:i/>
          <w:caps/>
        </w:rPr>
        <w:fldChar w:fldCharType="separate"/>
      </w:r>
      <w:r>
        <w:rPr>
          <w:rFonts w:hint="eastAsia" w:ascii="宋体" w:hAnsi="宋体" w:eastAsia="宋体" w:cs="宋体"/>
          <w:bCs w:val="0"/>
          <w:kern w:val="2"/>
          <w:szCs w:val="21"/>
        </w:rPr>
        <w:t>2．货物需求一览表</w:t>
      </w:r>
      <w:r>
        <w:tab/>
      </w:r>
      <w:r>
        <w:fldChar w:fldCharType="begin"/>
      </w:r>
      <w:r>
        <w:instrText xml:space="preserve"> PAGEREF _Toc19419 \h </w:instrText>
      </w:r>
      <w:r>
        <w:fldChar w:fldCharType="separate"/>
      </w:r>
      <w:r>
        <w:t>11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_Toc29939 </w:instrText>
      </w:r>
      <w:r>
        <w:rPr>
          <w:rFonts w:ascii="宋体" w:hAnsi="宋体" w:cs="宋体"/>
          <w:i/>
          <w:caps/>
        </w:rPr>
        <w:fldChar w:fldCharType="separate"/>
      </w:r>
      <w:r>
        <w:rPr>
          <w:rFonts w:hint="eastAsia" w:ascii="宋体" w:hAnsi="宋体" w:eastAsia="宋体" w:cs="宋体"/>
          <w:bCs w:val="0"/>
          <w:kern w:val="2"/>
          <w:szCs w:val="21"/>
        </w:rPr>
        <w:t>1、供货内容</w:t>
      </w:r>
      <w:r>
        <w:tab/>
      </w:r>
      <w:r>
        <w:fldChar w:fldCharType="begin"/>
      </w:r>
      <w:r>
        <w:instrText xml:space="preserve"> PAGEREF _Toc29939 \h </w:instrText>
      </w:r>
      <w:r>
        <w:fldChar w:fldCharType="separate"/>
      </w:r>
      <w:r>
        <w:t>11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_Toc1149 </w:instrText>
      </w:r>
      <w:r>
        <w:rPr>
          <w:rFonts w:ascii="宋体" w:hAnsi="宋体" w:cs="宋体"/>
          <w:i/>
          <w:caps/>
        </w:rPr>
        <w:fldChar w:fldCharType="separate"/>
      </w:r>
      <w:r>
        <w:rPr>
          <w:rFonts w:hint="eastAsia" w:ascii="宋体" w:hAnsi="宋体"/>
        </w:rPr>
        <w:t>第</w:t>
      </w:r>
      <w:r>
        <w:rPr>
          <w:rFonts w:hint="eastAsia" w:ascii="宋体" w:hAnsi="宋体"/>
          <w:lang w:val="en-US" w:eastAsia="zh-CN"/>
        </w:rPr>
        <w:t>四</w:t>
      </w:r>
      <w:r>
        <w:rPr>
          <w:rFonts w:hint="eastAsia" w:ascii="宋体" w:hAnsi="宋体"/>
        </w:rPr>
        <w:t>章  设备采购合同</w:t>
      </w:r>
      <w:r>
        <w:tab/>
      </w:r>
      <w:r>
        <w:fldChar w:fldCharType="begin"/>
      </w:r>
      <w:r>
        <w:instrText xml:space="preserve"> PAGEREF _Toc1149 \h </w:instrText>
      </w:r>
      <w:r>
        <w:fldChar w:fldCharType="separate"/>
      </w:r>
      <w:r>
        <w:t>37</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_Toc8928 </w:instrText>
      </w:r>
      <w:r>
        <w:rPr>
          <w:rFonts w:ascii="宋体" w:hAnsi="宋体" w:cs="宋体"/>
          <w:i/>
          <w:caps/>
        </w:rPr>
        <w:fldChar w:fldCharType="separate"/>
      </w:r>
      <w:r>
        <w:rPr>
          <w:rFonts w:hint="eastAsia" w:ascii="黑体" w:hAnsi="黑体" w:eastAsia="黑体" w:cstheme="minorEastAsia"/>
          <w:szCs w:val="28"/>
        </w:rPr>
        <w:t>1 合同设备</w:t>
      </w:r>
      <w:r>
        <w:tab/>
      </w:r>
      <w:r>
        <w:fldChar w:fldCharType="begin"/>
      </w:r>
      <w:r>
        <w:instrText xml:space="preserve"> PAGEREF _Toc8928 \h </w:instrText>
      </w:r>
      <w:r>
        <w:fldChar w:fldCharType="separate"/>
      </w:r>
      <w:r>
        <w:t>38</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_Toc32006 </w:instrText>
      </w:r>
      <w:r>
        <w:rPr>
          <w:rFonts w:ascii="宋体" w:hAnsi="宋体" w:cs="宋体"/>
          <w:i/>
          <w:caps/>
        </w:rPr>
        <w:fldChar w:fldCharType="separate"/>
      </w:r>
      <w:r>
        <w:rPr>
          <w:rFonts w:hint="eastAsia" w:ascii="黑体" w:hAnsi="黑体" w:eastAsia="黑体" w:cstheme="minorEastAsia"/>
          <w:szCs w:val="28"/>
        </w:rPr>
        <w:t>2 包装</w:t>
      </w:r>
      <w:r>
        <w:tab/>
      </w:r>
      <w:r>
        <w:fldChar w:fldCharType="begin"/>
      </w:r>
      <w:r>
        <w:instrText xml:space="preserve"> PAGEREF _Toc32006 \h </w:instrText>
      </w:r>
      <w:r>
        <w:fldChar w:fldCharType="separate"/>
      </w:r>
      <w:r>
        <w:t>38</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_Toc23125 </w:instrText>
      </w:r>
      <w:r>
        <w:rPr>
          <w:rFonts w:ascii="宋体" w:hAnsi="宋体" w:cs="宋体"/>
          <w:i/>
          <w:caps/>
        </w:rPr>
        <w:fldChar w:fldCharType="separate"/>
      </w:r>
      <w:r>
        <w:rPr>
          <w:rFonts w:hint="eastAsia" w:ascii="黑体" w:hAnsi="黑体" w:eastAsia="黑体" w:cstheme="minorEastAsia"/>
          <w:szCs w:val="28"/>
        </w:rPr>
        <w:t>3 运输标记</w:t>
      </w:r>
      <w:r>
        <w:tab/>
      </w:r>
      <w:r>
        <w:fldChar w:fldCharType="begin"/>
      </w:r>
      <w:r>
        <w:instrText xml:space="preserve"> PAGEREF _Toc23125 \h </w:instrText>
      </w:r>
      <w:r>
        <w:fldChar w:fldCharType="separate"/>
      </w:r>
      <w:r>
        <w:t>38</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_Toc7186 </w:instrText>
      </w:r>
      <w:r>
        <w:rPr>
          <w:rFonts w:ascii="宋体" w:hAnsi="宋体" w:cs="宋体"/>
          <w:i/>
          <w:caps/>
        </w:rPr>
        <w:fldChar w:fldCharType="separate"/>
      </w:r>
      <w:r>
        <w:rPr>
          <w:rFonts w:hint="eastAsia" w:ascii="黑体" w:hAnsi="黑体" w:eastAsia="黑体" w:cstheme="minorEastAsia"/>
          <w:szCs w:val="28"/>
        </w:rPr>
        <w:t>4 检验</w:t>
      </w:r>
      <w:r>
        <w:tab/>
      </w:r>
      <w:r>
        <w:fldChar w:fldCharType="begin"/>
      </w:r>
      <w:r>
        <w:instrText xml:space="preserve"> PAGEREF _Toc7186 \h </w:instrText>
      </w:r>
      <w:r>
        <w:fldChar w:fldCharType="separate"/>
      </w:r>
      <w:r>
        <w:t>39</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_Toc13072 </w:instrText>
      </w:r>
      <w:r>
        <w:rPr>
          <w:rFonts w:ascii="宋体" w:hAnsi="宋体" w:cs="宋体"/>
          <w:i/>
          <w:caps/>
        </w:rPr>
        <w:fldChar w:fldCharType="separate"/>
      </w:r>
      <w:r>
        <w:rPr>
          <w:rFonts w:hint="eastAsia" w:ascii="黑体" w:hAnsi="黑体" w:eastAsia="黑体" w:cstheme="minorEastAsia"/>
          <w:szCs w:val="28"/>
        </w:rPr>
        <w:t>5 权利担保</w:t>
      </w:r>
      <w:r>
        <w:tab/>
      </w:r>
      <w:r>
        <w:fldChar w:fldCharType="begin"/>
      </w:r>
      <w:r>
        <w:instrText xml:space="preserve"> PAGEREF _Toc13072 \h </w:instrText>
      </w:r>
      <w:r>
        <w:fldChar w:fldCharType="separate"/>
      </w:r>
      <w:r>
        <w:t>39</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_Toc24035 </w:instrText>
      </w:r>
      <w:r>
        <w:rPr>
          <w:rFonts w:ascii="宋体" w:hAnsi="宋体" w:cs="宋体"/>
          <w:i/>
          <w:caps/>
        </w:rPr>
        <w:fldChar w:fldCharType="separate"/>
      </w:r>
      <w:r>
        <w:rPr>
          <w:rFonts w:hint="eastAsia" w:ascii="黑体" w:hAnsi="黑体" w:eastAsia="黑体" w:cstheme="minorEastAsia"/>
          <w:szCs w:val="28"/>
        </w:rPr>
        <w:t>6 交货</w:t>
      </w:r>
      <w:r>
        <w:tab/>
      </w:r>
      <w:r>
        <w:fldChar w:fldCharType="begin"/>
      </w:r>
      <w:r>
        <w:instrText xml:space="preserve"> PAGEREF _Toc24035 \h </w:instrText>
      </w:r>
      <w:r>
        <w:fldChar w:fldCharType="separate"/>
      </w:r>
      <w:r>
        <w:t>40</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_Toc16562 </w:instrText>
      </w:r>
      <w:r>
        <w:rPr>
          <w:rFonts w:ascii="宋体" w:hAnsi="宋体" w:cs="宋体"/>
          <w:i/>
          <w:caps/>
        </w:rPr>
        <w:fldChar w:fldCharType="separate"/>
      </w:r>
      <w:r>
        <w:rPr>
          <w:rFonts w:hint="eastAsia" w:ascii="黑体" w:hAnsi="黑体" w:eastAsia="黑体" w:cstheme="minorEastAsia"/>
          <w:szCs w:val="28"/>
        </w:rPr>
        <w:t>7 安装、调试</w:t>
      </w:r>
      <w:r>
        <w:tab/>
      </w:r>
      <w:r>
        <w:fldChar w:fldCharType="begin"/>
      </w:r>
      <w:r>
        <w:instrText xml:space="preserve"> PAGEREF _Toc16562 \h </w:instrText>
      </w:r>
      <w:r>
        <w:fldChar w:fldCharType="separate"/>
      </w:r>
      <w:r>
        <w:t>41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_Toc5722 </w:instrText>
      </w:r>
      <w:r>
        <w:rPr>
          <w:rFonts w:ascii="宋体" w:hAnsi="宋体" w:cs="宋体"/>
          <w:i/>
          <w:caps/>
        </w:rPr>
        <w:fldChar w:fldCharType="separate"/>
      </w:r>
      <w:r>
        <w:rPr>
          <w:rFonts w:hint="eastAsia" w:ascii="黑体" w:hAnsi="黑体" w:eastAsia="黑体" w:cstheme="minorEastAsia"/>
          <w:szCs w:val="28"/>
        </w:rPr>
        <w:t>8 价款与支付</w:t>
      </w:r>
      <w:r>
        <w:tab/>
      </w:r>
      <w:r>
        <w:fldChar w:fldCharType="begin"/>
      </w:r>
      <w:r>
        <w:instrText xml:space="preserve"> PAGEREF _Toc5722 \h </w:instrText>
      </w:r>
      <w:r>
        <w:fldChar w:fldCharType="separate"/>
      </w:r>
      <w:r>
        <w:t>41</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_Toc25431 </w:instrText>
      </w:r>
      <w:r>
        <w:rPr>
          <w:rFonts w:ascii="宋体" w:hAnsi="宋体" w:cs="宋体"/>
          <w:i/>
          <w:caps/>
        </w:rPr>
        <w:fldChar w:fldCharType="separate"/>
      </w:r>
      <w:r>
        <w:rPr>
          <w:rFonts w:hint="eastAsia" w:ascii="黑体" w:hAnsi="黑体" w:eastAsia="黑体" w:cstheme="minorEastAsia"/>
          <w:szCs w:val="28"/>
        </w:rPr>
        <w:t>9 质量保证及售后服务</w:t>
      </w:r>
      <w:r>
        <w:tab/>
      </w:r>
      <w:r>
        <w:fldChar w:fldCharType="begin"/>
      </w:r>
      <w:r>
        <w:instrText xml:space="preserve"> PAGEREF _Toc25431 \h </w:instrText>
      </w:r>
      <w:r>
        <w:fldChar w:fldCharType="separate"/>
      </w:r>
      <w:r>
        <w:t>42</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_Toc31222 </w:instrText>
      </w:r>
      <w:r>
        <w:rPr>
          <w:rFonts w:ascii="宋体" w:hAnsi="宋体" w:cs="宋体"/>
          <w:i/>
          <w:caps/>
        </w:rPr>
        <w:fldChar w:fldCharType="separate"/>
      </w:r>
      <w:r>
        <w:rPr>
          <w:rFonts w:hint="eastAsia" w:ascii="黑体" w:hAnsi="黑体" w:eastAsia="黑体" w:cstheme="minorEastAsia"/>
          <w:szCs w:val="28"/>
        </w:rPr>
        <w:t>10法定责任</w:t>
      </w:r>
      <w:r>
        <w:tab/>
      </w:r>
      <w:r>
        <w:fldChar w:fldCharType="begin"/>
      </w:r>
      <w:r>
        <w:instrText xml:space="preserve"> PAGEREF _Toc31222 \h </w:instrText>
      </w:r>
      <w:r>
        <w:fldChar w:fldCharType="separate"/>
      </w:r>
      <w:r>
        <w:t>43</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_Toc18181 </w:instrText>
      </w:r>
      <w:r>
        <w:rPr>
          <w:rFonts w:ascii="宋体" w:hAnsi="宋体" w:cs="宋体"/>
          <w:i/>
          <w:caps/>
        </w:rPr>
        <w:fldChar w:fldCharType="separate"/>
      </w:r>
      <w:r>
        <w:rPr>
          <w:rFonts w:hint="eastAsia" w:ascii="黑体" w:hAnsi="黑体" w:eastAsia="黑体" w:cstheme="minorEastAsia"/>
          <w:szCs w:val="28"/>
        </w:rPr>
        <w:t>11 违约责任</w:t>
      </w:r>
      <w:r>
        <w:tab/>
      </w:r>
      <w:r>
        <w:fldChar w:fldCharType="begin"/>
      </w:r>
      <w:r>
        <w:instrText xml:space="preserve"> PAGEREF _Toc18181 \h </w:instrText>
      </w:r>
      <w:r>
        <w:fldChar w:fldCharType="separate"/>
      </w:r>
      <w:r>
        <w:t>43</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_Toc20484 </w:instrText>
      </w:r>
      <w:r>
        <w:rPr>
          <w:rFonts w:ascii="宋体" w:hAnsi="宋体" w:cs="宋体"/>
          <w:i/>
          <w:caps/>
        </w:rPr>
        <w:fldChar w:fldCharType="separate"/>
      </w:r>
      <w:r>
        <w:rPr>
          <w:rFonts w:hint="eastAsia" w:ascii="黑体" w:hAnsi="黑体" w:eastAsia="黑体" w:cstheme="minorEastAsia"/>
          <w:szCs w:val="28"/>
        </w:rPr>
        <w:t>12 合同的终止与解除</w:t>
      </w:r>
      <w:r>
        <w:tab/>
      </w:r>
      <w:r>
        <w:fldChar w:fldCharType="begin"/>
      </w:r>
      <w:r>
        <w:instrText xml:space="preserve"> PAGEREF _Toc20484 \h </w:instrText>
      </w:r>
      <w:r>
        <w:fldChar w:fldCharType="separate"/>
      </w:r>
      <w:r>
        <w:t>44</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_Toc15284 </w:instrText>
      </w:r>
      <w:r>
        <w:rPr>
          <w:rFonts w:ascii="宋体" w:hAnsi="宋体" w:cs="宋体"/>
          <w:i/>
          <w:caps/>
        </w:rPr>
        <w:fldChar w:fldCharType="separate"/>
      </w:r>
      <w:r>
        <w:rPr>
          <w:rFonts w:hint="eastAsia" w:ascii="黑体" w:hAnsi="黑体" w:eastAsia="黑体" w:cstheme="minorEastAsia"/>
          <w:szCs w:val="28"/>
        </w:rPr>
        <w:t>13 不可抗力</w:t>
      </w:r>
      <w:r>
        <w:tab/>
      </w:r>
      <w:r>
        <w:fldChar w:fldCharType="begin"/>
      </w:r>
      <w:r>
        <w:instrText xml:space="preserve"> PAGEREF _Toc15284 \h </w:instrText>
      </w:r>
      <w:r>
        <w:fldChar w:fldCharType="separate"/>
      </w:r>
      <w:r>
        <w:t>45</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_Toc7952 </w:instrText>
      </w:r>
      <w:r>
        <w:rPr>
          <w:rFonts w:ascii="宋体" w:hAnsi="宋体" w:cs="宋体"/>
          <w:i/>
          <w:caps/>
        </w:rPr>
        <w:fldChar w:fldCharType="separate"/>
      </w:r>
      <w:r>
        <w:rPr>
          <w:rFonts w:hint="eastAsia" w:ascii="黑体" w:hAnsi="黑体" w:eastAsia="黑体" w:cstheme="minorEastAsia"/>
          <w:szCs w:val="28"/>
        </w:rPr>
        <w:t>14 通讯</w:t>
      </w:r>
      <w:r>
        <w:tab/>
      </w:r>
      <w:r>
        <w:fldChar w:fldCharType="begin"/>
      </w:r>
      <w:r>
        <w:instrText xml:space="preserve"> PAGEREF _Toc7952 \h </w:instrText>
      </w:r>
      <w:r>
        <w:fldChar w:fldCharType="separate"/>
      </w:r>
      <w:r>
        <w:t>45</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_Toc4709 </w:instrText>
      </w:r>
      <w:r>
        <w:rPr>
          <w:rFonts w:ascii="宋体" w:hAnsi="宋体" w:cs="宋体"/>
          <w:i/>
          <w:caps/>
        </w:rPr>
        <w:fldChar w:fldCharType="separate"/>
      </w:r>
      <w:r>
        <w:rPr>
          <w:rFonts w:hint="eastAsia" w:ascii="黑体" w:hAnsi="黑体" w:eastAsia="黑体" w:cstheme="minorEastAsia"/>
          <w:szCs w:val="28"/>
        </w:rPr>
        <w:t>15 适用法律及争议解决</w:t>
      </w:r>
      <w:r>
        <w:tab/>
      </w:r>
      <w:r>
        <w:fldChar w:fldCharType="begin"/>
      </w:r>
      <w:r>
        <w:instrText xml:space="preserve"> PAGEREF _Toc4709 \h </w:instrText>
      </w:r>
      <w:r>
        <w:fldChar w:fldCharType="separate"/>
      </w:r>
      <w:r>
        <w:t>46</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_Toc28182 </w:instrText>
      </w:r>
      <w:r>
        <w:rPr>
          <w:rFonts w:ascii="宋体" w:hAnsi="宋体" w:cs="宋体"/>
          <w:i/>
          <w:caps/>
        </w:rPr>
        <w:fldChar w:fldCharType="separate"/>
      </w:r>
      <w:r>
        <w:rPr>
          <w:rFonts w:hint="eastAsia" w:ascii="黑体" w:hAnsi="黑体" w:eastAsia="黑体" w:cstheme="minorEastAsia"/>
          <w:szCs w:val="28"/>
        </w:rPr>
        <w:t>16 附件</w:t>
      </w:r>
      <w:r>
        <w:tab/>
      </w:r>
      <w:r>
        <w:fldChar w:fldCharType="begin"/>
      </w:r>
      <w:r>
        <w:instrText xml:space="preserve"> PAGEREF _Toc28182 \h </w:instrText>
      </w:r>
      <w:r>
        <w:fldChar w:fldCharType="separate"/>
      </w:r>
      <w:r>
        <w:t>46</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_Toc20518 </w:instrText>
      </w:r>
      <w:r>
        <w:rPr>
          <w:rFonts w:ascii="宋体" w:hAnsi="宋体" w:cs="宋体"/>
          <w:i/>
          <w:caps/>
        </w:rPr>
        <w:fldChar w:fldCharType="separate"/>
      </w:r>
      <w:r>
        <w:rPr>
          <w:rFonts w:hint="eastAsia" w:ascii="黑体" w:hAnsi="黑体" w:eastAsia="黑体" w:cstheme="minorEastAsia"/>
          <w:szCs w:val="28"/>
        </w:rPr>
        <w:t>17 其他规定</w:t>
      </w:r>
      <w:r>
        <w:tab/>
      </w:r>
      <w:r>
        <w:fldChar w:fldCharType="begin"/>
      </w:r>
      <w:r>
        <w:instrText xml:space="preserve"> PAGEREF _Toc20518 \h </w:instrText>
      </w:r>
      <w:r>
        <w:fldChar w:fldCharType="separate"/>
      </w:r>
      <w:r>
        <w:t>46</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_Toc18436 </w:instrText>
      </w:r>
      <w:r>
        <w:rPr>
          <w:rFonts w:ascii="宋体" w:hAnsi="宋体" w:cs="宋体"/>
          <w:i/>
          <w:caps/>
        </w:rPr>
        <w:fldChar w:fldCharType="separate"/>
      </w:r>
      <w:r>
        <w:rPr>
          <w:rFonts w:hint="eastAsia" w:ascii="黑体" w:hAnsi="黑体" w:eastAsia="黑体" w:cstheme="minorEastAsia"/>
          <w:szCs w:val="28"/>
        </w:rPr>
        <w:t>18 签署事项</w:t>
      </w:r>
      <w:r>
        <w:tab/>
      </w:r>
      <w:r>
        <w:fldChar w:fldCharType="begin"/>
      </w:r>
      <w:r>
        <w:instrText xml:space="preserve"> PAGEREF _Toc18436 \h </w:instrText>
      </w:r>
      <w:r>
        <w:fldChar w:fldCharType="separate"/>
      </w:r>
      <w:r>
        <w:t>47</w:t>
      </w:r>
      <w:r>
        <w:fldChar w:fldCharType="end"/>
      </w:r>
      <w:r>
        <w:rPr>
          <w:rFonts w:ascii="宋体" w:hAnsi="宋体" w:cs="宋体"/>
          <w:i/>
          <w:caps/>
        </w:rPr>
        <w:fldChar w:fldCharType="end"/>
      </w:r>
    </w:p>
    <w:p>
      <w:pPr>
        <w:pStyle w:val="52"/>
        <w:tabs>
          <w:tab w:val="right" w:leader="dot" w:pos="9071"/>
        </w:tabs>
      </w:pPr>
      <w:r>
        <w:rPr>
          <w:rFonts w:ascii="宋体" w:hAnsi="宋体" w:cs="宋体"/>
          <w:i/>
          <w:caps/>
        </w:rPr>
        <w:fldChar w:fldCharType="begin"/>
      </w:r>
      <w:r>
        <w:rPr>
          <w:rFonts w:ascii="宋体" w:hAnsi="宋体" w:cs="宋体"/>
          <w:i/>
          <w:caps/>
        </w:rPr>
        <w:instrText xml:space="preserve"> HYPERLINK \l _Toc19950 </w:instrText>
      </w:r>
      <w:r>
        <w:rPr>
          <w:rFonts w:ascii="宋体" w:hAnsi="宋体" w:cs="宋体"/>
          <w:i/>
          <w:caps/>
        </w:rPr>
        <w:fldChar w:fldCharType="separate"/>
      </w:r>
      <w:r>
        <w:rPr>
          <w:rFonts w:hint="eastAsia" w:ascii="黑体" w:hAnsi="黑体" w:eastAsia="黑体" w:cstheme="minorEastAsia"/>
          <w:szCs w:val="28"/>
        </w:rPr>
        <w:t>附件一：设备清单明细表</w:t>
      </w:r>
      <w:r>
        <w:tab/>
      </w:r>
      <w:r>
        <w:fldChar w:fldCharType="begin"/>
      </w:r>
      <w:r>
        <w:instrText xml:space="preserve"> PAGEREF _Toc19950 \h </w:instrText>
      </w:r>
      <w:r>
        <w:fldChar w:fldCharType="separate"/>
      </w:r>
      <w:r>
        <w:t>47</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_Toc23694 </w:instrText>
      </w:r>
      <w:r>
        <w:rPr>
          <w:rFonts w:ascii="宋体" w:hAnsi="宋体" w:cs="宋体"/>
          <w:i/>
          <w:caps/>
        </w:rPr>
        <w:fldChar w:fldCharType="separate"/>
      </w:r>
      <w:r>
        <w:rPr>
          <w:rFonts w:hint="eastAsia" w:ascii="宋体" w:hAnsi="宋体" w:cs="宋体"/>
          <w:bCs w:val="0"/>
          <w:szCs w:val="24"/>
        </w:rPr>
        <w:t>附件一：投标函</w:t>
      </w:r>
      <w:r>
        <w:tab/>
      </w:r>
      <w:r>
        <w:fldChar w:fldCharType="begin"/>
      </w:r>
      <w:r>
        <w:instrText xml:space="preserve"> PAGEREF _Toc23694 \h </w:instrText>
      </w:r>
      <w:r>
        <w:fldChar w:fldCharType="separate"/>
      </w:r>
      <w:r>
        <w:t>48</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_Toc21696 </w:instrText>
      </w:r>
      <w:r>
        <w:rPr>
          <w:rFonts w:ascii="宋体" w:hAnsi="宋体" w:cs="宋体"/>
          <w:i/>
          <w:caps/>
        </w:rPr>
        <w:fldChar w:fldCharType="separate"/>
      </w:r>
      <w:r>
        <w:rPr>
          <w:rFonts w:hint="eastAsia" w:ascii="宋体" w:hAnsi="宋体" w:cs="宋体"/>
          <w:bCs w:val="0"/>
          <w:szCs w:val="24"/>
        </w:rPr>
        <w:t>附件二：授权委托书</w:t>
      </w:r>
      <w:r>
        <w:tab/>
      </w:r>
      <w:r>
        <w:fldChar w:fldCharType="begin"/>
      </w:r>
      <w:r>
        <w:instrText xml:space="preserve"> PAGEREF _Toc21696 \h </w:instrText>
      </w:r>
      <w:r>
        <w:fldChar w:fldCharType="separate"/>
      </w:r>
      <w:r>
        <w:t>49</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_Toc12390 </w:instrText>
      </w:r>
      <w:r>
        <w:rPr>
          <w:rFonts w:ascii="宋体" w:hAnsi="宋体" w:cs="宋体"/>
          <w:i/>
          <w:caps/>
        </w:rPr>
        <w:fldChar w:fldCharType="separate"/>
      </w:r>
      <w:r>
        <w:rPr>
          <w:rFonts w:hint="eastAsia" w:ascii="宋体" w:hAnsi="宋体" w:cs="宋体"/>
          <w:bCs w:val="0"/>
          <w:szCs w:val="24"/>
        </w:rPr>
        <w:t>附件三、投标方基本情况表</w:t>
      </w:r>
      <w:r>
        <w:tab/>
      </w:r>
      <w:r>
        <w:fldChar w:fldCharType="begin"/>
      </w:r>
      <w:r>
        <w:instrText xml:space="preserve"> PAGEREF _Toc12390 \h </w:instrText>
      </w:r>
      <w:r>
        <w:fldChar w:fldCharType="separate"/>
      </w:r>
      <w:r>
        <w:t>50</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_Toc32626 </w:instrText>
      </w:r>
      <w:r>
        <w:rPr>
          <w:rFonts w:ascii="宋体" w:hAnsi="宋体" w:cs="宋体"/>
          <w:i/>
          <w:caps/>
        </w:rPr>
        <w:fldChar w:fldCharType="separate"/>
      </w:r>
      <w:r>
        <w:rPr>
          <w:rFonts w:hint="eastAsia" w:ascii="宋体" w:hAnsi="宋体" w:cs="宋体"/>
          <w:bCs w:val="0"/>
          <w:szCs w:val="24"/>
        </w:rPr>
        <w:t>附件四：开标一览表</w:t>
      </w:r>
      <w:r>
        <w:tab/>
      </w:r>
      <w:r>
        <w:fldChar w:fldCharType="begin"/>
      </w:r>
      <w:r>
        <w:instrText xml:space="preserve"> PAGEREF _Toc32626 \h </w:instrText>
      </w:r>
      <w:r>
        <w:fldChar w:fldCharType="separate"/>
      </w:r>
      <w:r>
        <w:t>51</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_Toc8265 </w:instrText>
      </w:r>
      <w:r>
        <w:rPr>
          <w:rFonts w:ascii="宋体" w:hAnsi="宋体" w:cs="宋体"/>
          <w:i/>
          <w:caps/>
        </w:rPr>
        <w:fldChar w:fldCharType="separate"/>
      </w:r>
      <w:r>
        <w:rPr>
          <w:rFonts w:hint="eastAsia" w:ascii="宋体" w:hAnsi="宋体" w:cs="宋体"/>
          <w:bCs w:val="0"/>
          <w:szCs w:val="24"/>
        </w:rPr>
        <w:t>附件五、投标分项报价表</w:t>
      </w:r>
      <w:r>
        <w:tab/>
      </w:r>
      <w:r>
        <w:fldChar w:fldCharType="begin"/>
      </w:r>
      <w:r>
        <w:instrText xml:space="preserve"> PAGEREF _Toc8265 \h </w:instrText>
      </w:r>
      <w:r>
        <w:fldChar w:fldCharType="separate"/>
      </w:r>
      <w:r>
        <w:t>52</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_Toc14336 </w:instrText>
      </w:r>
      <w:r>
        <w:rPr>
          <w:rFonts w:ascii="宋体" w:hAnsi="宋体" w:cs="宋体"/>
          <w:i/>
          <w:caps/>
        </w:rPr>
        <w:fldChar w:fldCharType="separate"/>
      </w:r>
      <w:r>
        <w:rPr>
          <w:rFonts w:hint="eastAsia" w:ascii="宋体" w:hAnsi="宋体" w:cs="宋体"/>
          <w:bCs w:val="0"/>
          <w:szCs w:val="24"/>
        </w:rPr>
        <w:t>附件六、设备投标报价分解表</w:t>
      </w:r>
      <w:r>
        <w:tab/>
      </w:r>
      <w:r>
        <w:fldChar w:fldCharType="begin"/>
      </w:r>
      <w:r>
        <w:instrText xml:space="preserve"> PAGEREF _Toc14336 \h </w:instrText>
      </w:r>
      <w:r>
        <w:fldChar w:fldCharType="separate"/>
      </w:r>
      <w:r>
        <w:t>53</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_Toc21906 </w:instrText>
      </w:r>
      <w:r>
        <w:rPr>
          <w:rFonts w:ascii="宋体" w:hAnsi="宋体" w:cs="宋体"/>
          <w:i/>
          <w:caps/>
        </w:rPr>
        <w:fldChar w:fldCharType="separate"/>
      </w:r>
      <w:r>
        <w:rPr>
          <w:rFonts w:hint="eastAsia" w:ascii="宋体" w:hAnsi="宋体" w:cs="宋体"/>
          <w:bCs w:val="0"/>
          <w:szCs w:val="24"/>
        </w:rPr>
        <w:t>附件七、技术规格偏离表</w:t>
      </w:r>
      <w:r>
        <w:tab/>
      </w:r>
      <w:r>
        <w:fldChar w:fldCharType="begin"/>
      </w:r>
      <w:r>
        <w:instrText xml:space="preserve"> PAGEREF _Toc21906 \h </w:instrText>
      </w:r>
      <w:r>
        <w:fldChar w:fldCharType="separate"/>
      </w:r>
      <w:r>
        <w:t>54</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_Toc5226 </w:instrText>
      </w:r>
      <w:r>
        <w:rPr>
          <w:rFonts w:ascii="宋体" w:hAnsi="宋体" w:cs="宋体"/>
          <w:i/>
          <w:caps/>
        </w:rPr>
        <w:fldChar w:fldCharType="separate"/>
      </w:r>
      <w:r>
        <w:rPr>
          <w:rFonts w:hint="eastAsia" w:ascii="宋体" w:hAnsi="宋体" w:cs="宋体"/>
          <w:bCs w:val="0"/>
          <w:szCs w:val="24"/>
        </w:rPr>
        <w:t>附件八、商务条款偏离表</w:t>
      </w:r>
      <w:r>
        <w:tab/>
      </w:r>
      <w:r>
        <w:fldChar w:fldCharType="begin"/>
      </w:r>
      <w:r>
        <w:instrText xml:space="preserve"> PAGEREF _Toc5226 \h </w:instrText>
      </w:r>
      <w:r>
        <w:fldChar w:fldCharType="separate"/>
      </w:r>
      <w:r>
        <w:t>55</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_Toc37 </w:instrText>
      </w:r>
      <w:r>
        <w:rPr>
          <w:rFonts w:ascii="宋体" w:hAnsi="宋体" w:cs="宋体"/>
          <w:i/>
          <w:caps/>
        </w:rPr>
        <w:fldChar w:fldCharType="separate"/>
      </w:r>
      <w:r>
        <w:rPr>
          <w:rFonts w:hint="eastAsia" w:ascii="宋体" w:hAnsi="宋体" w:cs="宋体"/>
          <w:bCs w:val="0"/>
          <w:szCs w:val="24"/>
        </w:rPr>
        <w:t>附件九、经营业绩一览表</w:t>
      </w:r>
      <w:r>
        <w:tab/>
      </w:r>
      <w:r>
        <w:fldChar w:fldCharType="begin"/>
      </w:r>
      <w:r>
        <w:instrText xml:space="preserve"> PAGEREF _Toc37 \h </w:instrText>
      </w:r>
      <w:r>
        <w:fldChar w:fldCharType="separate"/>
      </w:r>
      <w:r>
        <w:t>56</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_Toc14173 </w:instrText>
      </w:r>
      <w:r>
        <w:rPr>
          <w:rFonts w:ascii="宋体" w:hAnsi="宋体" w:cs="宋体"/>
          <w:i/>
          <w:caps/>
        </w:rPr>
        <w:fldChar w:fldCharType="separate"/>
      </w:r>
      <w:r>
        <w:rPr>
          <w:rFonts w:hint="eastAsia" w:ascii="宋体" w:hAnsi="宋体" w:cs="宋体"/>
          <w:bCs w:val="0"/>
          <w:szCs w:val="24"/>
        </w:rPr>
        <w:t>附件十、服务承诺函</w:t>
      </w:r>
      <w:r>
        <w:tab/>
      </w:r>
      <w:r>
        <w:fldChar w:fldCharType="begin"/>
      </w:r>
      <w:r>
        <w:instrText xml:space="preserve"> PAGEREF _Toc14173 \h </w:instrText>
      </w:r>
      <w:r>
        <w:fldChar w:fldCharType="separate"/>
      </w:r>
      <w:r>
        <w:t>57</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_Toc2288 </w:instrText>
      </w:r>
      <w:r>
        <w:rPr>
          <w:rFonts w:ascii="宋体" w:hAnsi="宋体" w:cs="宋体"/>
          <w:i/>
          <w:caps/>
        </w:rPr>
        <w:fldChar w:fldCharType="separate"/>
      </w:r>
      <w:r>
        <w:rPr>
          <w:rFonts w:hint="eastAsia" w:ascii="宋体" w:hAnsi="宋体" w:cs="宋体"/>
          <w:bCs w:val="0"/>
          <w:szCs w:val="24"/>
        </w:rPr>
        <w:t>附件十一、设备质量承诺函</w:t>
      </w:r>
      <w:r>
        <w:tab/>
      </w:r>
      <w:r>
        <w:fldChar w:fldCharType="begin"/>
      </w:r>
      <w:r>
        <w:instrText xml:space="preserve"> PAGEREF _Toc2288 \h </w:instrText>
      </w:r>
      <w:r>
        <w:fldChar w:fldCharType="separate"/>
      </w:r>
      <w:r>
        <w:t>58</w:t>
      </w:r>
      <w:r>
        <w:fldChar w:fldCharType="end"/>
      </w:r>
      <w:r>
        <w:rPr>
          <w:rFonts w:ascii="宋体" w:hAnsi="宋体" w:cs="宋体"/>
          <w:i/>
          <w:caps/>
        </w:rPr>
        <w:fldChar w:fldCharType="end"/>
      </w:r>
    </w:p>
    <w:p>
      <w:pPr>
        <w:pStyle w:val="3"/>
        <w:tabs>
          <w:tab w:val="right" w:leader="dot" w:pos="9071"/>
        </w:tabs>
      </w:pPr>
      <w:r>
        <w:rPr>
          <w:rFonts w:ascii="宋体" w:hAnsi="宋体" w:cs="宋体"/>
          <w:i/>
          <w:caps/>
        </w:rPr>
        <w:fldChar w:fldCharType="begin"/>
      </w:r>
      <w:r>
        <w:rPr>
          <w:rFonts w:ascii="宋体" w:hAnsi="宋体" w:cs="宋体"/>
          <w:i/>
          <w:caps/>
        </w:rPr>
        <w:instrText xml:space="preserve"> HYPERLINK \l _Toc15155 </w:instrText>
      </w:r>
      <w:r>
        <w:rPr>
          <w:rFonts w:ascii="宋体" w:hAnsi="宋体" w:cs="宋体"/>
          <w:i/>
          <w:caps/>
        </w:rPr>
        <w:fldChar w:fldCharType="separate"/>
      </w:r>
      <w:r>
        <w:rPr>
          <w:rFonts w:hint="eastAsia" w:ascii="宋体" w:hAnsi="宋体" w:cs="宋体"/>
          <w:bCs w:val="0"/>
          <w:szCs w:val="24"/>
        </w:rPr>
        <w:t>附件十二</w:t>
      </w:r>
      <w:r>
        <w:rPr>
          <w:rFonts w:ascii="宋体" w:hAnsi="宋体" w:cs="宋体"/>
          <w:bCs w:val="0"/>
          <w:szCs w:val="24"/>
        </w:rPr>
        <w:t xml:space="preserve">: </w:t>
      </w:r>
      <w:r>
        <w:rPr>
          <w:rFonts w:hint="eastAsia" w:ascii="宋体" w:hAnsi="宋体" w:cs="宋体"/>
          <w:bCs w:val="0"/>
          <w:szCs w:val="24"/>
        </w:rPr>
        <w:t>封面格式（参考）</w:t>
      </w:r>
      <w:r>
        <w:tab/>
      </w:r>
      <w:r>
        <w:fldChar w:fldCharType="begin"/>
      </w:r>
      <w:r>
        <w:instrText xml:space="preserve"> PAGEREF _Toc15155 \h </w:instrText>
      </w:r>
      <w:r>
        <w:fldChar w:fldCharType="separate"/>
      </w:r>
      <w:r>
        <w:t>59</w:t>
      </w:r>
      <w:r>
        <w:fldChar w:fldCharType="end"/>
      </w:r>
      <w:r>
        <w:rPr>
          <w:rFonts w:ascii="宋体" w:hAnsi="宋体" w:cs="宋体"/>
          <w:i/>
          <w:caps/>
        </w:rPr>
        <w:fldChar w:fldCharType="end"/>
      </w:r>
    </w:p>
    <w:p>
      <w:pPr>
        <w:pStyle w:val="2"/>
        <w:spacing w:after="120" w:afterLines="50" w:line="360" w:lineRule="exact"/>
        <w:rPr>
          <w:rFonts w:ascii="宋体" w:hAnsi="宋体" w:cs="宋体"/>
          <w:i/>
          <w:caps/>
        </w:rPr>
      </w:pPr>
      <w:r>
        <w:rPr>
          <w:rFonts w:ascii="宋体" w:hAnsi="宋体" w:cs="宋体"/>
          <w:i/>
          <w:caps/>
        </w:rPr>
        <w:fldChar w:fldCharType="end"/>
      </w:r>
    </w:p>
    <w:p>
      <w:pPr>
        <w:rPr>
          <w:rFonts w:ascii="宋体" w:hAnsi="宋体" w:cs="宋体"/>
          <w:i/>
          <w:caps/>
        </w:rPr>
      </w:pPr>
    </w:p>
    <w:p>
      <w:pPr>
        <w:rPr>
          <w:rFonts w:ascii="宋体" w:hAnsi="宋体" w:cs="宋体"/>
          <w:i/>
          <w:caps/>
        </w:rPr>
      </w:pPr>
    </w:p>
    <w:p>
      <w:pPr>
        <w:pStyle w:val="2"/>
        <w:spacing w:after="120" w:afterLines="50" w:line="360" w:lineRule="exact"/>
        <w:rPr>
          <w:rFonts w:ascii="宋体" w:hAnsi="宋体"/>
        </w:rPr>
      </w:pPr>
    </w:p>
    <w:p>
      <w:pPr>
        <w:pStyle w:val="2"/>
        <w:spacing w:after="120" w:afterLines="50" w:line="360" w:lineRule="exact"/>
        <w:rPr>
          <w:rFonts w:ascii="宋体" w:hAnsi="宋体"/>
        </w:rPr>
      </w:pPr>
    </w:p>
    <w:p>
      <w:pPr>
        <w:pStyle w:val="2"/>
        <w:spacing w:after="120" w:afterLines="50" w:line="360" w:lineRule="exact"/>
        <w:rPr>
          <w:rFonts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eastAsia" w:ascii="宋体" w:hAnsi="宋体"/>
        </w:rPr>
      </w:pPr>
    </w:p>
    <w:p>
      <w:pPr>
        <w:pStyle w:val="2"/>
        <w:spacing w:after="120" w:afterLines="50" w:line="360" w:lineRule="exact"/>
        <w:rPr>
          <w:rFonts w:hint="default" w:ascii="宋体" w:hAnsi="宋体" w:eastAsia="宋体"/>
          <w:lang w:val="en-US" w:eastAsia="zh-CN"/>
        </w:rPr>
      </w:pPr>
      <w:bookmarkStart w:id="0" w:name="_Toc5010"/>
      <w:r>
        <w:rPr>
          <w:rFonts w:hint="eastAsia" w:ascii="宋体" w:hAnsi="宋体"/>
        </w:rPr>
        <w:t>第一章</w:t>
      </w:r>
      <w:r>
        <w:rPr>
          <w:rFonts w:hint="eastAsia" w:ascii="宋体" w:hAnsi="宋体"/>
          <w:lang w:val="en-US" w:eastAsia="zh-CN"/>
        </w:rPr>
        <w:t xml:space="preserve">  投标人须知</w:t>
      </w:r>
      <w:bookmarkEnd w:id="0"/>
    </w:p>
    <w:p>
      <w:pPr>
        <w:spacing w:line="360" w:lineRule="auto"/>
        <w:rPr>
          <w:rFonts w:ascii="宋体" w:hAnsi="宋体"/>
          <w:b/>
          <w:sz w:val="24"/>
        </w:rPr>
      </w:pPr>
      <w:r>
        <w:rPr>
          <w:rFonts w:hint="eastAsia" w:ascii="宋体" w:hAnsi="宋体"/>
          <w:b/>
          <w:sz w:val="24"/>
        </w:rPr>
        <w:t>1、项目名称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u w:val="single"/>
        </w:rPr>
      </w:pPr>
      <w:r>
        <w:rPr>
          <w:rFonts w:hint="eastAsia" w:ascii="宋体" w:hAnsi="宋体"/>
          <w:sz w:val="24"/>
        </w:rPr>
        <w:t>项目名称：</w:t>
      </w:r>
      <w:r>
        <w:rPr>
          <w:rFonts w:hint="eastAsia" w:ascii="宋体" w:hAnsi="宋体"/>
          <w:sz w:val="24"/>
          <w:u w:val="single"/>
          <w:lang w:val="en-US" w:eastAsia="zh-CN"/>
        </w:rPr>
        <w:t>纯电动皮卡</w:t>
      </w:r>
      <w:r>
        <w:rPr>
          <w:rFonts w:hint="eastAsia" w:ascii="宋体" w:hAnsi="宋体"/>
          <w:sz w:val="24"/>
          <w:u w:val="single"/>
        </w:rPr>
        <w:t>冲压模</w:t>
      </w:r>
      <w:r>
        <w:rPr>
          <w:rFonts w:hint="eastAsia" w:ascii="宋体" w:hAnsi="宋体"/>
          <w:sz w:val="24"/>
          <w:u w:val="single"/>
          <w:lang w:val="en-US" w:eastAsia="zh-CN"/>
        </w:rPr>
        <w:t>检</w:t>
      </w:r>
      <w:r>
        <w:rPr>
          <w:rFonts w:hint="eastAsia" w:ascii="宋体" w:hAnsi="宋体"/>
          <w:sz w:val="24"/>
          <w:u w:val="single"/>
        </w:rPr>
        <w:t>具</w:t>
      </w:r>
      <w:r>
        <w:rPr>
          <w:rFonts w:hint="eastAsia" w:ascii="宋体" w:hAnsi="宋体"/>
          <w:bCs/>
          <w:sz w:val="24"/>
          <w:u w:val="single"/>
        </w:rPr>
        <w:t>项目</w:t>
      </w:r>
    </w:p>
    <w:p>
      <w:pPr>
        <w:spacing w:line="360" w:lineRule="auto"/>
        <w:rPr>
          <w:rFonts w:ascii="宋体" w:hAnsi="宋体"/>
          <w:b/>
          <w:sz w:val="24"/>
        </w:rPr>
      </w:pPr>
      <w:r>
        <w:rPr>
          <w:rFonts w:hint="eastAsia" w:ascii="宋体" w:hAnsi="宋体"/>
          <w:b/>
          <w:sz w:val="24"/>
        </w:rPr>
        <w:t>2、招标内容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Cs/>
          <w:sz w:val="24"/>
          <w:lang w:val="en-US" w:eastAsia="zh-CN"/>
        </w:rPr>
      </w:pPr>
      <w:r>
        <w:rPr>
          <w:rFonts w:hint="eastAsia" w:ascii="宋体" w:hAnsi="宋体"/>
          <w:sz w:val="24"/>
          <w:u w:val="none"/>
          <w:lang w:val="en-US" w:eastAsia="zh-CN"/>
        </w:rPr>
        <w:t>纯电动皮卡</w:t>
      </w:r>
      <w:r>
        <w:rPr>
          <w:rFonts w:hint="eastAsia" w:ascii="宋体" w:hAnsi="宋体"/>
          <w:sz w:val="24"/>
          <w:u w:val="none"/>
        </w:rPr>
        <w:t>冲压模</w:t>
      </w:r>
      <w:r>
        <w:rPr>
          <w:rFonts w:hint="eastAsia" w:ascii="宋体" w:hAnsi="宋体"/>
          <w:sz w:val="24"/>
          <w:u w:val="none"/>
          <w:lang w:val="en-US" w:eastAsia="zh-CN"/>
        </w:rPr>
        <w:t>检</w:t>
      </w:r>
      <w:r>
        <w:rPr>
          <w:rFonts w:hint="eastAsia" w:ascii="宋体" w:hAnsi="宋体"/>
          <w:sz w:val="24"/>
          <w:u w:val="none"/>
        </w:rPr>
        <w:t>具</w:t>
      </w:r>
      <w:r>
        <w:rPr>
          <w:rFonts w:hint="eastAsia" w:ascii="宋体" w:hAnsi="宋体"/>
          <w:bCs/>
          <w:sz w:val="24"/>
          <w:u w:val="none"/>
        </w:rPr>
        <w:t>项目</w:t>
      </w:r>
      <w:r>
        <w:rPr>
          <w:rFonts w:hint="eastAsia" w:ascii="宋体" w:hAnsi="宋体"/>
          <w:bCs/>
          <w:sz w:val="24"/>
          <w:lang w:val="en-US" w:eastAsia="zh-CN"/>
        </w:rPr>
        <w:t>所需的专用件</w:t>
      </w:r>
      <w:r>
        <w:rPr>
          <w:rFonts w:hint="eastAsia" w:ascii="宋体" w:hAnsi="宋体"/>
          <w:bCs/>
          <w:sz w:val="24"/>
          <w:u w:val="single"/>
          <w:lang w:val="en-US" w:eastAsia="zh-CN"/>
        </w:rPr>
        <w:t>模检具设计、开发</w:t>
      </w:r>
      <w:r>
        <w:rPr>
          <w:rFonts w:hint="eastAsia" w:ascii="宋体" w:hAnsi="宋体"/>
          <w:bCs/>
          <w:sz w:val="24"/>
          <w:lang w:val="en-US" w:eastAsia="zh-CN"/>
        </w:rPr>
        <w:t>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b/>
          <w:sz w:val="24"/>
          <w:lang w:val="en-US" w:eastAsia="zh-CN"/>
        </w:rPr>
      </w:pPr>
      <w:r>
        <w:rPr>
          <w:rFonts w:hint="eastAsia" w:ascii="宋体" w:hAnsi="宋体"/>
          <w:bCs/>
          <w:sz w:val="24"/>
        </w:rPr>
        <w:t>投标报价</w:t>
      </w:r>
      <w:r>
        <w:rPr>
          <w:rFonts w:hint="eastAsia" w:ascii="宋体" w:hAnsi="宋体"/>
          <w:sz w:val="24"/>
        </w:rPr>
        <w:t>包括：</w:t>
      </w:r>
      <w:r>
        <w:rPr>
          <w:rFonts w:hint="eastAsia" w:ascii="宋体" w:hAnsi="宋体"/>
          <w:sz w:val="24"/>
          <w:u w:val="single"/>
        </w:rPr>
        <w:t>全部（全新）产品价、运杂费（包括现场卸车费）、</w:t>
      </w:r>
      <w:r>
        <w:rPr>
          <w:rFonts w:hint="eastAsia" w:ascii="宋体" w:hAnsi="宋体"/>
          <w:bCs/>
          <w:sz w:val="24"/>
          <w:u w:val="single"/>
        </w:rPr>
        <w:t>设计、制</w:t>
      </w:r>
      <w:r>
        <w:rPr>
          <w:rFonts w:hint="eastAsia" w:ascii="宋体" w:hAnsi="宋体"/>
          <w:sz w:val="24"/>
          <w:u w:val="single"/>
        </w:rPr>
        <w:t>造、安装、调试</w:t>
      </w:r>
      <w:r>
        <w:rPr>
          <w:rFonts w:hint="eastAsia" w:ascii="宋体" w:hAnsi="宋体"/>
          <w:bCs/>
          <w:sz w:val="24"/>
          <w:u w:val="single"/>
        </w:rPr>
        <w:t>、验收、</w:t>
      </w:r>
      <w:r>
        <w:rPr>
          <w:rFonts w:hint="eastAsia" w:ascii="宋体" w:hAnsi="宋体"/>
          <w:sz w:val="24"/>
          <w:u w:val="single"/>
        </w:rPr>
        <w:t>技术及售后服务费、技术资料费等</w:t>
      </w:r>
      <w:r>
        <w:rPr>
          <w:rFonts w:hint="eastAsia" w:ascii="宋体" w:hAnsi="宋体"/>
          <w:sz w:val="24"/>
          <w:u w:val="single"/>
          <w:lang w:val="en-US" w:eastAsia="zh-CN"/>
        </w:rPr>
        <w:t>从合同签订到项目执行完成验收周期内所包含的所有费用</w:t>
      </w:r>
      <w:r>
        <w:rPr>
          <w:rFonts w:hint="eastAsia" w:ascii="宋体" w:hAnsi="宋体"/>
          <w:sz w:val="24"/>
          <w:u w:val="single"/>
        </w:rPr>
        <w:t>。所有投标均以人民币报价。</w:t>
      </w:r>
      <w:r>
        <w:rPr>
          <w:rFonts w:hint="eastAsia" w:ascii="宋体" w:hAnsi="宋体"/>
          <w:sz w:val="24"/>
          <w:u w:val="single"/>
          <w:lang w:val="en-US" w:eastAsia="zh-CN"/>
        </w:rPr>
        <w:t>税率为13%。</w:t>
      </w:r>
    </w:p>
    <w:p>
      <w:pPr>
        <w:spacing w:line="360" w:lineRule="auto"/>
        <w:rPr>
          <w:rFonts w:hint="eastAsia" w:ascii="宋体" w:hAnsi="宋体"/>
          <w:b/>
          <w:sz w:val="24"/>
          <w:lang w:val="en-US" w:eastAsia="zh-CN"/>
        </w:rPr>
      </w:pPr>
      <w:r>
        <w:rPr>
          <w:rFonts w:hint="eastAsia" w:ascii="宋体" w:hAnsi="宋体"/>
          <w:b/>
          <w:sz w:val="24"/>
          <w:lang w:val="en-US" w:eastAsia="zh-CN"/>
        </w:rPr>
        <w:t>3、招标时间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时</w:t>
      </w:r>
      <w:r>
        <w:rPr>
          <w:rFonts w:hint="eastAsia" w:ascii="宋体" w:hAnsi="宋体"/>
          <w:kern w:val="0"/>
          <w:sz w:val="24"/>
          <w:highlight w:val="none"/>
          <w:lang w:val="en-US" w:eastAsia="zh-CN"/>
        </w:rPr>
        <w:t>间：</w:t>
      </w:r>
      <w:r>
        <w:rPr>
          <w:rFonts w:hint="eastAsia" w:ascii="宋体" w:hAnsi="宋体"/>
          <w:kern w:val="0"/>
          <w:sz w:val="24"/>
          <w:highlight w:val="yellow"/>
          <w:u w:val="single"/>
          <w:lang w:val="en-US" w:eastAsia="zh-CN"/>
        </w:rPr>
        <w:t xml:space="preserve">2022 </w:t>
      </w:r>
      <w:r>
        <w:rPr>
          <w:rFonts w:hint="eastAsia" w:ascii="宋体" w:hAnsi="宋体"/>
          <w:kern w:val="0"/>
          <w:sz w:val="24"/>
          <w:highlight w:val="yellow"/>
          <w:lang w:val="en-US" w:eastAsia="zh-CN"/>
        </w:rPr>
        <w:t>年</w:t>
      </w:r>
      <w:r>
        <w:rPr>
          <w:rFonts w:hint="eastAsia" w:ascii="宋体" w:hAnsi="宋体"/>
          <w:kern w:val="0"/>
          <w:sz w:val="24"/>
          <w:highlight w:val="yellow"/>
          <w:u w:val="single"/>
          <w:lang w:val="en-US" w:eastAsia="zh-CN"/>
        </w:rPr>
        <w:t xml:space="preserve"> 11 </w:t>
      </w:r>
      <w:r>
        <w:rPr>
          <w:rFonts w:hint="eastAsia" w:ascii="宋体" w:hAnsi="宋体"/>
          <w:kern w:val="0"/>
          <w:sz w:val="24"/>
          <w:highlight w:val="yellow"/>
          <w:lang w:val="en-US" w:eastAsia="zh-CN"/>
        </w:rPr>
        <w:t>月</w:t>
      </w:r>
      <w:r>
        <w:rPr>
          <w:rFonts w:hint="eastAsia" w:ascii="宋体" w:hAnsi="宋体"/>
          <w:kern w:val="0"/>
          <w:sz w:val="24"/>
          <w:highlight w:val="yellow"/>
          <w:u w:val="single"/>
          <w:lang w:val="en-US" w:eastAsia="zh-CN"/>
        </w:rPr>
        <w:t xml:space="preserve"> 25 </w:t>
      </w:r>
      <w:r>
        <w:rPr>
          <w:rFonts w:hint="eastAsia" w:ascii="宋体" w:hAnsi="宋体"/>
          <w:kern w:val="0"/>
          <w:sz w:val="24"/>
          <w:highlight w:val="yellow"/>
          <w:lang w:val="en-US" w:eastAsia="zh-CN"/>
        </w:rPr>
        <w:t>日</w:t>
      </w:r>
      <w:r>
        <w:rPr>
          <w:rFonts w:hint="eastAsia" w:ascii="宋体" w:hAnsi="宋体"/>
          <w:kern w:val="0"/>
          <w:sz w:val="24"/>
          <w:highlight w:val="none"/>
          <w:lang w:val="en-US" w:eastAsia="zh-CN"/>
        </w:rPr>
        <w:t>上午</w:t>
      </w:r>
      <w:r>
        <w:rPr>
          <w:rFonts w:hint="eastAsia" w:ascii="宋体" w:hAnsi="宋体"/>
          <w:kern w:val="0"/>
          <w:sz w:val="24"/>
          <w:highlight w:val="none"/>
          <w:u w:val="single"/>
          <w:lang w:val="en-US" w:eastAsia="zh-CN"/>
        </w:rPr>
        <w:t>9：00</w:t>
      </w:r>
      <w:r>
        <w:rPr>
          <w:rFonts w:hint="eastAsia" w:ascii="宋体" w:hAnsi="宋体"/>
          <w:kern w:val="0"/>
          <w:sz w:val="24"/>
          <w:highlight w:val="none"/>
          <w:u w:val="none"/>
          <w:lang w:val="en-US" w:eastAsia="zh-CN"/>
        </w:rPr>
        <w:t>（</w:t>
      </w:r>
      <w:r>
        <w:rPr>
          <w:rFonts w:hint="eastAsia" w:ascii="宋体" w:hAnsi="宋体"/>
          <w:kern w:val="0"/>
          <w:sz w:val="24"/>
          <w:u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u w:val="single"/>
          <w:lang w:val="en-US" w:eastAsia="zh-CN"/>
        </w:rPr>
      </w:pPr>
      <w:r>
        <w:rPr>
          <w:rFonts w:hint="eastAsia" w:ascii="宋体" w:hAnsi="宋体"/>
          <w:kern w:val="0"/>
          <w:sz w:val="24"/>
          <w:lang w:val="en-US" w:eastAsia="zh-CN"/>
        </w:rPr>
        <w:t>地点：</w:t>
      </w:r>
      <w:r>
        <w:rPr>
          <w:rFonts w:hint="eastAsia" w:ascii="宋体" w:hAnsi="宋体"/>
          <w:kern w:val="0"/>
          <w:sz w:val="24"/>
          <w:u w:val="single"/>
          <w:lang w:val="en-US" w:eastAsia="zh-CN"/>
        </w:rPr>
        <w:t>济南轻卡制造公司工艺工程部会议室</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lang w:val="en-US" w:eastAsia="zh-CN"/>
        </w:rPr>
        <w:t>4</w:t>
      </w:r>
      <w:r>
        <w:rPr>
          <w:rFonts w:hint="eastAsia" w:ascii="宋体" w:hAnsi="宋体" w:cs="TimesNewRomanPSMT"/>
          <w:b/>
          <w:kern w:val="0"/>
          <w:sz w:val="24"/>
        </w:rPr>
        <w:t>、</w:t>
      </w:r>
      <w:r>
        <w:rPr>
          <w:rFonts w:hint="eastAsia" w:ascii="宋体" w:hAnsi="宋体" w:cs="黑体"/>
          <w:b/>
          <w:kern w:val="0"/>
          <w:sz w:val="24"/>
        </w:rPr>
        <w:t>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sz w:val="24"/>
          <w:lang w:eastAsia="zh-CN"/>
        </w:rPr>
      </w:pPr>
      <w:r>
        <w:rPr>
          <w:rFonts w:hint="eastAsia" w:ascii="宋体" w:hAnsi="宋体"/>
          <w:sz w:val="24"/>
        </w:rPr>
        <w:t>联 系 人：</w:t>
      </w:r>
      <w:r>
        <w:rPr>
          <w:rFonts w:hint="eastAsia" w:ascii="宋体" w:hAnsi="宋体"/>
          <w:sz w:val="24"/>
          <w:lang w:val="en-US" w:eastAsia="zh-CN"/>
        </w:rPr>
        <w:t>喻新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kern w:val="0"/>
          <w:sz w:val="24"/>
          <w:u w:val="single"/>
          <w:lang w:val="en-US" w:eastAsia="zh-CN"/>
        </w:rPr>
      </w:pPr>
      <w:r>
        <w:rPr>
          <w:rFonts w:hint="eastAsia" w:ascii="宋体" w:hAnsi="宋体"/>
          <w:sz w:val="24"/>
        </w:rPr>
        <w:t xml:space="preserve">联系电话: </w:t>
      </w:r>
      <w:r>
        <w:rPr>
          <w:rFonts w:hint="eastAsia" w:ascii="宋体" w:hAnsi="宋体"/>
          <w:sz w:val="24"/>
          <w:lang w:val="en-US" w:eastAsia="zh-CN"/>
        </w:rPr>
        <w:t>17853167618</w:t>
      </w:r>
    </w:p>
    <w:p>
      <w:pPr>
        <w:spacing w:line="360" w:lineRule="auto"/>
        <w:rPr>
          <w:rFonts w:ascii="宋体" w:hAnsi="宋体"/>
          <w:sz w:val="24"/>
          <w:szCs w:val="22"/>
        </w:rPr>
      </w:pPr>
      <w:r>
        <w:rPr>
          <w:rFonts w:hint="eastAsia" w:ascii="宋体" w:hAnsi="宋体"/>
          <w:b/>
          <w:sz w:val="24"/>
          <w:lang w:val="en-US" w:eastAsia="zh-CN"/>
        </w:rPr>
        <w:t>5</w:t>
      </w:r>
      <w:r>
        <w:rPr>
          <w:rFonts w:hint="eastAsia" w:ascii="宋体" w:hAnsi="宋体"/>
          <w:b/>
          <w:sz w:val="24"/>
        </w:rPr>
        <w:t>、投标方资格要求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.1投标方必须是在中华人民共和国境内注册的独立法人机构，具有独立承担民事责任能力，</w:t>
      </w:r>
      <w:r>
        <w:rPr>
          <w:rFonts w:hint="eastAsia" w:ascii="宋体" w:hAnsi="宋体"/>
          <w:kern w:val="0"/>
          <w:sz w:val="24"/>
          <w:u w:val="single"/>
        </w:rPr>
        <w:t>成立满三年</w:t>
      </w:r>
      <w:r>
        <w:rPr>
          <w:rFonts w:hint="eastAsia" w:ascii="宋体" w:hAnsi="宋体"/>
          <w:kern w:val="0"/>
          <w:sz w:val="24"/>
        </w:rPr>
        <w:t>（以营业执照成立日期到开标当日满三年为准）。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.2投标方的注册资本不少于</w:t>
      </w:r>
      <w:r>
        <w:rPr>
          <w:rFonts w:hint="eastAsia" w:ascii="宋体" w:hAnsi="宋体"/>
          <w:kern w:val="0"/>
          <w:sz w:val="24"/>
          <w:u w:val="single"/>
          <w:lang w:val="en-US" w:eastAsia="zh-CN"/>
        </w:rPr>
        <w:t>1</w:t>
      </w:r>
      <w:r>
        <w:rPr>
          <w:rFonts w:hint="eastAsia" w:ascii="宋体" w:hAnsi="宋体"/>
          <w:kern w:val="0"/>
          <w:sz w:val="24"/>
          <w:u w:val="single"/>
        </w:rPr>
        <w:t>000</w:t>
      </w:r>
      <w:r>
        <w:rPr>
          <w:rFonts w:hint="eastAsia" w:ascii="宋体" w:hAnsi="宋体"/>
          <w:kern w:val="0"/>
          <w:sz w:val="24"/>
        </w:rPr>
        <w:t>万元。</w:t>
      </w:r>
      <w:r>
        <w:rPr>
          <w:rFonts w:hint="eastAsia" w:ascii="宋体" w:hAnsi="宋体"/>
          <w:kern w:val="0"/>
          <w:sz w:val="24"/>
          <w:u w:val="single"/>
        </w:rPr>
        <w:t>具有车身冲压模具</w:t>
      </w:r>
      <w:r>
        <w:rPr>
          <w:rFonts w:hint="eastAsia" w:ascii="宋体" w:hAnsi="宋体"/>
          <w:kern w:val="0"/>
          <w:sz w:val="24"/>
          <w:u w:val="single"/>
          <w:lang w:eastAsia="zh-CN"/>
        </w:rPr>
        <w:t>、</w:t>
      </w:r>
      <w:r>
        <w:rPr>
          <w:rFonts w:hint="eastAsia" w:ascii="宋体" w:hAnsi="宋体"/>
          <w:kern w:val="0"/>
          <w:sz w:val="24"/>
          <w:u w:val="single"/>
          <w:lang w:val="en-US" w:eastAsia="zh-CN"/>
        </w:rPr>
        <w:t>检具</w:t>
      </w:r>
      <w:r>
        <w:rPr>
          <w:rFonts w:hint="eastAsia" w:ascii="宋体" w:hAnsi="宋体"/>
          <w:kern w:val="0"/>
          <w:sz w:val="24"/>
          <w:u w:val="single"/>
        </w:rPr>
        <w:t>的设计、加工及安装调试能力</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.3投标方满足技术、质量、资金等要求，财务状况良好、经营稳定，具有全面履约的能力，</w:t>
      </w:r>
      <w:r>
        <w:rPr>
          <w:rFonts w:hint="eastAsia" w:ascii="宋体" w:hAnsi="宋体"/>
          <w:kern w:val="0"/>
          <w:sz w:val="24"/>
          <w:u w:val="single"/>
        </w:rPr>
        <w:t>能提供</w:t>
      </w:r>
      <w:r>
        <w:rPr>
          <w:rFonts w:hint="eastAsia" w:ascii="宋体" w:hAnsi="宋体"/>
          <w:sz w:val="24"/>
          <w:u w:val="single"/>
        </w:rPr>
        <w:t>近三年经审计事务所审计并盖章的企业财务报表、信用等级以及完税证明</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.4公司信誉良好，无违法违规等不良行为，</w:t>
      </w:r>
      <w:r>
        <w:rPr>
          <w:rFonts w:hint="eastAsia" w:ascii="宋体" w:hAnsi="宋体"/>
          <w:kern w:val="0"/>
          <w:sz w:val="24"/>
          <w:u w:val="single"/>
        </w:rPr>
        <w:t>在“信用中国”中未列入联合惩戒失信人名单</w:t>
      </w:r>
      <w:r>
        <w:rPr>
          <w:rFonts w:hint="eastAsia" w:ascii="宋体" w:hAnsi="宋体"/>
          <w:kern w:val="0"/>
          <w:sz w:val="24"/>
          <w:u w:val="single"/>
          <w:lang w:eastAsia="zh-CN"/>
        </w:rPr>
        <w:t>，</w:t>
      </w:r>
      <w:r>
        <w:rPr>
          <w:rFonts w:hint="eastAsia" w:ascii="宋体" w:hAnsi="宋体"/>
          <w:kern w:val="0"/>
          <w:sz w:val="24"/>
          <w:u w:val="single"/>
          <w:lang w:val="en-US" w:eastAsia="zh-CN"/>
        </w:rPr>
        <w:t>无行政处罚记录</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.5无招标违规、谎报年度报告信息、提供虚假资质资料等行为或其他</w:t>
      </w:r>
      <w:r>
        <w:rPr>
          <w:rFonts w:hint="eastAsia" w:ascii="宋体" w:hAnsi="宋体"/>
          <w:kern w:val="0"/>
          <w:sz w:val="24"/>
          <w:lang w:val="en-US" w:eastAsia="zh-CN"/>
        </w:rPr>
        <w:t>与本投标业务有关的</w:t>
      </w:r>
      <w:r>
        <w:rPr>
          <w:rFonts w:hint="eastAsia" w:ascii="宋体" w:hAnsi="宋体"/>
          <w:kern w:val="0"/>
          <w:sz w:val="24"/>
        </w:rPr>
        <w:t>行政处罚记录。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.6投标方的直接或间接股东、法定代表人、董事、监事、高管非重汽员工及其亲属。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.7没有被中国重汽集团列入黑名单。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r>
        <w:rPr>
          <w:rFonts w:hint="eastAsia" w:ascii="宋体" w:hAnsi="宋体"/>
          <w:kern w:val="0"/>
          <w:sz w:val="24"/>
          <w:lang w:val="en-US" w:eastAsia="zh-CN"/>
        </w:rPr>
        <w:t>5.</w:t>
      </w:r>
      <w:r>
        <w:rPr>
          <w:rFonts w:hint="eastAsia" w:ascii="宋体" w:hAnsi="宋体"/>
          <w:kern w:val="0"/>
          <w:sz w:val="24"/>
        </w:rPr>
        <w:t>8法律法规对合格投标方的其他要求、规定。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r>
        <w:rPr>
          <w:rFonts w:hint="eastAsia" w:ascii="宋体" w:hAnsi="宋体"/>
          <w:kern w:val="0"/>
          <w:sz w:val="24"/>
          <w:lang w:val="en-US" w:eastAsia="zh-CN"/>
        </w:rPr>
        <w:t>5.9投标方应为</w:t>
      </w:r>
      <w:r>
        <w:rPr>
          <w:rFonts w:hint="eastAsia" w:ascii="宋体" w:hAnsi="宋体"/>
          <w:kern w:val="0"/>
          <w:sz w:val="24"/>
        </w:rPr>
        <w:t>国内知名的模具企业，乘用车车身冲压模具AA级企业。</w:t>
      </w:r>
    </w:p>
    <w:p>
      <w:pPr>
        <w:autoSpaceDE w:val="0"/>
        <w:autoSpaceDN w:val="0"/>
        <w:adjustRightInd w:val="0"/>
        <w:snapToGrid w:val="0"/>
        <w:spacing w:line="360" w:lineRule="auto"/>
        <w:jc w:val="left"/>
        <w:rPr>
          <w:rFonts w:ascii="宋体" w:hAnsi="宋体" w:cs="TimesNewRomanPSMT"/>
          <w:b/>
          <w:kern w:val="0"/>
          <w:sz w:val="24"/>
          <w:highlight w:val="none"/>
        </w:rPr>
      </w:pPr>
      <w:r>
        <w:rPr>
          <w:rFonts w:hint="eastAsia" w:ascii="宋体" w:hAnsi="宋体" w:cs="TimesNewRomanPSMT"/>
          <w:b/>
          <w:kern w:val="0"/>
          <w:sz w:val="24"/>
          <w:highlight w:val="none"/>
          <w:lang w:val="en-US" w:eastAsia="zh-CN"/>
        </w:rPr>
        <w:t>6、投标</w:t>
      </w:r>
      <w:r>
        <w:rPr>
          <w:rFonts w:ascii="宋体" w:hAnsi="宋体" w:cs="TimesNewRomanPSMT"/>
          <w:b/>
          <w:kern w:val="0"/>
          <w:sz w:val="24"/>
          <w:highlight w:val="none"/>
        </w:rPr>
        <w:t>文件的递交</w:t>
      </w:r>
    </w:p>
    <w:p>
      <w:pPr>
        <w:spacing w:line="360" w:lineRule="auto"/>
        <w:ind w:firstLine="480" w:firstLineChars="200"/>
        <w:rPr>
          <w:rFonts w:ascii="宋体" w:hAnsi="宋体"/>
          <w:bCs/>
          <w:sz w:val="24"/>
        </w:rPr>
      </w:pPr>
      <w:r>
        <w:rPr>
          <w:rFonts w:hint="eastAsia" w:ascii="宋体" w:hAnsi="宋体"/>
          <w:bCs/>
          <w:sz w:val="24"/>
          <w:lang w:val="en-US" w:eastAsia="zh-CN"/>
        </w:rPr>
        <w:t>6</w:t>
      </w:r>
      <w:r>
        <w:rPr>
          <w:rFonts w:ascii="宋体" w:hAnsi="宋体"/>
          <w:bCs/>
          <w:sz w:val="24"/>
        </w:rPr>
        <w:t>.1报名</w:t>
      </w:r>
      <w:r>
        <w:rPr>
          <w:rFonts w:hint="eastAsia" w:ascii="宋体" w:hAnsi="宋体"/>
          <w:bCs/>
          <w:sz w:val="24"/>
        </w:rPr>
        <w:t>时间：</w:t>
      </w:r>
      <w:r>
        <w:rPr>
          <w:rFonts w:hint="eastAsia" w:ascii="宋体" w:hAnsi="宋体"/>
          <w:bCs/>
          <w:sz w:val="24"/>
          <w:highlight w:val="yellow"/>
          <w:u w:val="single"/>
        </w:rPr>
        <w:t>202</w:t>
      </w:r>
      <w:r>
        <w:rPr>
          <w:rFonts w:hint="eastAsia" w:ascii="宋体" w:hAnsi="宋体"/>
          <w:bCs/>
          <w:sz w:val="24"/>
          <w:highlight w:val="yellow"/>
          <w:u w:val="single"/>
          <w:lang w:val="en-US" w:eastAsia="zh-CN"/>
        </w:rPr>
        <w:t>2</w:t>
      </w:r>
      <w:r>
        <w:rPr>
          <w:rFonts w:ascii="宋体" w:hAnsi="宋体"/>
          <w:bCs/>
          <w:sz w:val="24"/>
          <w:highlight w:val="yellow"/>
          <w:u w:val="single"/>
        </w:rPr>
        <w:t>年</w:t>
      </w:r>
      <w:r>
        <w:rPr>
          <w:rFonts w:hint="eastAsia" w:ascii="宋体" w:hAnsi="宋体"/>
          <w:bCs/>
          <w:sz w:val="24"/>
          <w:highlight w:val="yellow"/>
          <w:u w:val="single"/>
          <w:lang w:val="en-US" w:eastAsia="zh-CN"/>
        </w:rPr>
        <w:t>11</w:t>
      </w:r>
      <w:r>
        <w:rPr>
          <w:rFonts w:ascii="宋体" w:hAnsi="宋体"/>
          <w:bCs/>
          <w:sz w:val="24"/>
          <w:highlight w:val="yellow"/>
          <w:u w:val="single"/>
        </w:rPr>
        <w:t>月</w:t>
      </w:r>
      <w:r>
        <w:rPr>
          <w:rFonts w:hint="eastAsia" w:ascii="宋体" w:hAnsi="宋体"/>
          <w:bCs/>
          <w:sz w:val="24"/>
          <w:highlight w:val="yellow"/>
          <w:u w:val="single"/>
        </w:rPr>
        <w:t>1</w:t>
      </w:r>
      <w:r>
        <w:rPr>
          <w:rFonts w:hint="eastAsia" w:ascii="宋体" w:hAnsi="宋体"/>
          <w:bCs/>
          <w:sz w:val="24"/>
          <w:highlight w:val="yellow"/>
          <w:u w:val="single"/>
          <w:lang w:val="en-US" w:eastAsia="zh-CN"/>
        </w:rPr>
        <w:t>5</w:t>
      </w:r>
      <w:r>
        <w:rPr>
          <w:rFonts w:ascii="宋体" w:hAnsi="宋体"/>
          <w:bCs/>
          <w:sz w:val="24"/>
          <w:highlight w:val="yellow"/>
          <w:u w:val="single"/>
        </w:rPr>
        <w:t>日</w:t>
      </w:r>
      <w:r>
        <w:rPr>
          <w:rFonts w:hint="eastAsia" w:ascii="宋体" w:hAnsi="宋体"/>
          <w:bCs/>
          <w:sz w:val="24"/>
          <w:highlight w:val="yellow"/>
        </w:rPr>
        <w:t>—</w:t>
      </w:r>
      <w:r>
        <w:rPr>
          <w:rFonts w:hint="eastAsia" w:ascii="宋体" w:hAnsi="宋体"/>
          <w:bCs/>
          <w:sz w:val="24"/>
          <w:highlight w:val="yellow"/>
          <w:u w:val="single"/>
        </w:rPr>
        <w:t>202</w:t>
      </w:r>
      <w:r>
        <w:rPr>
          <w:rFonts w:hint="eastAsia" w:ascii="宋体" w:hAnsi="宋体"/>
          <w:bCs/>
          <w:sz w:val="24"/>
          <w:highlight w:val="yellow"/>
          <w:u w:val="single"/>
          <w:lang w:val="en-US" w:eastAsia="zh-CN"/>
        </w:rPr>
        <w:t>2</w:t>
      </w:r>
      <w:r>
        <w:rPr>
          <w:rFonts w:ascii="宋体" w:hAnsi="宋体"/>
          <w:bCs/>
          <w:sz w:val="24"/>
          <w:highlight w:val="yellow"/>
          <w:u w:val="single"/>
        </w:rPr>
        <w:t>年</w:t>
      </w:r>
      <w:r>
        <w:rPr>
          <w:rFonts w:hint="eastAsia" w:ascii="宋体" w:hAnsi="宋体"/>
          <w:bCs/>
          <w:sz w:val="24"/>
          <w:highlight w:val="yellow"/>
          <w:u w:val="single"/>
          <w:lang w:val="en-US" w:eastAsia="zh-CN"/>
        </w:rPr>
        <w:t>11</w:t>
      </w:r>
      <w:r>
        <w:rPr>
          <w:rFonts w:ascii="宋体" w:hAnsi="宋体"/>
          <w:bCs/>
          <w:sz w:val="24"/>
          <w:highlight w:val="yellow"/>
          <w:u w:val="single"/>
        </w:rPr>
        <w:t>月</w:t>
      </w:r>
      <w:r>
        <w:rPr>
          <w:rFonts w:hint="eastAsia" w:ascii="宋体" w:hAnsi="宋体"/>
          <w:bCs/>
          <w:sz w:val="24"/>
          <w:highlight w:val="yellow"/>
          <w:u w:val="single"/>
          <w:lang w:val="en-US" w:eastAsia="zh-CN"/>
        </w:rPr>
        <w:t>22</w:t>
      </w:r>
      <w:r>
        <w:rPr>
          <w:rFonts w:hint="eastAsia" w:ascii="宋体" w:hAnsi="宋体"/>
          <w:bCs/>
          <w:sz w:val="24"/>
          <w:highlight w:val="yellow"/>
          <w:u w:val="single"/>
        </w:rPr>
        <w:t>日</w:t>
      </w:r>
      <w:r>
        <w:rPr>
          <w:rFonts w:hint="eastAsia" w:ascii="宋体" w:hAnsi="宋体"/>
          <w:bCs/>
          <w:sz w:val="24"/>
          <w:u w:val="single"/>
        </w:rPr>
        <w:t xml:space="preserve"> </w:t>
      </w:r>
      <w:r>
        <w:rPr>
          <w:rFonts w:hint="eastAsia" w:ascii="宋体" w:hAnsi="宋体"/>
          <w:bCs/>
          <w:sz w:val="24"/>
        </w:rPr>
        <w:t>上午8：30到17:00（节假日除外）</w:t>
      </w:r>
      <w:r>
        <w:rPr>
          <w:rFonts w:hint="eastAsia" w:ascii="宋体" w:hAnsi="宋体" w:cs="宋体"/>
          <w:kern w:val="0"/>
          <w:sz w:val="24"/>
        </w:rPr>
        <w:t xml:space="preserve">。                                                                                                                                                                                                                                                                                                                   </w:t>
      </w:r>
    </w:p>
    <w:p>
      <w:pPr>
        <w:spacing w:line="360" w:lineRule="auto"/>
        <w:ind w:firstLine="480" w:firstLineChars="200"/>
        <w:rPr>
          <w:rFonts w:ascii="宋体" w:hAnsi="宋体"/>
          <w:bCs/>
          <w:sz w:val="24"/>
        </w:rPr>
      </w:pPr>
      <w:r>
        <w:rPr>
          <w:rFonts w:hint="eastAsia" w:ascii="宋体" w:hAnsi="宋体"/>
          <w:bCs/>
          <w:sz w:val="24"/>
          <w:lang w:val="en-US" w:eastAsia="zh-CN"/>
        </w:rPr>
        <w:t>6</w:t>
      </w:r>
      <w:r>
        <w:rPr>
          <w:rFonts w:hint="eastAsia" w:ascii="宋体" w:hAnsi="宋体"/>
          <w:bCs/>
          <w:sz w:val="24"/>
        </w:rPr>
        <w:t>.2报名方式：</w:t>
      </w:r>
    </w:p>
    <w:p>
      <w:pPr>
        <w:spacing w:line="360" w:lineRule="auto"/>
        <w:ind w:firstLine="480" w:firstLineChars="200"/>
        <w:rPr>
          <w:rFonts w:ascii="宋体" w:hAnsi="宋体"/>
          <w:bCs/>
          <w:sz w:val="24"/>
        </w:rPr>
      </w:pPr>
      <w:r>
        <w:rPr>
          <w:rFonts w:hint="eastAsia" w:ascii="宋体" w:hAnsi="宋体" w:cs="宋体"/>
          <w:kern w:val="0"/>
          <w:sz w:val="24"/>
        </w:rPr>
        <w:t>报名需提交以下信息发送至招标方联系人邮箱（</w:t>
      </w:r>
      <w:r>
        <w:rPr>
          <w:rFonts w:hint="eastAsia" w:ascii="宋体" w:hAnsi="宋体" w:cs="宋体"/>
          <w:kern w:val="0"/>
          <w:sz w:val="24"/>
          <w:lang w:val="en-US" w:eastAsia="zh-CN"/>
        </w:rPr>
        <w:t>qkbyuxin</w:t>
      </w:r>
      <w:r>
        <w:rPr>
          <w:rFonts w:hint="eastAsia" w:ascii="宋体" w:hAnsi="宋体" w:cs="宋体"/>
          <w:b w:val="0"/>
          <w:bCs w:val="0"/>
          <w:kern w:val="0"/>
          <w:sz w:val="24"/>
          <w:u w:val="single"/>
        </w:rPr>
        <w:t>@sinotruk.com</w:t>
      </w:r>
      <w:r>
        <w:rPr>
          <w:rFonts w:hint="eastAsia" w:ascii="宋体" w:hAnsi="宋体" w:cs="宋体"/>
          <w:kern w:val="0"/>
          <w:sz w:val="24"/>
        </w:rPr>
        <w:t>）：</w:t>
      </w:r>
    </w:p>
    <w:p>
      <w:pPr>
        <w:spacing w:line="360" w:lineRule="auto"/>
        <w:ind w:firstLine="480" w:firstLineChars="200"/>
        <w:rPr>
          <w:rFonts w:ascii="宋体" w:hAnsi="宋体"/>
          <w:bCs/>
          <w:sz w:val="24"/>
        </w:rPr>
      </w:pPr>
      <w:r>
        <w:rPr>
          <w:rFonts w:hint="eastAsia" w:ascii="宋体" w:hAnsi="宋体"/>
          <w:bCs/>
          <w:sz w:val="24"/>
        </w:rPr>
        <w:t>①投标方公司全称；②投标方被授权人姓名、联系电话；③投标方接受招标文件及招标通知的邮箱；</w:t>
      </w:r>
      <w:r>
        <w:rPr>
          <w:rFonts w:ascii="宋体" w:hAnsi="宋体"/>
          <w:bCs/>
          <w:sz w:val="24"/>
        </w:rPr>
        <w:fldChar w:fldCharType="begin"/>
      </w:r>
      <w:r>
        <w:rPr>
          <w:rFonts w:hint="eastAsia" w:ascii="宋体" w:hAnsi="宋体"/>
          <w:bCs/>
          <w:sz w:val="24"/>
        </w:rPr>
        <w:instrText xml:space="preserve">= 4 \* GB3</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hint="eastAsia" w:ascii="宋体" w:hAnsi="宋体"/>
          <w:bCs/>
          <w:sz w:val="24"/>
        </w:rPr>
        <w:t>投标保证金汇款回执（备注项目名称及相关信息）。</w:t>
      </w:r>
    </w:p>
    <w:p>
      <w:pPr>
        <w:spacing w:line="360" w:lineRule="auto"/>
        <w:ind w:firstLine="480" w:firstLineChars="200"/>
        <w:rPr>
          <w:rFonts w:ascii="宋体" w:hAnsi="宋体"/>
          <w:bCs/>
          <w:sz w:val="24"/>
        </w:rPr>
      </w:pPr>
      <w:r>
        <w:rPr>
          <w:rFonts w:hint="eastAsia" w:ascii="宋体" w:hAnsi="宋体"/>
          <w:bCs/>
          <w:sz w:val="24"/>
          <w:lang w:val="en-US" w:eastAsia="zh-CN"/>
        </w:rPr>
        <w:t>6</w:t>
      </w:r>
      <w:r>
        <w:rPr>
          <w:rFonts w:hint="eastAsia" w:ascii="宋体" w:hAnsi="宋体"/>
          <w:bCs/>
          <w:sz w:val="24"/>
        </w:rPr>
        <w:t>.3招标文件获取：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highlight w:val="none"/>
        </w:rPr>
      </w:pPr>
      <w:r>
        <w:rPr>
          <w:rFonts w:hint="eastAsia" w:ascii="宋体" w:hAnsi="宋体"/>
          <w:bCs/>
          <w:sz w:val="24"/>
        </w:rPr>
        <w:t>招标方联系人将本项目招标书电子版以电子邮件的形式发送至投标方所提供的邮箱，招标方不对投标方能否通过电子邮件正确或及时接收相关邮件负责，招标方邮件发出即视为送达。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ascii="宋体" w:hAnsi="宋体"/>
          <w:sz w:val="24"/>
          <w:highlight w:val="none"/>
        </w:rPr>
        <w:t>.</w:t>
      </w:r>
      <w:r>
        <w:rPr>
          <w:rFonts w:hint="eastAsia" w:ascii="宋体" w:hAnsi="宋体"/>
          <w:sz w:val="24"/>
          <w:highlight w:val="none"/>
          <w:lang w:val="en-US" w:eastAsia="zh-CN"/>
        </w:rPr>
        <w:t>4投标</w:t>
      </w:r>
      <w:r>
        <w:rPr>
          <w:rFonts w:hint="eastAsia" w:ascii="宋体" w:hAnsi="宋体"/>
          <w:sz w:val="24"/>
          <w:highlight w:val="none"/>
        </w:rPr>
        <w:t>文件于开标当日</w:t>
      </w:r>
      <w:r>
        <w:rPr>
          <w:rFonts w:hint="eastAsia" w:ascii="宋体" w:hAnsi="宋体"/>
          <w:sz w:val="24"/>
          <w:highlight w:val="none"/>
          <w:lang w:val="en-US" w:eastAsia="zh-CN"/>
        </w:rPr>
        <w:t>通过邮件发送至联系邮箱（qkbyuxin@sinotruk.com)中</w:t>
      </w:r>
      <w:r>
        <w:rPr>
          <w:rFonts w:hint="eastAsia" w:ascii="宋体" w:hAnsi="宋体"/>
          <w:sz w:val="24"/>
          <w:highlight w:val="none"/>
        </w:rPr>
        <w:t>。</w:t>
      </w:r>
    </w:p>
    <w:p>
      <w:pPr>
        <w:autoSpaceDE w:val="0"/>
        <w:autoSpaceDN w:val="0"/>
        <w:adjustRightInd w:val="0"/>
        <w:snapToGrid w:val="0"/>
        <w:spacing w:line="360" w:lineRule="auto"/>
        <w:jc w:val="left"/>
        <w:rPr>
          <w:rFonts w:hint="default" w:ascii="宋体" w:hAnsi="宋体" w:cs="TimesNewRomanPSMT"/>
          <w:b/>
          <w:kern w:val="0"/>
          <w:sz w:val="24"/>
          <w:highlight w:val="none"/>
          <w:lang w:val="en-US" w:eastAsia="zh-CN"/>
        </w:rPr>
      </w:pPr>
      <w:r>
        <w:rPr>
          <w:rFonts w:hint="eastAsia" w:ascii="宋体" w:hAnsi="宋体" w:cs="TimesNewRomanPSMT"/>
          <w:b/>
          <w:kern w:val="0"/>
          <w:sz w:val="24"/>
          <w:highlight w:val="none"/>
          <w:lang w:val="en-US" w:eastAsia="zh-CN"/>
        </w:rPr>
        <w:t>7、投标保证金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7.1</w:t>
      </w:r>
      <w:r>
        <w:rPr>
          <w:rFonts w:hint="eastAsia" w:ascii="宋体" w:hAnsi="宋体"/>
          <w:bCs/>
          <w:sz w:val="24"/>
        </w:rPr>
        <w:t>投标保证金的形式：网银/银行保函（6个月）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7.2</w:t>
      </w:r>
      <w:r>
        <w:rPr>
          <w:rFonts w:hint="eastAsia" w:ascii="宋体" w:hAnsi="宋体"/>
          <w:bCs/>
          <w:sz w:val="24"/>
        </w:rPr>
        <w:t>投标保证金的金额：人民币</w:t>
      </w:r>
      <w:r>
        <w:rPr>
          <w:rFonts w:hint="eastAsia" w:ascii="宋体" w:hAnsi="宋体"/>
          <w:bCs/>
          <w:sz w:val="24"/>
          <w:u w:val="single"/>
        </w:rPr>
        <w:t xml:space="preserve"> 10000 </w:t>
      </w:r>
      <w:r>
        <w:rPr>
          <w:rFonts w:hint="eastAsia" w:ascii="宋体" w:hAnsi="宋体"/>
          <w:bCs/>
          <w:sz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开户名：中国重汽集团济南商用车有限公司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开户行：中国银行股份有限公司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账  号：237744219844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7.3</w:t>
      </w:r>
      <w:r>
        <w:rPr>
          <w:rFonts w:hint="eastAsia" w:ascii="宋体" w:hAnsi="宋体"/>
          <w:bCs/>
          <w:sz w:val="24"/>
        </w:rPr>
        <w:t>保证金截止时间：</w:t>
      </w:r>
      <w:r>
        <w:rPr>
          <w:rFonts w:hint="eastAsia" w:ascii="宋体" w:hAnsi="宋体"/>
          <w:bCs/>
          <w:sz w:val="24"/>
          <w:u w:val="single"/>
          <w:lang w:val="en-US" w:eastAsia="zh-CN"/>
        </w:rPr>
        <w:t xml:space="preserve"> </w:t>
      </w:r>
      <w:r>
        <w:rPr>
          <w:rFonts w:hint="eastAsia" w:ascii="宋体" w:hAnsi="宋体"/>
          <w:bCs/>
          <w:sz w:val="24"/>
          <w:u w:val="single"/>
        </w:rPr>
        <w:t>202</w:t>
      </w:r>
      <w:r>
        <w:rPr>
          <w:rFonts w:hint="eastAsia" w:ascii="宋体" w:hAnsi="宋体"/>
          <w:bCs/>
          <w:sz w:val="24"/>
          <w:u w:val="single"/>
          <w:lang w:val="en-US" w:eastAsia="zh-CN"/>
        </w:rPr>
        <w:t xml:space="preserve">2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11 </w:t>
      </w:r>
      <w:r>
        <w:rPr>
          <w:rFonts w:hint="eastAsia" w:ascii="宋体" w:hAnsi="宋体"/>
          <w:bCs/>
          <w:sz w:val="24"/>
        </w:rPr>
        <w:t>月</w:t>
      </w:r>
      <w:r>
        <w:rPr>
          <w:rFonts w:hint="eastAsia" w:ascii="宋体" w:hAnsi="宋体"/>
          <w:bCs/>
          <w:sz w:val="24"/>
          <w:u w:val="single"/>
          <w:lang w:val="en-US" w:eastAsia="zh-CN"/>
        </w:rPr>
        <w:t xml:space="preserve"> 2</w:t>
      </w:r>
      <w:r>
        <w:rPr>
          <w:rFonts w:hint="eastAsia" w:ascii="宋体" w:hAnsi="宋体"/>
          <w:bCs/>
          <w:sz w:val="24"/>
          <w:u w:val="single"/>
        </w:rPr>
        <w:t>2</w:t>
      </w:r>
      <w:r>
        <w:rPr>
          <w:rFonts w:hint="eastAsia" w:ascii="宋体" w:hAnsi="宋体"/>
          <w:bCs/>
          <w:sz w:val="24"/>
          <w:u w:val="single"/>
          <w:lang w:val="en-US" w:eastAsia="zh-CN"/>
        </w:rPr>
        <w:t xml:space="preserve"> </w:t>
      </w:r>
      <w:r>
        <w:rPr>
          <w:rFonts w:hint="eastAsia" w:ascii="宋体" w:hAnsi="宋体"/>
          <w:bCs/>
          <w:sz w:val="24"/>
        </w:rPr>
        <w:t>日</w:t>
      </w:r>
      <w:r>
        <w:rPr>
          <w:rFonts w:hint="eastAsia" w:ascii="宋体" w:hAnsi="宋体"/>
          <w:bCs/>
          <w:sz w:val="24"/>
          <w:u w:val="single"/>
        </w:rPr>
        <w:t xml:space="preserve"> 9 </w:t>
      </w:r>
      <w:r>
        <w:rPr>
          <w:rFonts w:hint="eastAsia" w:ascii="宋体" w:hAnsi="宋体"/>
          <w:bCs/>
          <w:sz w:val="24"/>
        </w:rPr>
        <w:t>时</w:t>
      </w:r>
      <w:r>
        <w:rPr>
          <w:rFonts w:hint="eastAsia" w:ascii="宋体" w:hAnsi="宋体"/>
          <w:bCs/>
          <w:sz w:val="24"/>
          <w:u w:val="single"/>
        </w:rPr>
        <w:t xml:space="preserve"> 30 </w:t>
      </w:r>
      <w:r>
        <w:rPr>
          <w:rFonts w:hint="eastAsia" w:ascii="宋体" w:hAnsi="宋体"/>
          <w:bCs/>
          <w:sz w:val="24"/>
        </w:rPr>
        <w:t>分前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Cs/>
          <w:sz w:val="24"/>
          <w:lang w:val="en-US" w:eastAsia="zh-CN"/>
        </w:rPr>
      </w:pPr>
      <w:r>
        <w:rPr>
          <w:rFonts w:hint="eastAsia" w:ascii="宋体" w:hAnsi="宋体"/>
          <w:bCs/>
          <w:sz w:val="24"/>
          <w:lang w:val="en-US" w:eastAsia="zh-CN"/>
        </w:rPr>
        <w:t>7.4</w:t>
      </w:r>
      <w:r>
        <w:rPr>
          <w:rFonts w:hint="eastAsia" w:ascii="宋体" w:hAnsi="宋体"/>
          <w:bCs/>
          <w:sz w:val="24"/>
        </w:rPr>
        <w:t>投标保证金汇款时备注项目名称</w:t>
      </w:r>
      <w:r>
        <w:rPr>
          <w:rFonts w:hint="eastAsia" w:ascii="宋体" w:hAnsi="宋体"/>
          <w:bCs/>
          <w:sz w:val="24"/>
          <w:lang w:eastAsia="zh-CN"/>
        </w:rPr>
        <w:t>（</w:t>
      </w:r>
      <w:r>
        <w:rPr>
          <w:rFonts w:hint="eastAsia" w:ascii="宋体" w:hAnsi="宋体"/>
          <w:bCs/>
          <w:sz w:val="24"/>
          <w:lang w:val="en-US" w:eastAsia="zh-CN"/>
        </w:rPr>
        <w:t>纯电动皮卡冲压模检具项目）及相关信息</w:t>
      </w:r>
      <w:r>
        <w:rPr>
          <w:rFonts w:hint="eastAsia" w:ascii="宋体" w:hAnsi="宋体"/>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val="en-US" w:eastAsia="zh-CN"/>
        </w:rPr>
      </w:pPr>
      <w:r>
        <w:rPr>
          <w:rFonts w:hint="eastAsia" w:ascii="宋体" w:hAnsi="宋体"/>
          <w:bCs/>
          <w:sz w:val="24"/>
          <w:lang w:val="en-US" w:eastAsia="zh-CN"/>
        </w:rPr>
        <w:t>7.5保证金的退还：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val="en-US" w:eastAsia="zh-CN"/>
        </w:rPr>
      </w:pPr>
      <w:r>
        <w:rPr>
          <w:rFonts w:hint="eastAsia" w:ascii="宋体" w:hAnsi="宋体"/>
          <w:bCs/>
          <w:sz w:val="24"/>
          <w:lang w:val="en-US" w:eastAsia="zh-CN"/>
        </w:rPr>
        <w:t>7.5.1未中标人的保证金，在中标通知书发出后60个工作日内退还；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val="en-US" w:eastAsia="zh-CN"/>
        </w:rPr>
      </w:pPr>
      <w:r>
        <w:rPr>
          <w:rFonts w:hint="eastAsia" w:ascii="宋体" w:hAnsi="宋体"/>
          <w:bCs/>
          <w:sz w:val="24"/>
          <w:lang w:val="en-US" w:eastAsia="zh-CN"/>
        </w:rPr>
        <w:t>7.5.2中标人的保证金在签订合同后60个工作日内予以退还。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Cs/>
          <w:sz w:val="24"/>
          <w:lang w:val="en-US" w:eastAsia="zh-CN"/>
        </w:rPr>
      </w:pPr>
      <w:r>
        <w:rPr>
          <w:rFonts w:hint="eastAsia" w:ascii="宋体" w:hAnsi="宋体"/>
          <w:bCs/>
          <w:sz w:val="24"/>
          <w:lang w:val="en-US" w:eastAsia="zh-CN"/>
        </w:rPr>
        <w:t>7.5.3保证金为无息退还。</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TimesNewRomanPSMT"/>
          <w:b/>
          <w:kern w:val="0"/>
          <w:sz w:val="24"/>
          <w:lang w:val="en-US" w:eastAsia="zh-CN"/>
        </w:rPr>
      </w:pPr>
      <w:r>
        <w:rPr>
          <w:rFonts w:hint="eastAsia" w:ascii="宋体" w:hAnsi="宋体" w:cs="TimesNewRomanPSMT"/>
          <w:b/>
          <w:kern w:val="0"/>
          <w:sz w:val="24"/>
          <w:lang w:val="en-US" w:eastAsia="zh-CN"/>
        </w:rPr>
        <w:t>8、付款条件及付款方式</w:t>
      </w:r>
    </w:p>
    <w:p>
      <w:pPr>
        <w:pStyle w:val="2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8.1</w:t>
      </w:r>
      <w:r>
        <w:rPr>
          <w:rFonts w:hint="eastAsia" w:ascii="宋体" w:hAnsi="宋体" w:eastAsia="宋体" w:cs="Times New Roman"/>
          <w:kern w:val="2"/>
          <w:sz w:val="24"/>
          <w:szCs w:val="21"/>
          <w:lang w:val="en-US" w:eastAsia="zh-CN" w:bidi="ar-SA"/>
        </w:rPr>
        <w:t>合同价款的结算方式：半年期</w:t>
      </w:r>
      <w:r>
        <w:rPr>
          <w:rFonts w:hint="eastAsia" w:ascii="宋体" w:hAnsi="宋体" w:cs="Times New Roman"/>
          <w:kern w:val="2"/>
          <w:sz w:val="24"/>
          <w:szCs w:val="21"/>
          <w:lang w:val="en-US" w:eastAsia="zh-CN" w:bidi="ar-SA"/>
        </w:rPr>
        <w:t>商业</w:t>
      </w:r>
      <w:r>
        <w:rPr>
          <w:rFonts w:hint="eastAsia" w:ascii="宋体" w:hAnsi="宋体" w:eastAsia="宋体" w:cs="Times New Roman"/>
          <w:kern w:val="2"/>
          <w:sz w:val="24"/>
          <w:szCs w:val="21"/>
          <w:lang w:val="en-US" w:eastAsia="zh-CN" w:bidi="ar-SA"/>
        </w:rPr>
        <w:t>汇票</w:t>
      </w:r>
      <w:r>
        <w:rPr>
          <w:rFonts w:hint="eastAsia" w:ascii="宋体" w:hAnsi="宋体" w:cs="Times New Roman"/>
          <w:kern w:val="2"/>
          <w:sz w:val="24"/>
          <w:szCs w:val="21"/>
          <w:lang w:val="en-US" w:eastAsia="zh-CN" w:bidi="ar-SA"/>
        </w:rPr>
        <w:t>（包括银行承兑汇票和商业承兑汇票）</w:t>
      </w:r>
      <w:r>
        <w:rPr>
          <w:rFonts w:hint="eastAsia" w:ascii="宋体" w:hAnsi="宋体" w:eastAsia="宋体" w:cs="Times New Roman"/>
          <w:kern w:val="2"/>
          <w:sz w:val="24"/>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8.2</w:t>
      </w:r>
      <w:r>
        <w:rPr>
          <w:rFonts w:hint="eastAsia" w:ascii="宋体" w:hAnsi="宋体" w:eastAsia="宋体" w:cs="Times New Roman"/>
          <w:kern w:val="2"/>
          <w:sz w:val="24"/>
          <w:szCs w:val="21"/>
          <w:lang w:val="en-US" w:eastAsia="zh-CN" w:bidi="ar-SA"/>
        </w:rPr>
        <w:t xml:space="preserve">合同价款的支付：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w:t>
      </w:r>
      <w:r>
        <w:rPr>
          <w:rFonts w:hint="eastAsia" w:ascii="宋体" w:hAnsi="宋体" w:eastAsia="宋体" w:cs="Times New Roman"/>
          <w:kern w:val="2"/>
          <w:sz w:val="24"/>
          <w:szCs w:val="21"/>
          <w:lang w:val="en-US" w:eastAsia="zh-CN" w:bidi="ar-SA"/>
        </w:rPr>
        <w:t>2.1合同生效，方案会签完成之后，铸件投入制作之前，卖方提交金额为合同总价款</w:t>
      </w:r>
      <w:r>
        <w:rPr>
          <w:rFonts w:hint="eastAsia" w:ascii="宋体" w:hAnsi="宋体" w:eastAsia="宋体" w:cs="Times New Roman"/>
          <w:kern w:val="2"/>
          <w:sz w:val="24"/>
          <w:szCs w:val="21"/>
          <w:u w:val="single"/>
          <w:lang w:val="en-US" w:eastAsia="zh-CN" w:bidi="ar-SA"/>
        </w:rPr>
        <w:t>30 %</w:t>
      </w:r>
      <w:r>
        <w:rPr>
          <w:rFonts w:hint="eastAsia" w:ascii="宋体" w:hAnsi="宋体" w:eastAsia="宋体" w:cs="Times New Roman"/>
          <w:kern w:val="2"/>
          <w:sz w:val="24"/>
          <w:szCs w:val="21"/>
          <w:lang w:val="en-US" w:eastAsia="zh-CN" w:bidi="ar-SA"/>
        </w:rPr>
        <w:t>的增值税专用发票（税率13%,正本一份，复印件二份），经买方依照财务制度审核无误后支付。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w:t>
      </w:r>
      <w:r>
        <w:rPr>
          <w:rFonts w:hint="eastAsia" w:ascii="宋体" w:hAnsi="宋体" w:eastAsia="宋体" w:cs="Times New Roman"/>
          <w:kern w:val="2"/>
          <w:sz w:val="24"/>
          <w:szCs w:val="21"/>
          <w:lang w:val="en-US" w:eastAsia="zh-CN" w:bidi="ar-SA"/>
        </w:rPr>
        <w:t>2.2模具预验收合格后，发货前卖方提交金额为合同总价款</w:t>
      </w:r>
      <w:r>
        <w:rPr>
          <w:rFonts w:hint="eastAsia" w:ascii="宋体" w:hAnsi="宋体" w:eastAsia="宋体" w:cs="Times New Roman"/>
          <w:kern w:val="2"/>
          <w:sz w:val="24"/>
          <w:szCs w:val="21"/>
          <w:u w:val="single"/>
          <w:lang w:val="en-US" w:eastAsia="zh-CN" w:bidi="ar-SA"/>
        </w:rPr>
        <w:t>30 %</w:t>
      </w:r>
      <w:r>
        <w:rPr>
          <w:rFonts w:hint="eastAsia" w:ascii="宋体" w:hAnsi="宋体" w:eastAsia="宋体" w:cs="Times New Roman"/>
          <w:kern w:val="2"/>
          <w:sz w:val="24"/>
          <w:szCs w:val="21"/>
          <w:lang w:val="en-US" w:eastAsia="zh-CN" w:bidi="ar-SA"/>
        </w:rPr>
        <w:t>的增值税专用发票（税率13%,正本一份，复印件二份），经买方依照财务制度审核无误后支付。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w:t>
      </w:r>
      <w:r>
        <w:rPr>
          <w:rFonts w:hint="eastAsia" w:ascii="宋体" w:hAnsi="宋体" w:eastAsia="宋体" w:cs="Times New Roman"/>
          <w:kern w:val="2"/>
          <w:sz w:val="24"/>
          <w:szCs w:val="21"/>
          <w:lang w:val="en-US" w:eastAsia="zh-CN" w:bidi="ar-SA"/>
        </w:rPr>
        <w:t>2.3设备全部到齐无质量问题，经安装、调试最终验收合格后，卖方提交金额为合同总价款的</w:t>
      </w:r>
      <w:r>
        <w:rPr>
          <w:rFonts w:hint="eastAsia" w:ascii="宋体" w:hAnsi="宋体" w:eastAsia="宋体" w:cs="Times New Roman"/>
          <w:kern w:val="2"/>
          <w:sz w:val="24"/>
          <w:szCs w:val="21"/>
          <w:u w:val="single"/>
          <w:lang w:val="en-US" w:eastAsia="zh-CN" w:bidi="ar-SA"/>
        </w:rPr>
        <w:t xml:space="preserve"> 40%</w:t>
      </w:r>
      <w:r>
        <w:rPr>
          <w:rFonts w:hint="eastAsia" w:ascii="宋体" w:hAnsi="宋体" w:eastAsia="宋体" w:cs="Times New Roman"/>
          <w:kern w:val="2"/>
          <w:sz w:val="24"/>
          <w:szCs w:val="21"/>
          <w:lang w:val="en-US" w:eastAsia="zh-CN" w:bidi="ar-SA"/>
        </w:rPr>
        <w:t>的增值税专用发票（税率13%,正本一份，复印件二份），并附带该套合同设备最终验收报告的原件及其复印件两份，经买方依照财务制度审核无误后支付合同总价款</w:t>
      </w:r>
      <w:r>
        <w:rPr>
          <w:rFonts w:hint="eastAsia" w:ascii="宋体" w:hAnsi="宋体" w:eastAsia="宋体" w:cs="Times New Roman"/>
          <w:kern w:val="2"/>
          <w:sz w:val="24"/>
          <w:szCs w:val="21"/>
          <w:u w:val="single"/>
          <w:lang w:val="en-US" w:eastAsia="zh-CN" w:bidi="ar-SA"/>
        </w:rPr>
        <w:t>30%</w:t>
      </w:r>
      <w:r>
        <w:rPr>
          <w:rFonts w:hint="eastAsia" w:ascii="宋体" w:hAnsi="宋体" w:eastAsia="宋体" w:cs="Times New Roman"/>
          <w:kern w:val="2"/>
          <w:sz w:val="24"/>
          <w:szCs w:val="21"/>
          <w:lang w:val="en-US" w:eastAsia="zh-CN" w:bidi="ar-SA"/>
        </w:rPr>
        <w:t>的验收款。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8.</w:t>
      </w:r>
      <w:r>
        <w:rPr>
          <w:rFonts w:hint="eastAsia" w:ascii="宋体" w:hAnsi="宋体" w:eastAsia="宋体" w:cs="Times New Roman"/>
          <w:kern w:val="2"/>
          <w:sz w:val="24"/>
          <w:szCs w:val="21"/>
          <w:lang w:val="en-US" w:eastAsia="zh-CN" w:bidi="ar-SA"/>
        </w:rPr>
        <w:t>2.4合同总价款的</w:t>
      </w:r>
      <w:r>
        <w:rPr>
          <w:rFonts w:hint="eastAsia" w:ascii="宋体" w:hAnsi="宋体" w:eastAsia="宋体" w:cs="Times New Roman"/>
          <w:kern w:val="2"/>
          <w:sz w:val="24"/>
          <w:szCs w:val="21"/>
          <w:u w:val="single"/>
          <w:lang w:val="en-US" w:eastAsia="zh-CN" w:bidi="ar-SA"/>
        </w:rPr>
        <w:t xml:space="preserve"> 10 %</w:t>
      </w:r>
      <w:r>
        <w:rPr>
          <w:rFonts w:hint="eastAsia" w:ascii="宋体" w:hAnsi="宋体" w:eastAsia="宋体" w:cs="Times New Roman"/>
          <w:kern w:val="2"/>
          <w:sz w:val="24"/>
          <w:szCs w:val="21"/>
          <w:lang w:val="en-US" w:eastAsia="zh-CN" w:bidi="ar-SA"/>
        </w:rPr>
        <w:t>作为本合同约定设备的质量保证金，质量保证金在质量保证期内不计利息。待每套合同设备质量保证期满后，卖方向买方提交金额为合同总价款</w:t>
      </w:r>
      <w:r>
        <w:rPr>
          <w:rFonts w:hint="eastAsia" w:ascii="宋体" w:hAnsi="宋体" w:eastAsia="宋体" w:cs="Times New Roman"/>
          <w:kern w:val="2"/>
          <w:sz w:val="24"/>
          <w:szCs w:val="21"/>
          <w:u w:val="single"/>
          <w:lang w:val="en-US" w:eastAsia="zh-CN" w:bidi="ar-SA"/>
        </w:rPr>
        <w:t>10%</w:t>
      </w:r>
      <w:r>
        <w:rPr>
          <w:rFonts w:hint="eastAsia" w:ascii="宋体" w:hAnsi="宋体" w:eastAsia="宋体" w:cs="Times New Roman"/>
          <w:kern w:val="2"/>
          <w:sz w:val="24"/>
          <w:szCs w:val="21"/>
          <w:lang w:val="en-US" w:eastAsia="zh-CN" w:bidi="ar-SA"/>
        </w:rPr>
        <w:t>的收据（正本一份，复印件二份）及设备使用单位或设备管理单位的使用情况说明，经买方依照财务制度审核无误后支付。如有质量问题，质量保证金予以相应扣除。</w:t>
      </w:r>
    </w:p>
    <w:p>
      <w:pPr>
        <w:pStyle w:val="2"/>
        <w:rPr>
          <w:rFonts w:hint="eastAsia" w:ascii="宋体" w:hAnsi="宋体" w:cs="宋体"/>
          <w:b w:val="0"/>
          <w:bCs/>
          <w:sz w:val="30"/>
          <w:szCs w:val="30"/>
        </w:rPr>
      </w:pPr>
      <w:bookmarkStart w:id="1" w:name="_Toc346372875"/>
    </w:p>
    <w:p>
      <w:pPr>
        <w:pStyle w:val="2"/>
        <w:rPr>
          <w:rFonts w:hint="eastAsia" w:ascii="宋体" w:hAnsi="宋体" w:cs="宋体"/>
          <w:b w:val="0"/>
          <w:bCs/>
          <w:sz w:val="30"/>
          <w:szCs w:val="30"/>
        </w:rPr>
      </w:pPr>
    </w:p>
    <w:p>
      <w:pPr>
        <w:pStyle w:val="2"/>
        <w:rPr>
          <w:rFonts w:hint="eastAsia" w:ascii="宋体" w:hAnsi="宋体" w:cs="宋体"/>
          <w:b w:val="0"/>
          <w:bCs/>
          <w:sz w:val="30"/>
          <w:szCs w:val="30"/>
        </w:rPr>
      </w:pPr>
    </w:p>
    <w:p>
      <w:pPr>
        <w:pStyle w:val="2"/>
        <w:rPr>
          <w:rFonts w:hint="eastAsia" w:ascii="宋体" w:hAnsi="宋体" w:cs="宋体"/>
          <w:b w:val="0"/>
          <w:bCs/>
          <w:sz w:val="30"/>
          <w:szCs w:val="30"/>
        </w:rPr>
      </w:pPr>
    </w:p>
    <w:p>
      <w:pPr>
        <w:pStyle w:val="2"/>
        <w:rPr>
          <w:rFonts w:hint="eastAsia" w:ascii="宋体" w:hAnsi="宋体" w:cs="宋体"/>
          <w:b w:val="0"/>
          <w:bCs/>
          <w:sz w:val="30"/>
          <w:szCs w:val="30"/>
        </w:rPr>
      </w:pPr>
    </w:p>
    <w:p>
      <w:pPr>
        <w:pStyle w:val="2"/>
        <w:rPr>
          <w:rFonts w:hint="eastAsia" w:ascii="宋体" w:hAnsi="宋体" w:cs="宋体"/>
          <w:b w:val="0"/>
          <w:bCs/>
          <w:sz w:val="30"/>
          <w:szCs w:val="30"/>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lang w:val="en-US" w:eastAsia="zh-CN"/>
        </w:rPr>
      </w:pPr>
    </w:p>
    <w:p>
      <w:pPr>
        <w:pStyle w:val="2"/>
        <w:spacing w:after="120" w:afterLines="50" w:line="360" w:lineRule="exact"/>
        <w:rPr>
          <w:rFonts w:hint="eastAsia" w:ascii="宋体" w:hAnsi="宋体"/>
        </w:rPr>
      </w:pPr>
      <w:bookmarkStart w:id="2" w:name="_Toc4157"/>
      <w:r>
        <w:rPr>
          <w:rFonts w:hint="eastAsia" w:ascii="宋体" w:hAnsi="宋体"/>
          <w:lang w:val="en-US" w:eastAsia="zh-CN"/>
        </w:rPr>
        <w:t xml:space="preserve">第二章  </w:t>
      </w:r>
      <w:bookmarkEnd w:id="1"/>
      <w:r>
        <w:rPr>
          <w:rFonts w:hint="eastAsia" w:ascii="宋体" w:hAnsi="宋体"/>
          <w:highlight w:val="none"/>
        </w:rPr>
        <w:t>投标方须知</w:t>
      </w:r>
      <w:bookmarkEnd w:id="2"/>
    </w:p>
    <w:p>
      <w:pPr>
        <w:pStyle w:val="4"/>
        <w:spacing w:before="120" w:after="120" w:line="360" w:lineRule="exact"/>
        <w:rPr>
          <w:rFonts w:ascii="宋体" w:hAnsi="宋体" w:eastAsia="宋体" w:cs="宋体"/>
          <w:sz w:val="28"/>
          <w:szCs w:val="28"/>
          <w:highlight w:val="none"/>
        </w:rPr>
      </w:pPr>
      <w:bookmarkStart w:id="3" w:name="_Toc10049"/>
      <w:bookmarkStart w:id="4" w:name="_Toc23128"/>
      <w:bookmarkStart w:id="5" w:name="_Toc212369515"/>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投标</w:t>
      </w:r>
      <w:r>
        <w:rPr>
          <w:rFonts w:hint="eastAsia" w:ascii="宋体" w:hAnsi="宋体" w:eastAsia="宋体" w:cs="宋体"/>
          <w:sz w:val="28"/>
          <w:szCs w:val="28"/>
          <w:highlight w:val="none"/>
        </w:rPr>
        <w:t>文件编写</w:t>
      </w:r>
      <w:bookmarkEnd w:id="3"/>
      <w:bookmarkEnd w:id="4"/>
    </w:p>
    <w:p>
      <w:pPr>
        <w:spacing w:line="460" w:lineRule="exact"/>
        <w:ind w:firstLine="482" w:firstLineChars="200"/>
        <w:rPr>
          <w:rFonts w:ascii="宋体" w:hAnsi="宋体"/>
          <w:b/>
          <w:bCs/>
          <w:sz w:val="24"/>
          <w:highlight w:val="none"/>
        </w:rPr>
      </w:pPr>
      <w:bookmarkStart w:id="6" w:name="_Toc92678114"/>
      <w:bookmarkStart w:id="7" w:name="_Toc212369513"/>
      <w:r>
        <w:rPr>
          <w:rFonts w:hint="eastAsia" w:ascii="宋体" w:hAnsi="宋体"/>
          <w:b/>
          <w:bCs/>
          <w:sz w:val="24"/>
          <w:highlight w:val="none"/>
          <w:lang w:val="en-US" w:eastAsia="zh-CN"/>
        </w:rPr>
        <w:t>1</w:t>
      </w:r>
      <w:r>
        <w:rPr>
          <w:rFonts w:hint="eastAsia" w:ascii="宋体" w:hAnsi="宋体"/>
          <w:b/>
          <w:bCs/>
          <w:sz w:val="24"/>
          <w:highlight w:val="none"/>
        </w:rPr>
        <w:t>、</w:t>
      </w:r>
      <w:r>
        <w:rPr>
          <w:rFonts w:hint="eastAsia" w:ascii="宋体" w:hAnsi="宋体"/>
          <w:b/>
          <w:bCs/>
          <w:sz w:val="24"/>
          <w:highlight w:val="none"/>
          <w:lang w:val="en-US" w:eastAsia="zh-CN"/>
        </w:rPr>
        <w:t>投标</w:t>
      </w:r>
      <w:r>
        <w:rPr>
          <w:rFonts w:hint="eastAsia" w:ascii="宋体" w:hAnsi="宋体"/>
          <w:b/>
          <w:bCs/>
          <w:sz w:val="24"/>
          <w:highlight w:val="none"/>
        </w:rPr>
        <w:t>文件组成</w:t>
      </w:r>
      <w:bookmarkEnd w:id="6"/>
      <w:bookmarkEnd w:id="7"/>
    </w:p>
    <w:p>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投标方的</w:t>
      </w:r>
      <w:r>
        <w:rPr>
          <w:rFonts w:hint="eastAsia" w:ascii="宋体" w:hAnsi="宋体" w:cs="宋体"/>
          <w:b/>
          <w:bCs/>
          <w:sz w:val="24"/>
          <w:highlight w:val="none"/>
          <w:lang w:val="en-US" w:eastAsia="zh-CN"/>
        </w:rPr>
        <w:t>投标</w:t>
      </w:r>
      <w:r>
        <w:rPr>
          <w:rFonts w:hint="eastAsia" w:ascii="宋体" w:hAnsi="宋体" w:cs="宋体"/>
          <w:b/>
          <w:bCs/>
          <w:sz w:val="24"/>
          <w:highlight w:val="none"/>
        </w:rPr>
        <w:t>文件由</w:t>
      </w:r>
      <w:r>
        <w:rPr>
          <w:rFonts w:hint="eastAsia" w:ascii="宋体" w:hAnsi="宋体" w:cs="宋体"/>
          <w:b/>
          <w:bCs/>
          <w:sz w:val="24"/>
          <w:highlight w:val="none"/>
          <w:u w:val="single"/>
        </w:rPr>
        <w:t>资格证明文件</w:t>
      </w:r>
      <w:r>
        <w:rPr>
          <w:rFonts w:hint="eastAsia" w:ascii="宋体" w:hAnsi="宋体" w:cs="宋体"/>
          <w:b/>
          <w:bCs/>
          <w:sz w:val="24"/>
          <w:highlight w:val="none"/>
        </w:rPr>
        <w:t>、</w:t>
      </w:r>
      <w:r>
        <w:rPr>
          <w:rFonts w:hint="eastAsia" w:ascii="宋体" w:hAnsi="宋体" w:cs="宋体"/>
          <w:b/>
          <w:bCs/>
          <w:sz w:val="24"/>
          <w:highlight w:val="none"/>
          <w:u w:val="single"/>
        </w:rPr>
        <w:t>技术标书</w:t>
      </w:r>
      <w:r>
        <w:rPr>
          <w:rFonts w:hint="eastAsia" w:ascii="宋体" w:hAnsi="宋体" w:cs="宋体"/>
          <w:b/>
          <w:bCs/>
          <w:sz w:val="24"/>
          <w:highlight w:val="none"/>
        </w:rPr>
        <w:t>、</w:t>
      </w:r>
      <w:r>
        <w:rPr>
          <w:rFonts w:hint="eastAsia" w:ascii="宋体" w:hAnsi="宋体" w:cs="宋体"/>
          <w:b/>
          <w:bCs/>
          <w:sz w:val="24"/>
          <w:highlight w:val="none"/>
          <w:u w:val="single"/>
        </w:rPr>
        <w:t>商务标书</w:t>
      </w:r>
      <w:r>
        <w:rPr>
          <w:rFonts w:hint="eastAsia" w:ascii="宋体" w:hAnsi="宋体" w:cs="宋体"/>
          <w:b/>
          <w:bCs/>
          <w:sz w:val="24"/>
          <w:highlight w:val="none"/>
        </w:rPr>
        <w:t>及</w:t>
      </w:r>
      <w:r>
        <w:rPr>
          <w:rFonts w:hint="eastAsia" w:ascii="宋体" w:hAnsi="宋体" w:cs="宋体"/>
          <w:b/>
          <w:bCs/>
          <w:sz w:val="24"/>
          <w:highlight w:val="none"/>
          <w:u w:val="single"/>
        </w:rPr>
        <w:t>开标一览表</w:t>
      </w:r>
      <w:r>
        <w:rPr>
          <w:rFonts w:hint="eastAsia" w:ascii="宋体" w:hAnsi="宋体" w:cs="宋体"/>
          <w:b/>
          <w:bCs/>
          <w:sz w:val="24"/>
          <w:highlight w:val="none"/>
        </w:rPr>
        <w:t>共四部分构成：</w:t>
      </w:r>
    </w:p>
    <w:p>
      <w:pPr>
        <w:spacing w:line="460" w:lineRule="exact"/>
        <w:ind w:firstLine="482" w:firstLineChars="200"/>
        <w:rPr>
          <w:rFonts w:ascii="宋体" w:hAnsi="宋体"/>
          <w:b/>
          <w:bCs/>
          <w:sz w:val="24"/>
          <w:highlight w:val="none"/>
        </w:rPr>
      </w:pPr>
      <w:bookmarkStart w:id="8" w:name="_Toc212369516"/>
      <w:r>
        <w:rPr>
          <w:rFonts w:hint="eastAsia" w:ascii="宋体" w:hAnsi="宋体"/>
          <w:b/>
          <w:bCs/>
          <w:sz w:val="24"/>
          <w:highlight w:val="none"/>
          <w:lang w:val="en-US" w:eastAsia="zh-CN"/>
        </w:rPr>
        <w:t>1</w:t>
      </w:r>
      <w:r>
        <w:rPr>
          <w:rFonts w:hint="eastAsia" w:ascii="宋体" w:hAnsi="宋体"/>
          <w:b/>
          <w:bCs/>
          <w:sz w:val="24"/>
          <w:highlight w:val="none"/>
        </w:rPr>
        <w:t>.1 资格证明文件包括：</w:t>
      </w:r>
      <w:bookmarkEnd w:id="8"/>
    </w:p>
    <w:p>
      <w:pPr>
        <w:spacing w:line="460" w:lineRule="exact"/>
        <w:ind w:firstLine="480" w:firstLineChars="200"/>
        <w:rPr>
          <w:rFonts w:ascii="宋体" w:hAnsi="宋体"/>
          <w:bCs/>
          <w:color w:val="FF0000"/>
          <w:sz w:val="24"/>
          <w:highlight w:val="none"/>
        </w:rPr>
      </w:pPr>
      <w:r>
        <w:rPr>
          <w:rFonts w:hint="eastAsia" w:ascii="宋体" w:hAnsi="宋体"/>
          <w:sz w:val="24"/>
          <w:highlight w:val="none"/>
        </w:rPr>
        <w:t>（1）营业执照复印件加盖公章</w:t>
      </w:r>
      <w:r>
        <w:rPr>
          <w:rFonts w:hint="eastAsia" w:ascii="宋体" w:hAnsi="宋体"/>
          <w:b/>
          <w:bCs/>
          <w:sz w:val="24"/>
          <w:highlight w:val="none"/>
        </w:rPr>
        <w:t>；</w:t>
      </w:r>
    </w:p>
    <w:p>
      <w:pPr>
        <w:spacing w:line="460" w:lineRule="exact"/>
        <w:ind w:firstLine="480" w:firstLineChars="200"/>
        <w:rPr>
          <w:rFonts w:ascii="宋体" w:hAnsi="宋体"/>
          <w:sz w:val="24"/>
          <w:highlight w:val="none"/>
        </w:rPr>
      </w:pPr>
      <w:r>
        <w:rPr>
          <w:rFonts w:hint="eastAsia" w:ascii="宋体" w:hAnsi="宋体"/>
          <w:sz w:val="24"/>
          <w:highlight w:val="none"/>
        </w:rPr>
        <w:t>（2）“信用中国”</w:t>
      </w:r>
      <w:r>
        <w:rPr>
          <w:rFonts w:hint="eastAsia" w:ascii="宋体" w:hAnsi="宋体"/>
          <w:sz w:val="24"/>
          <w:highlight w:val="none"/>
          <w:lang w:val="en-US" w:eastAsia="zh-CN"/>
        </w:rPr>
        <w:t>信用信息报告</w:t>
      </w:r>
      <w:r>
        <w:rPr>
          <w:rFonts w:hint="eastAsia" w:ascii="宋体" w:hAnsi="宋体"/>
          <w:sz w:val="24"/>
          <w:highlight w:val="none"/>
        </w:rPr>
        <w:t>加盖公章；</w:t>
      </w:r>
    </w:p>
    <w:p>
      <w:pPr>
        <w:spacing w:line="460" w:lineRule="exact"/>
        <w:ind w:firstLine="480" w:firstLineChars="200"/>
        <w:rPr>
          <w:rFonts w:ascii="宋体" w:hAnsi="宋体"/>
          <w:sz w:val="24"/>
          <w:highlight w:val="none"/>
        </w:rPr>
      </w:pPr>
      <w:r>
        <w:rPr>
          <w:rFonts w:hint="eastAsia" w:ascii="宋体" w:hAnsi="宋体"/>
          <w:sz w:val="24"/>
          <w:highlight w:val="none"/>
        </w:rPr>
        <w:t>（3）法定代表人身份证或授权代理人身份证复印件；</w:t>
      </w:r>
    </w:p>
    <w:p>
      <w:pPr>
        <w:tabs>
          <w:tab w:val="left" w:pos="6313"/>
        </w:tabs>
        <w:spacing w:line="460" w:lineRule="exact"/>
        <w:ind w:firstLine="480" w:firstLineChars="200"/>
        <w:rPr>
          <w:rFonts w:ascii="宋体" w:hAnsi="宋体"/>
          <w:sz w:val="24"/>
          <w:highlight w:val="none"/>
        </w:rPr>
      </w:pPr>
      <w:r>
        <w:rPr>
          <w:rFonts w:hint="eastAsia" w:ascii="宋体" w:hAnsi="宋体"/>
          <w:sz w:val="24"/>
          <w:highlight w:val="none"/>
        </w:rPr>
        <w:t>（4）法定代表人授权委托书；</w:t>
      </w:r>
      <w:r>
        <w:rPr>
          <w:rFonts w:ascii="宋体" w:hAnsi="宋体"/>
          <w:sz w:val="24"/>
          <w:highlight w:val="none"/>
        </w:rPr>
        <w:tab/>
      </w:r>
    </w:p>
    <w:p>
      <w:pPr>
        <w:spacing w:line="460" w:lineRule="exact"/>
        <w:ind w:firstLine="480" w:firstLineChars="200"/>
        <w:rPr>
          <w:rFonts w:ascii="宋体" w:hAnsi="宋体"/>
          <w:sz w:val="24"/>
          <w:highlight w:val="none"/>
        </w:rPr>
      </w:pPr>
      <w:r>
        <w:rPr>
          <w:rFonts w:hint="eastAsia" w:ascii="宋体" w:hAnsi="宋体"/>
          <w:sz w:val="24"/>
          <w:highlight w:val="none"/>
        </w:rPr>
        <w:t>（5）投标方基本情况表；</w:t>
      </w:r>
    </w:p>
    <w:p>
      <w:pPr>
        <w:spacing w:line="460" w:lineRule="exact"/>
        <w:ind w:firstLine="480" w:firstLineChars="200"/>
        <w:rPr>
          <w:rFonts w:ascii="宋体" w:hAnsi="宋体"/>
          <w:sz w:val="24"/>
          <w:highlight w:val="none"/>
        </w:rPr>
      </w:pPr>
      <w:r>
        <w:rPr>
          <w:rFonts w:hint="eastAsia" w:ascii="宋体" w:hAnsi="宋体"/>
          <w:sz w:val="24"/>
          <w:highlight w:val="none"/>
        </w:rPr>
        <w:t>（6）近三年经审计事务所审计并盖章的企业财务报表、信用等级以及完税证明；</w:t>
      </w:r>
    </w:p>
    <w:p>
      <w:pPr>
        <w:adjustRightInd w:val="0"/>
        <w:spacing w:line="460" w:lineRule="exact"/>
        <w:ind w:firstLine="480" w:firstLineChars="200"/>
        <w:rPr>
          <w:rFonts w:ascii="宋体" w:hAnsi="宋体"/>
          <w:sz w:val="24"/>
          <w:highlight w:val="none"/>
        </w:rPr>
      </w:pPr>
      <w:r>
        <w:rPr>
          <w:rFonts w:hint="eastAsia" w:ascii="宋体" w:hAnsi="宋体"/>
          <w:sz w:val="24"/>
          <w:highlight w:val="none"/>
        </w:rPr>
        <w:t>（7）在以往的招投标活动中无违法、违规、违纪、违约行为的承诺函；</w:t>
      </w:r>
    </w:p>
    <w:p>
      <w:pPr>
        <w:spacing w:line="460" w:lineRule="exact"/>
        <w:ind w:firstLine="480" w:firstLineChars="200"/>
        <w:rPr>
          <w:rFonts w:ascii="宋体" w:hAnsi="宋体"/>
          <w:sz w:val="24"/>
          <w:highlight w:val="none"/>
        </w:rPr>
      </w:pPr>
      <w:r>
        <w:rPr>
          <w:rFonts w:hint="eastAsia" w:ascii="宋体" w:hAnsi="宋体"/>
          <w:sz w:val="24"/>
          <w:highlight w:val="none"/>
        </w:rPr>
        <w:t>（8）有效期内的生产许可证（实行生产许可制度的企业提供）加盖公章；</w:t>
      </w:r>
    </w:p>
    <w:p>
      <w:pPr>
        <w:spacing w:line="460" w:lineRule="exact"/>
        <w:ind w:firstLine="480" w:firstLineChars="200"/>
        <w:rPr>
          <w:rFonts w:ascii="宋体" w:hAnsi="宋体"/>
          <w:sz w:val="24"/>
          <w:highlight w:val="none"/>
        </w:rPr>
      </w:pPr>
      <w:r>
        <w:rPr>
          <w:rFonts w:hint="eastAsia" w:ascii="宋体" w:hAnsi="宋体"/>
          <w:sz w:val="24"/>
          <w:highlight w:val="none"/>
        </w:rPr>
        <w:t>（9）招标文件要求的其它必要资格文件。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sz w:val="24"/>
          <w:highlight w:val="none"/>
          <w:lang w:val="en-US" w:eastAsia="zh-CN"/>
        </w:rPr>
      </w:pPr>
      <w:r>
        <w:rPr>
          <w:rFonts w:hint="eastAsia" w:ascii="宋体" w:hAnsi="宋体"/>
          <w:b/>
          <w:bCs/>
          <w:sz w:val="24"/>
          <w:highlight w:val="none"/>
          <w:lang w:val="en-US" w:eastAsia="zh-CN"/>
        </w:rPr>
        <w:t>1.2技术标书：</w:t>
      </w:r>
      <w:bookmarkEnd w:id="5"/>
    </w:p>
    <w:p>
      <w:pPr>
        <w:spacing w:line="460" w:lineRule="exact"/>
        <w:ind w:firstLine="480" w:firstLineChars="200"/>
        <w:rPr>
          <w:rFonts w:hint="eastAsia" w:ascii="宋体" w:hAnsi="宋体"/>
          <w:sz w:val="24"/>
          <w:highlight w:val="none"/>
        </w:rPr>
      </w:pPr>
      <w:r>
        <w:rPr>
          <w:rFonts w:hint="eastAsia" w:ascii="宋体" w:hAnsi="宋体"/>
          <w:sz w:val="24"/>
          <w:highlight w:val="none"/>
          <w:lang w:val="en-US" w:eastAsia="zh-CN"/>
        </w:rPr>
        <w:t>纯电动皮卡冲压模检具</w:t>
      </w:r>
      <w:r>
        <w:rPr>
          <w:rFonts w:hint="eastAsia" w:ascii="宋体" w:hAnsi="宋体"/>
          <w:bCs/>
          <w:sz w:val="24"/>
          <w:u w:val="none"/>
        </w:rPr>
        <w:t>项目</w:t>
      </w:r>
      <w:r>
        <w:rPr>
          <w:rFonts w:hint="eastAsia" w:ascii="宋体" w:hAnsi="宋体"/>
          <w:bCs/>
          <w:sz w:val="24"/>
          <w:lang w:val="en-US" w:eastAsia="zh-CN"/>
        </w:rPr>
        <w:t>所需的专用件</w:t>
      </w:r>
      <w:r>
        <w:rPr>
          <w:rFonts w:hint="eastAsia" w:ascii="宋体" w:hAnsi="宋体"/>
          <w:bCs/>
          <w:sz w:val="24"/>
          <w:u w:val="none"/>
          <w:lang w:val="en-US" w:eastAsia="zh-CN"/>
        </w:rPr>
        <w:t>模检具</w:t>
      </w:r>
      <w:r>
        <w:rPr>
          <w:rFonts w:hint="eastAsia" w:ascii="宋体" w:hAnsi="宋体"/>
          <w:sz w:val="24"/>
          <w:highlight w:val="none"/>
          <w:lang w:val="en-US" w:eastAsia="zh-CN"/>
        </w:rPr>
        <w:t>开发的具体实施方案，应包括模具、检具的</w:t>
      </w:r>
      <w:r>
        <w:rPr>
          <w:rFonts w:hint="eastAsia" w:ascii="宋体" w:hAnsi="宋体"/>
          <w:sz w:val="24"/>
          <w:highlight w:val="none"/>
        </w:rPr>
        <w:t>主要技术参数</w:t>
      </w:r>
      <w:r>
        <w:rPr>
          <w:rFonts w:hint="eastAsia" w:ascii="宋体" w:hAnsi="宋体"/>
          <w:sz w:val="24"/>
          <w:highlight w:val="none"/>
          <w:lang w:eastAsia="zh-CN"/>
        </w:rPr>
        <w:t>、</w:t>
      </w:r>
      <w:r>
        <w:rPr>
          <w:rFonts w:hint="eastAsia" w:ascii="宋体" w:hAnsi="宋体"/>
          <w:sz w:val="24"/>
          <w:highlight w:val="none"/>
        </w:rPr>
        <w:t>产品质量及保证措施</w:t>
      </w:r>
      <w:r>
        <w:rPr>
          <w:rFonts w:hint="eastAsia" w:ascii="宋体" w:hAnsi="宋体"/>
          <w:sz w:val="24"/>
          <w:highlight w:val="none"/>
          <w:lang w:eastAsia="zh-CN"/>
        </w:rPr>
        <w:t>、</w:t>
      </w:r>
      <w:r>
        <w:rPr>
          <w:rFonts w:hint="eastAsia" w:ascii="宋体" w:hAnsi="宋体"/>
          <w:sz w:val="24"/>
          <w:highlight w:val="none"/>
        </w:rPr>
        <w:t>供货周期</w:t>
      </w:r>
      <w:r>
        <w:rPr>
          <w:rFonts w:hint="eastAsia" w:ascii="宋体" w:hAnsi="宋体"/>
          <w:sz w:val="24"/>
          <w:highlight w:val="none"/>
          <w:lang w:eastAsia="zh-CN"/>
        </w:rPr>
        <w:t>、</w:t>
      </w:r>
      <w:r>
        <w:rPr>
          <w:rFonts w:hint="eastAsia" w:ascii="宋体" w:hAnsi="宋体"/>
          <w:sz w:val="24"/>
          <w:highlight w:val="none"/>
        </w:rPr>
        <w:t>质保期及售后服务</w:t>
      </w:r>
      <w:bookmarkStart w:id="9" w:name="_Toc212369514"/>
      <w:r>
        <w:rPr>
          <w:rFonts w:hint="eastAsia" w:ascii="宋体" w:hAnsi="宋体"/>
          <w:sz w:val="24"/>
          <w:highlight w:val="none"/>
          <w:lang w:eastAsia="zh-CN"/>
        </w:rPr>
        <w:t>、</w:t>
      </w:r>
      <w:r>
        <w:rPr>
          <w:rFonts w:hint="eastAsia" w:ascii="宋体" w:hAnsi="宋体"/>
          <w:sz w:val="24"/>
          <w:highlight w:val="none"/>
        </w:rPr>
        <w:t>技术规格偏离表</w:t>
      </w:r>
      <w:r>
        <w:rPr>
          <w:rFonts w:hint="eastAsia" w:ascii="宋体" w:hAnsi="宋体"/>
          <w:sz w:val="24"/>
          <w:highlight w:val="none"/>
          <w:lang w:val="en-US" w:eastAsia="zh-CN"/>
        </w:rPr>
        <w:t>等内容。</w:t>
      </w:r>
    </w:p>
    <w:bookmarkEnd w:id="9"/>
    <w:p>
      <w:pPr>
        <w:spacing w:line="460" w:lineRule="exact"/>
        <w:ind w:firstLine="482" w:firstLineChars="200"/>
        <w:rPr>
          <w:rFonts w:ascii="宋体" w:hAnsi="宋体"/>
          <w:b/>
          <w:bCs/>
          <w:sz w:val="24"/>
          <w:highlight w:val="none"/>
        </w:rPr>
      </w:pPr>
      <w:r>
        <w:rPr>
          <w:rFonts w:hint="eastAsia" w:ascii="宋体" w:hAnsi="宋体"/>
          <w:b/>
          <w:bCs/>
          <w:sz w:val="24"/>
          <w:highlight w:val="none"/>
          <w:lang w:val="en-US" w:eastAsia="zh-CN"/>
        </w:rPr>
        <w:t>1</w:t>
      </w:r>
      <w:r>
        <w:rPr>
          <w:rFonts w:hint="eastAsia" w:ascii="宋体" w:hAnsi="宋体"/>
          <w:b/>
          <w:bCs/>
          <w:sz w:val="24"/>
          <w:highlight w:val="none"/>
        </w:rPr>
        <w:t>.3商务标书：</w:t>
      </w:r>
    </w:p>
    <w:p>
      <w:pPr>
        <w:spacing w:line="460" w:lineRule="exact"/>
        <w:ind w:firstLine="480" w:firstLineChars="200"/>
        <w:rPr>
          <w:rFonts w:ascii="宋体" w:hAnsi="宋体"/>
          <w:sz w:val="24"/>
          <w:highlight w:val="none"/>
        </w:rPr>
      </w:pPr>
      <w:r>
        <w:rPr>
          <w:rFonts w:hint="eastAsia" w:ascii="宋体" w:hAnsi="宋体"/>
          <w:sz w:val="24"/>
          <w:highlight w:val="none"/>
        </w:rPr>
        <w:t>（1）投标函；</w:t>
      </w:r>
    </w:p>
    <w:p>
      <w:pPr>
        <w:spacing w:line="460" w:lineRule="exact"/>
        <w:ind w:firstLine="480" w:firstLineChars="200"/>
        <w:rPr>
          <w:rFonts w:ascii="宋体" w:hAnsi="宋体"/>
          <w:sz w:val="24"/>
          <w:highlight w:val="none"/>
        </w:rPr>
      </w:pPr>
      <w:r>
        <w:rPr>
          <w:rFonts w:hint="eastAsia" w:ascii="宋体" w:hAnsi="宋体"/>
          <w:sz w:val="24"/>
          <w:highlight w:val="none"/>
        </w:rPr>
        <w:t>（2）开标一览表；</w:t>
      </w:r>
    </w:p>
    <w:p>
      <w:pPr>
        <w:spacing w:line="460" w:lineRule="exact"/>
        <w:ind w:firstLine="480" w:firstLineChars="200"/>
        <w:rPr>
          <w:rFonts w:ascii="宋体" w:hAnsi="宋体"/>
          <w:sz w:val="24"/>
          <w:highlight w:val="none"/>
        </w:rPr>
      </w:pPr>
      <w:r>
        <w:rPr>
          <w:rFonts w:hint="eastAsia" w:ascii="宋体" w:hAnsi="宋体"/>
          <w:sz w:val="24"/>
          <w:highlight w:val="none"/>
        </w:rPr>
        <w:t>（3）投标分项报价表；</w:t>
      </w:r>
    </w:p>
    <w:p>
      <w:pPr>
        <w:spacing w:line="460" w:lineRule="exact"/>
        <w:ind w:firstLine="480" w:firstLineChars="200"/>
        <w:rPr>
          <w:rFonts w:ascii="宋体" w:hAnsi="宋体"/>
          <w:sz w:val="24"/>
          <w:highlight w:val="none"/>
        </w:rPr>
      </w:pPr>
      <w:r>
        <w:rPr>
          <w:rFonts w:hint="eastAsia" w:ascii="宋体" w:hAnsi="宋体"/>
          <w:sz w:val="24"/>
          <w:highlight w:val="none"/>
        </w:rPr>
        <w:t>（4）投标报价明细表；</w:t>
      </w:r>
    </w:p>
    <w:p>
      <w:pPr>
        <w:spacing w:line="460" w:lineRule="exact"/>
        <w:ind w:firstLine="480" w:firstLineChars="200"/>
        <w:rPr>
          <w:rFonts w:ascii="宋体" w:hAnsi="宋体"/>
          <w:sz w:val="24"/>
          <w:highlight w:val="none"/>
        </w:rPr>
      </w:pPr>
      <w:r>
        <w:rPr>
          <w:rFonts w:hint="eastAsia" w:ascii="宋体" w:hAnsi="宋体"/>
          <w:sz w:val="24"/>
          <w:highlight w:val="none"/>
        </w:rPr>
        <w:t>（5）货物说明一览表；</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）商务条款偏离表；</w:t>
      </w:r>
    </w:p>
    <w:p>
      <w:pPr>
        <w:spacing w:line="460" w:lineRule="exact"/>
        <w:ind w:firstLine="480" w:firstLineChars="200"/>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）对本项目招标文件及“合同条款”的认同及优惠条件说明</w:t>
      </w:r>
      <w:r>
        <w:rPr>
          <w:rFonts w:hint="eastAsia" w:ascii="宋体" w:hAnsi="宋体"/>
          <w:sz w:val="24"/>
          <w:highlight w:val="none"/>
          <w:lang w:eastAsia="zh-CN"/>
        </w:rPr>
        <w:t>。</w:t>
      </w:r>
    </w:p>
    <w:p>
      <w:pPr>
        <w:spacing w:line="460" w:lineRule="exact"/>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1.4投标文件的密封</w:t>
      </w:r>
    </w:p>
    <w:p>
      <w:pPr>
        <w:spacing w:line="46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由于本次招标采用网络视频的形式进行，所有投标文件要求提供电子版文件，</w:t>
      </w:r>
      <w:r>
        <w:rPr>
          <w:rFonts w:hint="eastAsia" w:ascii="宋体" w:hAnsi="宋体"/>
          <w:sz w:val="24"/>
          <w:highlight w:val="none"/>
        </w:rPr>
        <w:t>请准备好签章版电子版投标文件（纸质版签章投标文件扫描汇总），不得提交未签字盖章的投标文件。</w:t>
      </w:r>
      <w:r>
        <w:rPr>
          <w:rFonts w:hint="eastAsia" w:ascii="宋体" w:hAnsi="宋体"/>
          <w:sz w:val="24"/>
          <w:highlight w:val="none"/>
          <w:lang w:val="en-US" w:eastAsia="zh-CN"/>
        </w:rPr>
        <w:t>编制完成后请</w:t>
      </w:r>
      <w:r>
        <w:rPr>
          <w:rFonts w:hint="eastAsia" w:ascii="宋体" w:hAnsi="宋体"/>
          <w:b/>
          <w:bCs/>
          <w:sz w:val="24"/>
          <w:highlight w:val="none"/>
          <w:u w:val="single"/>
          <w:lang w:val="en-US" w:eastAsia="zh-CN"/>
        </w:rPr>
        <w:t>分别</w:t>
      </w:r>
      <w:r>
        <w:rPr>
          <w:rFonts w:hint="eastAsia" w:ascii="宋体" w:hAnsi="宋体"/>
          <w:sz w:val="24"/>
          <w:highlight w:val="none"/>
          <w:lang w:val="en-US" w:eastAsia="zh-CN"/>
        </w:rPr>
        <w:t>对</w:t>
      </w:r>
      <w:r>
        <w:rPr>
          <w:rFonts w:hint="eastAsia" w:ascii="宋体" w:hAnsi="宋体" w:cs="宋体"/>
          <w:b/>
          <w:bCs/>
          <w:sz w:val="24"/>
          <w:highlight w:val="none"/>
          <w:u w:val="single"/>
        </w:rPr>
        <w:t>资格证明文件</w:t>
      </w:r>
      <w:r>
        <w:rPr>
          <w:rFonts w:hint="eastAsia" w:ascii="宋体" w:hAnsi="宋体" w:cs="宋体"/>
          <w:b/>
          <w:bCs/>
          <w:sz w:val="24"/>
          <w:highlight w:val="none"/>
        </w:rPr>
        <w:t>、</w:t>
      </w:r>
      <w:r>
        <w:rPr>
          <w:rFonts w:hint="eastAsia" w:ascii="宋体" w:hAnsi="宋体" w:cs="宋体"/>
          <w:b/>
          <w:bCs/>
          <w:sz w:val="24"/>
          <w:highlight w:val="none"/>
          <w:u w:val="single"/>
        </w:rPr>
        <w:t>技术标书</w:t>
      </w:r>
      <w:r>
        <w:rPr>
          <w:rFonts w:hint="eastAsia" w:ascii="宋体" w:hAnsi="宋体" w:cs="宋体"/>
          <w:b/>
          <w:bCs/>
          <w:sz w:val="24"/>
          <w:highlight w:val="none"/>
        </w:rPr>
        <w:t>、</w:t>
      </w:r>
      <w:r>
        <w:rPr>
          <w:rFonts w:hint="eastAsia" w:ascii="宋体" w:hAnsi="宋体" w:cs="宋体"/>
          <w:b/>
          <w:bCs/>
          <w:sz w:val="24"/>
          <w:highlight w:val="none"/>
          <w:u w:val="single"/>
        </w:rPr>
        <w:t>商务标书</w:t>
      </w:r>
      <w:r>
        <w:rPr>
          <w:rFonts w:hint="eastAsia" w:ascii="宋体" w:hAnsi="宋体" w:cs="宋体"/>
          <w:b/>
          <w:bCs/>
          <w:sz w:val="24"/>
          <w:highlight w:val="none"/>
        </w:rPr>
        <w:t>及</w:t>
      </w:r>
      <w:r>
        <w:rPr>
          <w:rFonts w:hint="eastAsia" w:ascii="宋体" w:hAnsi="宋体" w:cs="宋体"/>
          <w:b/>
          <w:bCs/>
          <w:sz w:val="24"/>
          <w:highlight w:val="none"/>
          <w:u w:val="single"/>
        </w:rPr>
        <w:t>开标一览表</w:t>
      </w:r>
      <w:r>
        <w:rPr>
          <w:rFonts w:hint="eastAsia" w:ascii="宋体" w:hAnsi="宋体"/>
          <w:sz w:val="24"/>
          <w:highlight w:val="none"/>
          <w:lang w:val="en-US" w:eastAsia="zh-CN"/>
        </w:rPr>
        <w:t>文件进行加密，开标时提供各文件密码。</w:t>
      </w:r>
    </w:p>
    <w:p>
      <w:pPr>
        <w:pStyle w:val="4"/>
        <w:spacing w:before="120" w:after="120" w:line="360" w:lineRule="exact"/>
        <w:rPr>
          <w:rFonts w:ascii="宋体" w:hAnsi="宋体" w:eastAsia="宋体" w:cs="宋体"/>
          <w:sz w:val="28"/>
          <w:szCs w:val="28"/>
          <w:highlight w:val="none"/>
        </w:rPr>
      </w:pPr>
      <w:bookmarkStart w:id="10" w:name="_Toc4983"/>
      <w:bookmarkStart w:id="11" w:name="_Toc29278"/>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、开标与评标</w:t>
      </w:r>
      <w:bookmarkEnd w:id="10"/>
      <w:bookmarkEnd w:id="11"/>
    </w:p>
    <w:p>
      <w:pPr>
        <w:spacing w:line="460" w:lineRule="exact"/>
        <w:ind w:firstLine="482" w:firstLineChars="200"/>
        <w:rPr>
          <w:rFonts w:ascii="宋体" w:hAnsi="宋体"/>
          <w:b/>
          <w:bCs/>
          <w:sz w:val="24"/>
          <w:highlight w:val="none"/>
        </w:rPr>
      </w:pPr>
      <w:bookmarkStart w:id="12" w:name="_Toc212369527"/>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r>
        <w:rPr>
          <w:rFonts w:hint="eastAsia" w:ascii="宋体" w:hAnsi="宋体"/>
          <w:b/>
          <w:bCs/>
          <w:sz w:val="24"/>
          <w:highlight w:val="none"/>
        </w:rPr>
        <w:t>开标</w:t>
      </w:r>
      <w:bookmarkEnd w:id="12"/>
    </w:p>
    <w:p>
      <w:pPr>
        <w:pStyle w:val="31"/>
        <w:adjustRightInd w:val="0"/>
        <w:snapToGrid w:val="0"/>
        <w:spacing w:before="72" w:beforeLines="30" w:after="50"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rPr>
        <w:t>本次招标的开标、评标由招标方依法组织实施。</w:t>
      </w:r>
    </w:p>
    <w:p>
      <w:pPr>
        <w:pStyle w:val="31"/>
        <w:adjustRightInd w:val="0"/>
        <w:snapToGrid w:val="0"/>
        <w:spacing w:before="72" w:beforeLines="30" w:after="50"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.2开标会议由招标方组织并主持。招标方和招标方邀请各投标方派遣人员参加开标会议。投标方未参加开标的，视同认可开标结果。</w:t>
      </w:r>
    </w:p>
    <w:p>
      <w:pPr>
        <w:pStyle w:val="31"/>
        <w:adjustRightInd w:val="0"/>
        <w:snapToGrid w:val="0"/>
        <w:spacing w:before="72" w:beforeLines="30" w:after="50"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w:t>
      </w:r>
      <w:r>
        <w:rPr>
          <w:rFonts w:hint="eastAsia" w:ascii="宋体" w:hAnsi="宋体"/>
          <w:sz w:val="24"/>
          <w:highlight w:val="none"/>
        </w:rPr>
        <w:t>3开标程序</w:t>
      </w:r>
    </w:p>
    <w:p>
      <w:pPr>
        <w:pStyle w:val="31"/>
        <w:adjustRightInd w:val="0"/>
        <w:snapToGrid w:val="0"/>
        <w:spacing w:before="72" w:beforeLines="30" w:after="50"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）投标方和评监标人员签到。</w:t>
      </w:r>
    </w:p>
    <w:p>
      <w:pPr>
        <w:autoSpaceDE w:val="0"/>
        <w:autoSpaceDN w:val="0"/>
        <w:adjustRightInd w:val="0"/>
        <w:spacing w:line="460" w:lineRule="exact"/>
        <w:ind w:firstLine="480" w:firstLineChars="200"/>
        <w:jc w:val="left"/>
        <w:rPr>
          <w:rFonts w:ascii="宋体" w:hAnsi="宋体"/>
          <w:kern w:val="0"/>
          <w:sz w:val="24"/>
          <w:highlight w:val="none"/>
        </w:rPr>
      </w:pPr>
      <w:bookmarkStart w:id="13" w:name="_Toc92678127"/>
      <w:r>
        <w:rPr>
          <w:rFonts w:hint="eastAsia" w:ascii="宋体" w:hAnsi="宋体"/>
          <w:kern w:val="0"/>
          <w:sz w:val="24"/>
          <w:highlight w:val="none"/>
        </w:rPr>
        <w:t>（2）宣布开标会议开始并宣读开标纪律。</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（3）介绍与会人员。</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（4）投标方或投标方推选的代表对投标文件密封情况进行检查（投标方未参加开标会议的，视同认可投标文件密封完好）。</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（5）经确认无误后，由工作人员当众拆封，核验投标方资格证件，内容详见投标方须知前附表及投标文件编写资格证件部分。</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（6）各投标方抽签，按抽签顺序开技术标，未开标的投标方去休息区等候进场。</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（7）技术标开完之后所有投标方离场，专家打分，推荐进入下一轮的投标方。</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（8）所有投标方进场，工作人员当众唱标，按照抽签顺序开商务标。</w:t>
      </w:r>
    </w:p>
    <w:p>
      <w:pPr>
        <w:autoSpaceDE w:val="0"/>
        <w:autoSpaceDN w:val="0"/>
        <w:adjustRightInd w:val="0"/>
        <w:spacing w:line="460" w:lineRule="exact"/>
        <w:ind w:firstLine="480" w:firstLineChars="200"/>
        <w:jc w:val="left"/>
        <w:rPr>
          <w:rFonts w:ascii="宋体" w:hAnsi="宋体"/>
          <w:kern w:val="0"/>
          <w:sz w:val="24"/>
          <w:highlight w:val="none"/>
        </w:rPr>
      </w:pPr>
      <w:r>
        <w:rPr>
          <w:rFonts w:hint="eastAsia" w:ascii="宋体" w:hAnsi="宋体"/>
          <w:kern w:val="0"/>
          <w:sz w:val="24"/>
          <w:highlight w:val="none"/>
        </w:rPr>
        <w:t>（9）开标完毕，进入谈判阶段。</w:t>
      </w:r>
    </w:p>
    <w:bookmarkEnd w:id="13"/>
    <w:p>
      <w:pPr>
        <w:pStyle w:val="4"/>
        <w:spacing w:before="120" w:after="120" w:line="360" w:lineRule="exact"/>
        <w:rPr>
          <w:rFonts w:ascii="宋体" w:hAnsi="宋体" w:eastAsia="宋体" w:cs="宋体"/>
          <w:sz w:val="28"/>
          <w:szCs w:val="28"/>
          <w:highlight w:val="none"/>
        </w:rPr>
      </w:pPr>
      <w:bookmarkStart w:id="14" w:name="_Toc31156"/>
      <w:bookmarkStart w:id="15" w:name="_Toc25402"/>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、授予合同</w:t>
      </w:r>
      <w:bookmarkEnd w:id="14"/>
      <w:bookmarkEnd w:id="15"/>
    </w:p>
    <w:p>
      <w:pPr>
        <w:spacing w:line="360" w:lineRule="auto"/>
        <w:ind w:firstLine="488" w:firstLineChars="196"/>
        <w:rPr>
          <w:rFonts w:ascii="宋体" w:hAnsi="宋体"/>
          <w:b/>
          <w:spacing w:val="4"/>
          <w:sz w:val="24"/>
          <w:highlight w:val="none"/>
        </w:rPr>
      </w:pPr>
      <w:r>
        <w:rPr>
          <w:rFonts w:hint="eastAsia" w:ascii="宋体" w:hAnsi="宋体"/>
          <w:b/>
          <w:spacing w:val="4"/>
          <w:sz w:val="24"/>
          <w:highlight w:val="none"/>
          <w:lang w:val="en-US" w:eastAsia="zh-CN"/>
        </w:rPr>
        <w:t>3</w:t>
      </w:r>
      <w:r>
        <w:rPr>
          <w:rFonts w:hint="eastAsia" w:ascii="宋体" w:hAnsi="宋体"/>
          <w:b/>
          <w:spacing w:val="4"/>
          <w:sz w:val="24"/>
          <w:highlight w:val="none"/>
        </w:rPr>
        <w:t>、定标</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3</w:t>
      </w:r>
      <w:r>
        <w:rPr>
          <w:rFonts w:hint="eastAsia" w:ascii="宋体" w:hAnsi="宋体"/>
          <w:spacing w:val="4"/>
          <w:sz w:val="24"/>
          <w:highlight w:val="none"/>
        </w:rPr>
        <w:t>.1招标方对评标委员会推荐的中标候选人进行资质审查。</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3</w:t>
      </w:r>
      <w:r>
        <w:rPr>
          <w:rFonts w:hint="eastAsia" w:ascii="宋体" w:hAnsi="宋体"/>
          <w:spacing w:val="4"/>
          <w:sz w:val="24"/>
          <w:highlight w:val="none"/>
        </w:rPr>
        <w:t>.2最终审查的对象是招标项目的中标候选人。</w:t>
      </w:r>
    </w:p>
    <w:p>
      <w:pPr>
        <w:spacing w:line="360" w:lineRule="auto"/>
        <w:ind w:left="124" w:leftChars="59" w:firstLine="372" w:firstLineChars="150"/>
        <w:rPr>
          <w:rFonts w:ascii="宋体" w:hAnsi="宋体"/>
          <w:spacing w:val="4"/>
          <w:sz w:val="24"/>
          <w:highlight w:val="none"/>
        </w:rPr>
      </w:pPr>
      <w:r>
        <w:rPr>
          <w:rFonts w:hint="eastAsia" w:ascii="宋体" w:hAnsi="宋体"/>
          <w:spacing w:val="4"/>
          <w:sz w:val="24"/>
          <w:highlight w:val="none"/>
          <w:lang w:val="en-US" w:eastAsia="zh-CN"/>
        </w:rPr>
        <w:t>3</w:t>
      </w:r>
      <w:r>
        <w:rPr>
          <w:rFonts w:hint="eastAsia" w:ascii="宋体" w:hAnsi="宋体"/>
          <w:spacing w:val="4"/>
          <w:sz w:val="24"/>
          <w:highlight w:val="none"/>
        </w:rPr>
        <w:t>.3最终审查的内容是对中标候选人所报货物的产品性能及性价比、安装方案、调试方案、技术状况、生产条件、产品质量、交付时间、投标方信誉以及招标方认为有必要了解的其它问题作进一步的审查或了解。</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3</w:t>
      </w:r>
      <w:r>
        <w:rPr>
          <w:rFonts w:hint="eastAsia" w:ascii="宋体" w:hAnsi="宋体"/>
          <w:spacing w:val="4"/>
          <w:sz w:val="24"/>
          <w:highlight w:val="none"/>
        </w:rPr>
        <w:t>.4通过对中标候选人的最终审查确定中标人。</w:t>
      </w:r>
    </w:p>
    <w:p>
      <w:pPr>
        <w:spacing w:line="360" w:lineRule="auto"/>
        <w:ind w:firstLine="498" w:firstLineChars="200"/>
        <w:rPr>
          <w:rFonts w:ascii="宋体" w:hAnsi="宋体"/>
          <w:b/>
          <w:spacing w:val="4"/>
          <w:sz w:val="24"/>
          <w:highlight w:val="none"/>
        </w:rPr>
      </w:pPr>
      <w:r>
        <w:rPr>
          <w:rFonts w:hint="eastAsia" w:ascii="宋体" w:hAnsi="宋体"/>
          <w:b/>
          <w:spacing w:val="4"/>
          <w:sz w:val="24"/>
          <w:highlight w:val="none"/>
          <w:lang w:val="en-US" w:eastAsia="zh-CN"/>
        </w:rPr>
        <w:t>4</w:t>
      </w:r>
      <w:r>
        <w:rPr>
          <w:rFonts w:hint="eastAsia" w:ascii="宋体" w:hAnsi="宋体"/>
          <w:b/>
          <w:spacing w:val="4"/>
          <w:sz w:val="24"/>
          <w:highlight w:val="none"/>
        </w:rPr>
        <w:t>、招标方在授标时有变更数量的权利。</w:t>
      </w:r>
    </w:p>
    <w:p>
      <w:pPr>
        <w:pStyle w:val="26"/>
        <w:spacing w:after="0" w:line="360" w:lineRule="auto"/>
        <w:ind w:firstLine="496" w:firstLineChars="200"/>
        <w:jc w:val="both"/>
        <w:rPr>
          <w:rFonts w:ascii="宋体" w:hAnsi="宋体"/>
          <w:spacing w:val="4"/>
          <w:sz w:val="24"/>
          <w:highlight w:val="none"/>
        </w:rPr>
      </w:pPr>
      <w:r>
        <w:rPr>
          <w:rFonts w:hint="eastAsia" w:ascii="宋体" w:hAnsi="宋体"/>
          <w:spacing w:val="4"/>
          <w:sz w:val="24"/>
          <w:highlight w:val="none"/>
        </w:rPr>
        <w:t>在向投标方授予中标通知书时，</w:t>
      </w:r>
      <w:r>
        <w:rPr>
          <w:rFonts w:hint="eastAsia" w:ascii="宋体" w:hAnsi="宋体"/>
          <w:b/>
          <w:bCs/>
          <w:spacing w:val="4"/>
          <w:sz w:val="24"/>
          <w:highlight w:val="none"/>
          <w:u w:val="single"/>
        </w:rPr>
        <w:t>在保证采购设备规格型号不变的前提下招标方有变更数量的权利</w:t>
      </w:r>
      <w:r>
        <w:rPr>
          <w:rFonts w:hint="eastAsia" w:ascii="宋体" w:hAnsi="宋体"/>
          <w:spacing w:val="4"/>
          <w:sz w:val="24"/>
          <w:highlight w:val="none"/>
        </w:rPr>
        <w:t>。</w:t>
      </w:r>
    </w:p>
    <w:p>
      <w:pPr>
        <w:spacing w:line="360" w:lineRule="auto"/>
        <w:ind w:firstLine="498" w:firstLineChars="200"/>
        <w:rPr>
          <w:rFonts w:ascii="宋体" w:hAnsi="宋体"/>
          <w:b/>
          <w:spacing w:val="4"/>
          <w:sz w:val="24"/>
          <w:highlight w:val="none"/>
        </w:rPr>
      </w:pPr>
      <w:r>
        <w:rPr>
          <w:rFonts w:hint="eastAsia" w:ascii="宋体" w:hAnsi="宋体"/>
          <w:b/>
          <w:spacing w:val="4"/>
          <w:sz w:val="24"/>
          <w:highlight w:val="none"/>
          <w:lang w:val="en-US" w:eastAsia="zh-CN"/>
        </w:rPr>
        <w:t>5</w:t>
      </w:r>
      <w:r>
        <w:rPr>
          <w:rFonts w:hint="eastAsia" w:ascii="宋体" w:hAnsi="宋体"/>
          <w:b/>
          <w:spacing w:val="4"/>
          <w:sz w:val="24"/>
          <w:highlight w:val="none"/>
        </w:rPr>
        <w:t>、招标方接受和拒绝任何一个或所有投标的权利</w:t>
      </w:r>
    </w:p>
    <w:p>
      <w:pPr>
        <w:spacing w:line="360" w:lineRule="auto"/>
        <w:ind w:firstLine="496" w:firstLineChars="200"/>
        <w:rPr>
          <w:rFonts w:ascii="宋体" w:hAnsi="宋体"/>
          <w:spacing w:val="4"/>
          <w:sz w:val="24"/>
          <w:highlight w:val="none"/>
          <w:u w:val="single"/>
        </w:rPr>
      </w:pPr>
      <w:r>
        <w:rPr>
          <w:rFonts w:hint="eastAsia" w:ascii="宋体" w:hAnsi="宋体"/>
          <w:spacing w:val="4"/>
          <w:sz w:val="24"/>
          <w:highlight w:val="none"/>
          <w:u w:val="single"/>
        </w:rPr>
        <w:t>招标方在中标通知书发出之前任何时候仍有选择或拒绝任何投标方中标或宣布招标无效的权利。对受影响的投标方不承担任何责任，也无义务向受影响的投标方解释采取这一行动的理由。</w:t>
      </w:r>
    </w:p>
    <w:p>
      <w:pPr>
        <w:spacing w:line="360" w:lineRule="auto"/>
        <w:ind w:firstLine="496" w:firstLineChars="200"/>
        <w:rPr>
          <w:rFonts w:ascii="宋体" w:hAnsi="宋体"/>
          <w:spacing w:val="4"/>
          <w:sz w:val="24"/>
          <w:highlight w:val="none"/>
          <w:u w:val="single"/>
        </w:rPr>
      </w:pPr>
      <w:r>
        <w:rPr>
          <w:rFonts w:hint="eastAsia" w:ascii="宋体" w:hAnsi="宋体"/>
          <w:spacing w:val="4"/>
          <w:sz w:val="24"/>
          <w:highlight w:val="none"/>
          <w:u w:val="single"/>
        </w:rPr>
        <w:t>无论基于何种原因，各项目应作为拒绝处理的情形即便未被及时发现而使该中标人通过了资格审核、初评、现场复审、终评或其他所有相关程序，包括已签订合同的情形，招标人有权取消中标人资格，一旦中标人被拒绝或该中标人此前的评议结果被取消，相关的一切损失均由该中标人承担。</w:t>
      </w:r>
    </w:p>
    <w:p>
      <w:pPr>
        <w:spacing w:line="360" w:lineRule="auto"/>
        <w:ind w:firstLine="498" w:firstLineChars="200"/>
        <w:rPr>
          <w:rFonts w:ascii="宋体" w:hAnsi="宋体"/>
          <w:b/>
          <w:spacing w:val="4"/>
          <w:sz w:val="24"/>
          <w:highlight w:val="none"/>
        </w:rPr>
      </w:pPr>
      <w:r>
        <w:rPr>
          <w:rFonts w:hint="eastAsia" w:ascii="宋体" w:hAnsi="宋体"/>
          <w:b/>
          <w:spacing w:val="4"/>
          <w:sz w:val="24"/>
          <w:highlight w:val="none"/>
          <w:lang w:val="en-US" w:eastAsia="zh-CN"/>
        </w:rPr>
        <w:t>6</w:t>
      </w:r>
      <w:r>
        <w:rPr>
          <w:rFonts w:hint="eastAsia" w:ascii="宋体" w:hAnsi="宋体"/>
          <w:b/>
          <w:spacing w:val="4"/>
          <w:sz w:val="24"/>
          <w:highlight w:val="none"/>
        </w:rPr>
        <w:t>、中标通知</w:t>
      </w:r>
    </w:p>
    <w:p>
      <w:pPr>
        <w:spacing w:line="360" w:lineRule="auto"/>
        <w:ind w:firstLine="496" w:firstLineChars="200"/>
        <w:rPr>
          <w:rFonts w:ascii="宋体" w:hAnsi="宋体" w:cs="宋体"/>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.1</w:t>
      </w:r>
      <w:r>
        <w:rPr>
          <w:rFonts w:hint="eastAsia" w:ascii="宋体" w:hAnsi="宋体" w:cs="宋体"/>
          <w:sz w:val="24"/>
          <w:highlight w:val="none"/>
        </w:rPr>
        <w:t>确定中标结果后，招标方向中标人签发</w:t>
      </w:r>
      <w:r>
        <w:rPr>
          <w:rFonts w:hint="eastAsia" w:ascii="宋体" w:hAnsi="宋体" w:cs="宋体"/>
          <w:sz w:val="24"/>
          <w:highlight w:val="none"/>
          <w:lang w:val="en-US" w:eastAsia="zh-CN"/>
        </w:rPr>
        <w:t>电子版</w:t>
      </w:r>
      <w:r>
        <w:rPr>
          <w:rFonts w:hint="eastAsia" w:ascii="宋体" w:hAnsi="宋体" w:cs="宋体"/>
          <w:sz w:val="24"/>
          <w:highlight w:val="none"/>
        </w:rPr>
        <w:t>《中标通知书》。</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.2中标通知书将是合同的组成部分。</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.3如投标人中标后悔标，招标方将取消该投标人本次中标资格，给招标人造成损失的，招标人有索赔的权利，投标人应予以赔偿。</w:t>
      </w:r>
    </w:p>
    <w:p>
      <w:pPr>
        <w:spacing w:line="360" w:lineRule="auto"/>
        <w:ind w:firstLine="498" w:firstLineChars="200"/>
        <w:rPr>
          <w:rFonts w:ascii="宋体" w:hAnsi="宋体"/>
          <w:b/>
          <w:spacing w:val="4"/>
          <w:sz w:val="24"/>
          <w:highlight w:val="none"/>
        </w:rPr>
      </w:pPr>
      <w:r>
        <w:rPr>
          <w:rFonts w:hint="eastAsia" w:ascii="宋体" w:hAnsi="宋体"/>
          <w:b/>
          <w:spacing w:val="4"/>
          <w:sz w:val="24"/>
          <w:highlight w:val="none"/>
          <w:lang w:val="en-US" w:eastAsia="zh-CN"/>
        </w:rPr>
        <w:t>7</w:t>
      </w:r>
      <w:r>
        <w:rPr>
          <w:rFonts w:hint="eastAsia" w:ascii="宋体" w:hAnsi="宋体"/>
          <w:b/>
          <w:spacing w:val="4"/>
          <w:sz w:val="24"/>
          <w:highlight w:val="none"/>
        </w:rPr>
        <w:t>、签订合同</w:t>
      </w:r>
    </w:p>
    <w:p>
      <w:pPr>
        <w:spacing w:line="360" w:lineRule="auto"/>
        <w:ind w:firstLine="496" w:firstLineChars="200"/>
        <w:rPr>
          <w:rFonts w:hint="eastAsia" w:ascii="宋体" w:hAnsi="宋体"/>
          <w:bCs/>
          <w:spacing w:val="4"/>
          <w:sz w:val="24"/>
          <w:highlight w:val="none"/>
        </w:rPr>
      </w:pPr>
      <w:r>
        <w:rPr>
          <w:rFonts w:hint="eastAsia" w:ascii="宋体" w:hAnsi="宋体"/>
          <w:bCs/>
          <w:spacing w:val="4"/>
          <w:sz w:val="24"/>
          <w:highlight w:val="none"/>
          <w:lang w:val="en-US" w:eastAsia="zh-CN"/>
        </w:rPr>
        <w:t>7</w:t>
      </w:r>
      <w:r>
        <w:rPr>
          <w:rFonts w:hint="eastAsia" w:ascii="宋体" w:hAnsi="宋体"/>
          <w:bCs/>
          <w:spacing w:val="4"/>
          <w:sz w:val="24"/>
          <w:highlight w:val="none"/>
        </w:rPr>
        <w:t>.1中标方应按中标通知书中规定的时间、地点与招标方签订中标经济合同，否则按开标后撤回投标处理。</w:t>
      </w:r>
    </w:p>
    <w:p>
      <w:pPr>
        <w:spacing w:line="360" w:lineRule="auto"/>
        <w:ind w:firstLine="496" w:firstLineChars="200"/>
        <w:rPr>
          <w:rFonts w:hint="eastAsia" w:ascii="宋体" w:hAnsi="宋体"/>
          <w:bCs/>
          <w:spacing w:val="4"/>
          <w:sz w:val="24"/>
          <w:highlight w:val="none"/>
          <w:lang w:val="en-US" w:eastAsia="zh-CN"/>
        </w:rPr>
      </w:pPr>
      <w:r>
        <w:rPr>
          <w:rFonts w:hint="eastAsia" w:ascii="宋体" w:hAnsi="宋体"/>
          <w:bCs/>
          <w:spacing w:val="4"/>
          <w:sz w:val="24"/>
          <w:highlight w:val="none"/>
          <w:lang w:val="en-US" w:eastAsia="zh-CN"/>
        </w:rPr>
        <w:t>7.2招标文件、中标方的投标文件及评标过程中有关澄清文件均应作为合同附件。</w:t>
      </w:r>
    </w:p>
    <w:p>
      <w:pPr>
        <w:spacing w:line="360" w:lineRule="auto"/>
        <w:ind w:firstLine="496" w:firstLineChars="200"/>
        <w:rPr>
          <w:rFonts w:hint="eastAsia" w:ascii="宋体" w:hAnsi="宋体"/>
          <w:bCs/>
          <w:spacing w:val="4"/>
          <w:sz w:val="24"/>
          <w:highlight w:val="none"/>
          <w:lang w:val="en-US" w:eastAsia="zh-CN"/>
        </w:rPr>
      </w:pPr>
      <w:r>
        <w:rPr>
          <w:rFonts w:hint="eastAsia" w:ascii="宋体" w:hAnsi="宋体"/>
          <w:bCs/>
          <w:spacing w:val="4"/>
          <w:sz w:val="24"/>
          <w:highlight w:val="none"/>
          <w:lang w:val="en-US" w:eastAsia="zh-CN"/>
        </w:rPr>
        <w:t>7.3合同以双方最终签署的版本为准。</w:t>
      </w:r>
    </w:p>
    <w:p>
      <w:pPr>
        <w:numPr>
          <w:ilvl w:val="0"/>
          <w:numId w:val="0"/>
        </w:numPr>
        <w:spacing w:line="360" w:lineRule="auto"/>
        <w:ind w:firstLine="498" w:firstLineChars="200"/>
        <w:rPr>
          <w:rFonts w:hint="eastAsia" w:ascii="宋体" w:hAnsi="宋体"/>
          <w:b/>
          <w:bCs w:val="0"/>
          <w:spacing w:val="4"/>
          <w:sz w:val="24"/>
          <w:highlight w:val="none"/>
          <w:lang w:val="en-US" w:eastAsia="zh-CN"/>
        </w:rPr>
      </w:pPr>
      <w:r>
        <w:rPr>
          <w:rFonts w:hint="eastAsia" w:ascii="宋体" w:hAnsi="宋体"/>
          <w:b/>
          <w:bCs w:val="0"/>
          <w:spacing w:val="4"/>
          <w:sz w:val="24"/>
          <w:highlight w:val="none"/>
          <w:lang w:val="en-US" w:eastAsia="zh-CN"/>
        </w:rPr>
        <w:t>8、终止招标</w:t>
      </w:r>
    </w:p>
    <w:p>
      <w:pPr>
        <w:spacing w:line="360" w:lineRule="auto"/>
        <w:ind w:firstLine="496" w:firstLineChars="200"/>
        <w:rPr>
          <w:rFonts w:hint="eastAsia" w:ascii="宋体" w:hAnsi="宋体" w:cs="Times New Roman"/>
          <w:bCs/>
          <w:i w:val="0"/>
          <w:iCs w:val="0"/>
          <w:caps w:val="0"/>
          <w:spacing w:val="4"/>
          <w:sz w:val="24"/>
          <w:szCs w:val="21"/>
          <w:highlight w:val="none"/>
          <w:shd w:val="clear"/>
          <w:lang w:val="en-US" w:eastAsia="zh-CN"/>
        </w:rPr>
      </w:pPr>
      <w:r>
        <w:rPr>
          <w:rFonts w:hint="eastAsia" w:ascii="宋体" w:hAnsi="宋体" w:eastAsia="宋体" w:cs="Times New Roman"/>
          <w:bCs/>
          <w:i w:val="0"/>
          <w:iCs w:val="0"/>
          <w:caps w:val="0"/>
          <w:spacing w:val="4"/>
          <w:sz w:val="24"/>
          <w:szCs w:val="21"/>
          <w:highlight w:val="none"/>
          <w:shd w:val="clear"/>
        </w:rPr>
        <w:t>出现下列情形之一，招标人有权否决所有投标人的投标，并终止招标</w:t>
      </w:r>
      <w:r>
        <w:rPr>
          <w:rFonts w:hint="eastAsia" w:ascii="宋体" w:hAnsi="宋体" w:cs="Times New Roman"/>
          <w:bCs/>
          <w:i w:val="0"/>
          <w:iCs w:val="0"/>
          <w:caps w:val="0"/>
          <w:spacing w:val="4"/>
          <w:sz w:val="24"/>
          <w:szCs w:val="21"/>
          <w:highlight w:val="none"/>
          <w:shd w:val="clear"/>
          <w:lang w:val="en-US" w:eastAsia="zh-CN"/>
        </w:rPr>
        <w:t>.</w:t>
      </w:r>
    </w:p>
    <w:p>
      <w:pPr>
        <w:spacing w:line="360" w:lineRule="auto"/>
        <w:ind w:firstLine="496" w:firstLineChars="200"/>
        <w:rPr>
          <w:rFonts w:hint="eastAsia" w:ascii="宋体" w:hAnsi="宋体" w:eastAsia="宋体" w:cs="Times New Roman"/>
          <w:bCs/>
          <w:i w:val="0"/>
          <w:iCs w:val="0"/>
          <w:caps w:val="0"/>
          <w:spacing w:val="4"/>
          <w:sz w:val="24"/>
          <w:szCs w:val="21"/>
          <w:highlight w:val="none"/>
          <w:shd w:val="clear"/>
        </w:rPr>
      </w:pPr>
      <w:r>
        <w:rPr>
          <w:rFonts w:hint="eastAsia" w:ascii="宋体" w:hAnsi="宋体" w:cs="Times New Roman"/>
          <w:bCs/>
          <w:i w:val="0"/>
          <w:iCs w:val="0"/>
          <w:caps w:val="0"/>
          <w:spacing w:val="4"/>
          <w:sz w:val="24"/>
          <w:szCs w:val="21"/>
          <w:highlight w:val="none"/>
          <w:shd w:val="clear"/>
          <w:lang w:val="en-US" w:eastAsia="zh-CN"/>
        </w:rPr>
        <w:t>8.1</w:t>
      </w:r>
      <w:r>
        <w:rPr>
          <w:rFonts w:hint="eastAsia" w:ascii="宋体" w:hAnsi="宋体" w:eastAsia="宋体" w:cs="Times New Roman"/>
          <w:bCs/>
          <w:i w:val="0"/>
          <w:iCs w:val="0"/>
          <w:caps w:val="0"/>
          <w:spacing w:val="4"/>
          <w:sz w:val="24"/>
          <w:szCs w:val="21"/>
          <w:highlight w:val="none"/>
          <w:shd w:val="clear"/>
        </w:rPr>
        <w:t>符合条件的投标人或者对招标文件做实质响应的投标人不足三家的。</w:t>
      </w:r>
    </w:p>
    <w:p>
      <w:pPr>
        <w:spacing w:line="360" w:lineRule="auto"/>
        <w:ind w:firstLine="496" w:firstLineChars="200"/>
        <w:rPr>
          <w:rFonts w:hint="eastAsia" w:ascii="宋体" w:hAnsi="宋体" w:eastAsia="宋体" w:cs="Times New Roman"/>
          <w:bCs/>
          <w:i w:val="0"/>
          <w:iCs w:val="0"/>
          <w:caps w:val="0"/>
          <w:spacing w:val="4"/>
          <w:sz w:val="24"/>
          <w:szCs w:val="21"/>
          <w:highlight w:val="none"/>
          <w:shd w:val="clear"/>
          <w:lang w:val="en-US" w:eastAsia="zh-CN"/>
        </w:rPr>
      </w:pPr>
      <w:r>
        <w:rPr>
          <w:rFonts w:hint="eastAsia" w:ascii="宋体" w:hAnsi="宋体" w:cs="Times New Roman"/>
          <w:bCs/>
          <w:i w:val="0"/>
          <w:iCs w:val="0"/>
          <w:caps w:val="0"/>
          <w:spacing w:val="4"/>
          <w:sz w:val="24"/>
          <w:szCs w:val="21"/>
          <w:highlight w:val="none"/>
          <w:shd w:val="clear"/>
          <w:lang w:val="en-US" w:eastAsia="zh-CN"/>
        </w:rPr>
        <w:t>8.2</w:t>
      </w:r>
      <w:r>
        <w:rPr>
          <w:rFonts w:hint="eastAsia" w:ascii="宋体" w:hAnsi="宋体" w:eastAsia="宋体" w:cs="Times New Roman"/>
          <w:bCs/>
          <w:i w:val="0"/>
          <w:iCs w:val="0"/>
          <w:caps w:val="0"/>
          <w:spacing w:val="4"/>
          <w:sz w:val="24"/>
          <w:szCs w:val="21"/>
          <w:highlight w:val="none"/>
          <w:shd w:val="clear"/>
        </w:rPr>
        <w:t>出现影响采购公正的违法、违规行为的</w:t>
      </w:r>
      <w:r>
        <w:rPr>
          <w:rFonts w:hint="eastAsia" w:ascii="宋体" w:hAnsi="宋体" w:cs="Times New Roman"/>
          <w:bCs/>
          <w:i w:val="0"/>
          <w:iCs w:val="0"/>
          <w:caps w:val="0"/>
          <w:spacing w:val="4"/>
          <w:sz w:val="24"/>
          <w:szCs w:val="21"/>
          <w:highlight w:val="none"/>
          <w:shd w:val="clear"/>
          <w:lang w:eastAsia="zh-CN"/>
        </w:rPr>
        <w:t>。</w:t>
      </w:r>
    </w:p>
    <w:p>
      <w:pPr>
        <w:spacing w:line="360" w:lineRule="auto"/>
        <w:ind w:firstLine="496" w:firstLineChars="200"/>
        <w:rPr>
          <w:rFonts w:hint="eastAsia" w:ascii="宋体" w:hAnsi="宋体" w:eastAsia="宋体" w:cs="Times New Roman"/>
          <w:bCs/>
          <w:i w:val="0"/>
          <w:iCs w:val="0"/>
          <w:caps w:val="0"/>
          <w:spacing w:val="4"/>
          <w:sz w:val="24"/>
          <w:szCs w:val="21"/>
          <w:highlight w:val="none"/>
          <w:shd w:val="clear"/>
          <w:lang w:val="en-US" w:eastAsia="zh-CN"/>
        </w:rPr>
      </w:pPr>
      <w:r>
        <w:rPr>
          <w:rFonts w:hint="eastAsia" w:ascii="宋体" w:hAnsi="宋体" w:cs="Times New Roman"/>
          <w:bCs/>
          <w:i w:val="0"/>
          <w:iCs w:val="0"/>
          <w:caps w:val="0"/>
          <w:spacing w:val="4"/>
          <w:sz w:val="24"/>
          <w:szCs w:val="21"/>
          <w:highlight w:val="none"/>
          <w:shd w:val="clear"/>
          <w:lang w:val="en-US" w:eastAsia="zh-CN"/>
        </w:rPr>
        <w:t>8.3</w:t>
      </w:r>
      <w:r>
        <w:rPr>
          <w:rFonts w:hint="eastAsia" w:ascii="宋体" w:hAnsi="宋体" w:eastAsia="宋体" w:cs="Times New Roman"/>
          <w:bCs/>
          <w:i w:val="0"/>
          <w:iCs w:val="0"/>
          <w:caps w:val="0"/>
          <w:spacing w:val="4"/>
          <w:sz w:val="24"/>
          <w:szCs w:val="21"/>
          <w:highlight w:val="none"/>
          <w:shd w:val="clear"/>
        </w:rPr>
        <w:t>投标人的投标均超过了采购预算</w:t>
      </w:r>
      <w:r>
        <w:rPr>
          <w:rFonts w:hint="eastAsia" w:ascii="宋体" w:hAnsi="宋体" w:cs="Times New Roman"/>
          <w:bCs/>
          <w:i w:val="0"/>
          <w:iCs w:val="0"/>
          <w:caps w:val="0"/>
          <w:spacing w:val="4"/>
          <w:sz w:val="24"/>
          <w:szCs w:val="21"/>
          <w:highlight w:val="none"/>
          <w:shd w:val="clear"/>
          <w:lang w:eastAsia="zh-CN"/>
        </w:rPr>
        <w:t>。</w:t>
      </w:r>
    </w:p>
    <w:p>
      <w:pPr>
        <w:spacing w:line="360" w:lineRule="auto"/>
        <w:ind w:firstLine="496" w:firstLineChars="200"/>
        <w:rPr>
          <w:rFonts w:hint="eastAsia" w:ascii="宋体" w:hAnsi="宋体" w:eastAsia="宋体" w:cs="Times New Roman"/>
          <w:bCs/>
          <w:i w:val="0"/>
          <w:iCs w:val="0"/>
          <w:caps w:val="0"/>
          <w:spacing w:val="4"/>
          <w:sz w:val="24"/>
          <w:szCs w:val="21"/>
          <w:highlight w:val="none"/>
          <w:shd w:val="clear"/>
          <w:lang w:val="en-US" w:eastAsia="zh-CN"/>
        </w:rPr>
      </w:pPr>
      <w:r>
        <w:rPr>
          <w:rFonts w:hint="eastAsia" w:ascii="宋体" w:hAnsi="宋体" w:cs="Times New Roman"/>
          <w:bCs/>
          <w:i w:val="0"/>
          <w:iCs w:val="0"/>
          <w:caps w:val="0"/>
          <w:spacing w:val="4"/>
          <w:sz w:val="24"/>
          <w:szCs w:val="21"/>
          <w:highlight w:val="none"/>
          <w:shd w:val="clear"/>
          <w:lang w:val="en-US" w:eastAsia="zh-CN"/>
        </w:rPr>
        <w:t>8.4</w:t>
      </w:r>
      <w:r>
        <w:rPr>
          <w:rFonts w:hint="eastAsia" w:ascii="宋体" w:hAnsi="宋体" w:eastAsia="宋体" w:cs="Times New Roman"/>
          <w:bCs/>
          <w:i w:val="0"/>
          <w:iCs w:val="0"/>
          <w:caps w:val="0"/>
          <w:spacing w:val="4"/>
          <w:sz w:val="24"/>
          <w:szCs w:val="21"/>
          <w:highlight w:val="none"/>
          <w:shd w:val="clear"/>
        </w:rPr>
        <w:t>因重大变故，采购任务取消的</w:t>
      </w:r>
      <w:r>
        <w:rPr>
          <w:rFonts w:hint="eastAsia" w:ascii="宋体" w:hAnsi="宋体" w:cs="Times New Roman"/>
          <w:bCs/>
          <w:i w:val="0"/>
          <w:iCs w:val="0"/>
          <w:caps w:val="0"/>
          <w:spacing w:val="4"/>
          <w:sz w:val="24"/>
          <w:szCs w:val="21"/>
          <w:highlight w:val="none"/>
          <w:shd w:val="clear"/>
          <w:lang w:eastAsia="zh-CN"/>
        </w:rPr>
        <w:t>。</w:t>
      </w:r>
    </w:p>
    <w:p>
      <w:pPr>
        <w:spacing w:line="360" w:lineRule="auto"/>
        <w:ind w:firstLine="496" w:firstLineChars="200"/>
        <w:rPr>
          <w:rFonts w:hint="eastAsia" w:ascii="宋体" w:hAnsi="宋体" w:eastAsia="宋体" w:cs="Times New Roman"/>
          <w:b w:val="0"/>
          <w:bCs/>
          <w:i w:val="0"/>
          <w:iCs w:val="0"/>
          <w:caps w:val="0"/>
          <w:spacing w:val="4"/>
          <w:kern w:val="2"/>
          <w:sz w:val="24"/>
          <w:szCs w:val="21"/>
          <w:highlight w:val="none"/>
          <w:shd w:val="clear"/>
        </w:rPr>
      </w:pPr>
      <w:r>
        <w:rPr>
          <w:rFonts w:hint="eastAsia" w:ascii="宋体" w:hAnsi="宋体" w:cs="Times New Roman"/>
          <w:b w:val="0"/>
          <w:bCs/>
          <w:i w:val="0"/>
          <w:iCs w:val="0"/>
          <w:caps w:val="0"/>
          <w:spacing w:val="4"/>
          <w:kern w:val="2"/>
          <w:sz w:val="24"/>
          <w:szCs w:val="21"/>
          <w:highlight w:val="none"/>
          <w:shd w:val="clear"/>
          <w:lang w:val="en-US" w:eastAsia="zh-CN"/>
        </w:rPr>
        <w:t>8</w:t>
      </w:r>
      <w:r>
        <w:rPr>
          <w:rFonts w:hint="eastAsia" w:ascii="宋体" w:hAnsi="宋体" w:eastAsia="宋体" w:cs="Times New Roman"/>
          <w:b w:val="0"/>
          <w:bCs/>
          <w:i w:val="0"/>
          <w:iCs w:val="0"/>
          <w:caps w:val="0"/>
          <w:spacing w:val="4"/>
          <w:kern w:val="2"/>
          <w:sz w:val="24"/>
          <w:szCs w:val="21"/>
          <w:highlight w:val="none"/>
          <w:shd w:val="clear"/>
          <w:lang w:val="en-US" w:eastAsia="zh-CN"/>
        </w:rPr>
        <w:t>.5</w:t>
      </w:r>
      <w:r>
        <w:rPr>
          <w:rFonts w:hint="eastAsia" w:ascii="宋体" w:hAnsi="宋体" w:eastAsia="宋体" w:cs="Times New Roman"/>
          <w:b w:val="0"/>
          <w:bCs/>
          <w:i w:val="0"/>
          <w:iCs w:val="0"/>
          <w:caps w:val="0"/>
          <w:spacing w:val="4"/>
          <w:kern w:val="2"/>
          <w:sz w:val="24"/>
          <w:szCs w:val="21"/>
          <w:highlight w:val="none"/>
          <w:shd w:val="clear"/>
        </w:rPr>
        <w:t>招标人认为其他应终止招标的情形。</w:t>
      </w:r>
    </w:p>
    <w:p>
      <w:pPr>
        <w:numPr>
          <w:ilvl w:val="0"/>
          <w:numId w:val="0"/>
        </w:numPr>
        <w:spacing w:line="360" w:lineRule="auto"/>
        <w:ind w:firstLine="498" w:firstLineChars="200"/>
        <w:rPr>
          <w:rFonts w:hint="default" w:ascii="宋体" w:hAnsi="宋体"/>
          <w:b/>
          <w:bCs w:val="0"/>
          <w:color w:val="auto"/>
          <w:spacing w:val="4"/>
          <w:sz w:val="24"/>
          <w:highlight w:val="none"/>
          <w:lang w:val="en-US" w:eastAsia="zh-CN"/>
        </w:rPr>
      </w:pPr>
      <w:r>
        <w:rPr>
          <w:rFonts w:hint="eastAsia" w:ascii="宋体" w:hAnsi="宋体"/>
          <w:b/>
          <w:bCs w:val="0"/>
          <w:color w:val="auto"/>
          <w:spacing w:val="4"/>
          <w:sz w:val="24"/>
          <w:highlight w:val="none"/>
          <w:lang w:val="en-US" w:eastAsia="zh-CN"/>
        </w:rPr>
        <w:t>9、废标</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9.1</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投标人提供的有关资格、资质证明文件不合格、不真实或提供虚假投标材料；</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9.2</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投标人在报价有效期内撤回投标；</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9.3</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在整个评标过程中，投标人有企图影响评标结果公正性的任何活动；</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9.4</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投标人以任何方式诋毁其他投标人；</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9.5</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投标人串通投标；</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9.6</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以他人名义投标或者以其他方式弄虚作假，骗取中标的；</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9.7</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中标人不按规定签订合同；</w:t>
      </w:r>
    </w:p>
    <w:p>
      <w:pPr>
        <w:pStyle w:val="6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96" w:firstLineChars="200"/>
        <w:textAlignment w:val="auto"/>
        <w:rPr>
          <w:rFonts w:hint="default"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cs="Times New Roman"/>
          <w:b w:val="0"/>
          <w:bCs/>
          <w:i w:val="0"/>
          <w:iCs w:val="0"/>
          <w:caps w:val="0"/>
          <w:color w:val="auto"/>
          <w:spacing w:val="4"/>
          <w:kern w:val="2"/>
          <w:sz w:val="24"/>
          <w:szCs w:val="21"/>
          <w:highlight w:val="none"/>
          <w:shd w:val="clear"/>
          <w:lang w:val="en-US" w:eastAsia="zh-CN" w:bidi="ar-SA"/>
        </w:rPr>
        <w:t>9.8投标人被举报、检具，并经招标方查实无误的；</w:t>
      </w:r>
    </w:p>
    <w:p>
      <w:pPr>
        <w:pStyle w:val="31"/>
        <w:spacing w:after="0" w:line="360" w:lineRule="auto"/>
        <w:ind w:firstLine="496" w:firstLineChars="200"/>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ascii="宋体" w:hAnsi="宋体" w:cs="Times New Roman"/>
          <w:b w:val="0"/>
          <w:bCs/>
          <w:i w:val="0"/>
          <w:iCs w:val="0"/>
          <w:caps w:val="0"/>
          <w:color w:val="auto"/>
          <w:spacing w:val="4"/>
          <w:kern w:val="2"/>
          <w:sz w:val="24"/>
          <w:szCs w:val="21"/>
          <w:highlight w:val="none"/>
          <w:shd w:val="clear"/>
          <w:lang w:val="en-US" w:eastAsia="zh-CN" w:bidi="ar-SA"/>
        </w:rPr>
        <w:t>9</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w:t>
      </w:r>
      <w:r>
        <w:rPr>
          <w:rFonts w:hint="eastAsia" w:ascii="宋体" w:hAnsi="宋体" w:cs="Times New Roman"/>
          <w:b w:val="0"/>
          <w:bCs/>
          <w:i w:val="0"/>
          <w:iCs w:val="0"/>
          <w:caps w:val="0"/>
          <w:color w:val="auto"/>
          <w:spacing w:val="4"/>
          <w:kern w:val="2"/>
          <w:sz w:val="24"/>
          <w:szCs w:val="21"/>
          <w:highlight w:val="none"/>
          <w:shd w:val="clear"/>
          <w:lang w:val="en-US" w:eastAsia="zh-CN" w:bidi="ar-SA"/>
        </w:rPr>
        <w:t>9</w:t>
      </w:r>
      <w:r>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t>法律、法规规定的其他情况。</w:t>
      </w:r>
    </w:p>
    <w:p>
      <w:pPr>
        <w:numPr>
          <w:ilvl w:val="0"/>
          <w:numId w:val="0"/>
        </w:numPr>
        <w:spacing w:line="360" w:lineRule="auto"/>
        <w:ind w:firstLine="498" w:firstLineChars="200"/>
        <w:rPr>
          <w:rFonts w:hint="eastAsia" w:ascii="宋体" w:hAnsi="宋体"/>
          <w:b/>
          <w:bCs w:val="0"/>
          <w:color w:val="auto"/>
          <w:spacing w:val="4"/>
          <w:sz w:val="24"/>
          <w:highlight w:val="none"/>
          <w:lang w:val="en-US" w:eastAsia="zh-CN"/>
        </w:rPr>
      </w:pPr>
      <w:r>
        <w:rPr>
          <w:rFonts w:hint="eastAsia" w:ascii="宋体" w:hAnsi="宋体"/>
          <w:b/>
          <w:bCs w:val="0"/>
          <w:color w:val="auto"/>
          <w:spacing w:val="4"/>
          <w:sz w:val="24"/>
          <w:highlight w:val="none"/>
          <w:lang w:val="en-US" w:eastAsia="zh-CN"/>
        </w:rPr>
        <w:t>10、中标人瑕疵滞后发现的处理原则</w:t>
      </w:r>
    </w:p>
    <w:p>
      <w:pPr>
        <w:spacing w:line="360" w:lineRule="auto"/>
        <w:ind w:firstLine="480" w:firstLineChars="200"/>
        <w:rPr>
          <w:rFonts w:hint="eastAsia" w:ascii="宋体" w:hAnsi="宋体" w:eastAsia="宋体" w:cs="Times New Roman"/>
          <w:b w:val="0"/>
          <w:bCs/>
          <w:i w:val="0"/>
          <w:iCs w:val="0"/>
          <w:caps w:val="0"/>
          <w:color w:val="auto"/>
          <w:spacing w:val="4"/>
          <w:kern w:val="2"/>
          <w:sz w:val="24"/>
          <w:szCs w:val="21"/>
          <w:highlight w:val="none"/>
          <w:shd w:val="clear"/>
          <w:lang w:val="en-US" w:eastAsia="zh-CN" w:bidi="ar-SA"/>
        </w:rPr>
      </w:pPr>
      <w:r>
        <w:rPr>
          <w:rFonts w:hint="eastAsia" w:ascii="宋体" w:hAnsi="宋体" w:cs="宋体"/>
          <w:kern w:val="0"/>
          <w:sz w:val="24"/>
          <w:highlight w:val="none"/>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r>
        <w:rPr>
          <w:rFonts w:hint="eastAsia" w:ascii="宋体" w:hAnsi="宋体" w:cs="宋体"/>
          <w:kern w:val="0"/>
          <w:sz w:val="24"/>
          <w:highlight w:val="none"/>
          <w:lang w:eastAsia="zh-CN"/>
        </w:rPr>
        <w:t>。</w:t>
      </w:r>
    </w:p>
    <w:p>
      <w:pPr>
        <w:pStyle w:val="4"/>
        <w:spacing w:before="120" w:after="120" w:line="360" w:lineRule="exact"/>
        <w:rPr>
          <w:rFonts w:ascii="宋体" w:hAnsi="宋体" w:eastAsia="宋体" w:cs="宋体"/>
          <w:sz w:val="28"/>
          <w:szCs w:val="28"/>
          <w:highlight w:val="none"/>
        </w:rPr>
      </w:pPr>
      <w:bookmarkStart w:id="16" w:name="_Toc26821"/>
      <w:bookmarkStart w:id="17" w:name="_Toc21007"/>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、解释权</w:t>
      </w:r>
      <w:bookmarkEnd w:id="16"/>
      <w:bookmarkEnd w:id="17"/>
    </w:p>
    <w:p>
      <w:pPr>
        <w:pStyle w:val="31"/>
        <w:spacing w:after="0" w:line="360" w:lineRule="auto"/>
        <w:ind w:firstLine="480" w:firstLineChars="200"/>
        <w:rPr>
          <w:rFonts w:ascii="宋体" w:hAnsi="宋体"/>
        </w:rPr>
      </w:pPr>
      <w:r>
        <w:rPr>
          <w:rFonts w:hint="eastAsia" w:ascii="宋体" w:hAnsi="宋体" w:cs="宋体"/>
          <w:sz w:val="24"/>
          <w:szCs w:val="24"/>
          <w:highlight w:val="none"/>
        </w:rPr>
        <w:t>本招标文件的最终解释权归招标方，当对一个问题有多种解释时以招标方的书面解释为准。招标文件未做明示，而又有相关法律、法规规定的，招标方对此所做解释以相关的法律、法规规定为依据</w:t>
      </w:r>
      <w:r>
        <w:rPr>
          <w:rFonts w:hint="eastAsia" w:ascii="宋体" w:hAnsi="宋体" w:cs="宋体"/>
          <w:sz w:val="24"/>
          <w:szCs w:val="24"/>
        </w:rPr>
        <w:t>。</w:t>
      </w:r>
      <w:bookmarkStart w:id="18" w:name="_Toc500420293"/>
      <w:bookmarkStart w:id="19" w:name="_Toc500420375"/>
    </w:p>
    <w:p>
      <w:pPr>
        <w:pStyle w:val="2"/>
        <w:rPr>
          <w:rFonts w:ascii="宋体" w:hAnsi="宋体"/>
        </w:rPr>
      </w:pPr>
    </w:p>
    <w:p>
      <w:pPr>
        <w:pStyle w:val="2"/>
        <w:rPr>
          <w:rFonts w:ascii="宋体" w:hAnsi="宋体"/>
        </w:rPr>
      </w:pPr>
    </w:p>
    <w:bookmarkEnd w:id="18"/>
    <w:bookmarkEnd w:id="19"/>
    <w:p>
      <w:pPr>
        <w:pStyle w:val="2"/>
        <w:rPr>
          <w:rFonts w:hint="eastAsia" w:ascii="宋体" w:hAnsi="宋体"/>
        </w:rPr>
      </w:pPr>
      <w:bookmarkStart w:id="20" w:name="_Toc27758105"/>
      <w:bookmarkStart w:id="21" w:name="_Toc49845975"/>
      <w:bookmarkStart w:id="22" w:name="_Toc518655787"/>
    </w:p>
    <w:p>
      <w:pPr>
        <w:pStyle w:val="2"/>
        <w:rPr>
          <w:rFonts w:hint="eastAsia" w:ascii="宋体" w:hAnsi="宋体"/>
        </w:rPr>
      </w:pPr>
    </w:p>
    <w:p>
      <w:pPr>
        <w:pStyle w:val="2"/>
        <w:rPr>
          <w:rFonts w:hint="eastAsia" w:ascii="宋体" w:hAnsi="宋体"/>
        </w:rPr>
      </w:pPr>
    </w:p>
    <w:p>
      <w:pPr>
        <w:pStyle w:val="2"/>
        <w:rPr>
          <w:rFonts w:ascii="宋体" w:hAnsi="宋体"/>
        </w:rPr>
      </w:pPr>
      <w:bookmarkStart w:id="23" w:name="_Toc15559"/>
      <w:r>
        <w:rPr>
          <w:rFonts w:hint="eastAsia" w:ascii="宋体" w:hAnsi="宋体"/>
        </w:rPr>
        <w:t>第</w:t>
      </w:r>
      <w:r>
        <w:rPr>
          <w:rFonts w:hint="eastAsia" w:ascii="宋体" w:hAnsi="宋体"/>
          <w:lang w:val="en-US" w:eastAsia="zh-CN"/>
        </w:rPr>
        <w:t>三</w:t>
      </w:r>
      <w:r>
        <w:rPr>
          <w:rFonts w:hint="eastAsia" w:ascii="宋体" w:hAnsi="宋体"/>
        </w:rPr>
        <w:t>章  技术规格及技术要求</w:t>
      </w:r>
      <w:bookmarkEnd w:id="23"/>
    </w:p>
    <w:p>
      <w:pPr>
        <w:spacing w:line="360" w:lineRule="auto"/>
        <w:rPr>
          <w:rFonts w:hint="eastAsia" w:ascii="宋体" w:hAnsi="宋体" w:eastAsia="宋体" w:cs="宋体"/>
          <w:b/>
          <w:sz w:val="28"/>
          <w:szCs w:val="28"/>
        </w:rPr>
      </w:pPr>
      <w:bookmarkStart w:id="24" w:name="_Toc18377"/>
      <w:bookmarkStart w:id="25" w:name="_Toc159998018"/>
      <w:bookmarkStart w:id="26" w:name="_Toc1918"/>
      <w:bookmarkStart w:id="27" w:name="_Toc17670"/>
      <w:bookmarkStart w:id="28" w:name="_Toc27758130"/>
      <w:bookmarkStart w:id="29" w:name="_Toc26357138"/>
      <w:r>
        <w:rPr>
          <w:rFonts w:hint="eastAsia" w:ascii="宋体" w:hAnsi="宋体" w:eastAsia="宋体" w:cs="宋体"/>
          <w:b/>
          <w:sz w:val="28"/>
          <w:szCs w:val="28"/>
        </w:rPr>
        <w:t>一、货物需求概况</w:t>
      </w:r>
      <w:bookmarkEnd w:id="24"/>
      <w:bookmarkEnd w:id="25"/>
      <w:bookmarkEnd w:id="26"/>
      <w:bookmarkStart w:id="30" w:name="_Toc13633"/>
      <w:bookmarkStart w:id="31" w:name="_Toc159998019"/>
    </w:p>
    <w:p>
      <w:pPr>
        <w:pStyle w:val="72"/>
        <w:keepNext w:val="0"/>
        <w:keepLines w:val="0"/>
        <w:pageBreakBefore w:val="0"/>
        <w:widowControl w:val="0"/>
        <w:tabs>
          <w:tab w:val="left" w:pos="4253"/>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Cs w:val="0"/>
          <w:kern w:val="2"/>
          <w:sz w:val="24"/>
          <w:szCs w:val="21"/>
        </w:rPr>
      </w:pPr>
      <w:bookmarkStart w:id="32" w:name="_Toc27796"/>
      <w:bookmarkStart w:id="33" w:name="_Toc2235"/>
      <w:bookmarkStart w:id="34" w:name="_Toc9384"/>
      <w:r>
        <w:rPr>
          <w:rFonts w:hint="eastAsia" w:ascii="宋体" w:hAnsi="宋体" w:eastAsia="宋体" w:cs="宋体"/>
          <w:bCs w:val="0"/>
          <w:kern w:val="2"/>
          <w:sz w:val="24"/>
          <w:szCs w:val="21"/>
        </w:rPr>
        <w:t>1．项目概况及货物的使用环境</w:t>
      </w:r>
      <w:bookmarkEnd w:id="30"/>
      <w:bookmarkEnd w:id="31"/>
      <w:bookmarkEnd w:id="32"/>
      <w:bookmarkEnd w:id="33"/>
      <w:bookmarkEnd w:id="34"/>
    </w:p>
    <w:p>
      <w:pPr>
        <w:spacing w:line="360" w:lineRule="auto"/>
        <w:rPr>
          <w:rFonts w:hint="eastAsia" w:ascii="宋体" w:hAnsi="宋体" w:eastAsia="宋体" w:cs="宋体"/>
          <w:sz w:val="24"/>
        </w:rPr>
      </w:pPr>
      <w:r>
        <w:rPr>
          <w:rFonts w:hint="eastAsia" w:ascii="宋体" w:hAnsi="宋体" w:eastAsia="宋体" w:cs="宋体"/>
          <w:sz w:val="24"/>
        </w:rPr>
        <w:t>1.1项目名称：</w:t>
      </w:r>
      <w:r>
        <w:rPr>
          <w:rFonts w:hint="eastAsia" w:ascii="宋体" w:hAnsi="宋体" w:eastAsia="宋体" w:cs="宋体"/>
          <w:sz w:val="24"/>
          <w:lang w:val="en-US" w:eastAsia="zh-CN"/>
        </w:rPr>
        <w:t>纯电动皮卡</w:t>
      </w:r>
      <w:r>
        <w:rPr>
          <w:rFonts w:hint="eastAsia" w:ascii="宋体" w:hAnsi="宋体" w:eastAsia="宋体" w:cs="宋体"/>
          <w:sz w:val="24"/>
        </w:rPr>
        <w:t>冲压模具项目</w:t>
      </w:r>
    </w:p>
    <w:p>
      <w:pPr>
        <w:spacing w:line="360" w:lineRule="auto"/>
        <w:rPr>
          <w:rFonts w:hint="eastAsia" w:ascii="宋体" w:hAnsi="宋体" w:eastAsia="宋体" w:cs="宋体"/>
          <w:sz w:val="24"/>
        </w:rPr>
      </w:pPr>
      <w:r>
        <w:rPr>
          <w:rFonts w:hint="eastAsia" w:ascii="宋体" w:hAnsi="宋体" w:eastAsia="宋体" w:cs="宋体"/>
          <w:sz w:val="24"/>
        </w:rPr>
        <w:t>1.2建设地点：济南轻卡制造公司</w:t>
      </w:r>
    </w:p>
    <w:p>
      <w:pPr>
        <w:spacing w:line="360" w:lineRule="auto"/>
        <w:rPr>
          <w:rFonts w:hint="eastAsia" w:ascii="宋体" w:hAnsi="宋体" w:eastAsia="宋体" w:cs="宋体"/>
          <w:sz w:val="24"/>
        </w:rPr>
      </w:pPr>
      <w:r>
        <w:rPr>
          <w:rFonts w:hint="eastAsia" w:ascii="宋体" w:hAnsi="宋体" w:eastAsia="宋体" w:cs="宋体"/>
          <w:sz w:val="24"/>
        </w:rPr>
        <w:t>1.3使用地点：中国重汽集团济南商用车有限公司配套商</w:t>
      </w:r>
    </w:p>
    <w:p>
      <w:pPr>
        <w:spacing w:line="360" w:lineRule="auto"/>
        <w:rPr>
          <w:rFonts w:hint="eastAsia" w:ascii="宋体" w:hAnsi="宋体" w:eastAsia="宋体" w:cs="宋体"/>
          <w:sz w:val="24"/>
        </w:rPr>
      </w:pPr>
      <w:r>
        <w:rPr>
          <w:rFonts w:hint="eastAsia" w:ascii="宋体" w:hAnsi="宋体" w:eastAsia="宋体" w:cs="宋体"/>
          <w:sz w:val="24"/>
        </w:rPr>
        <w:t>1.4工作制度：全年工作300天、3班制、设备年时基数6120小时以上</w:t>
      </w:r>
    </w:p>
    <w:p>
      <w:pPr>
        <w:spacing w:line="360" w:lineRule="auto"/>
        <w:rPr>
          <w:rFonts w:hint="eastAsia" w:ascii="宋体" w:hAnsi="宋体" w:eastAsia="宋体" w:cs="宋体"/>
          <w:sz w:val="24"/>
        </w:rPr>
      </w:pPr>
      <w:r>
        <w:rPr>
          <w:rFonts w:hint="eastAsia" w:ascii="宋体" w:hAnsi="宋体" w:eastAsia="宋体" w:cs="宋体"/>
          <w:sz w:val="24"/>
        </w:rPr>
        <w:t>1.5使用环境：</w:t>
      </w:r>
    </w:p>
    <w:p>
      <w:pPr>
        <w:spacing w:line="360" w:lineRule="auto"/>
        <w:rPr>
          <w:rFonts w:hint="eastAsia" w:ascii="宋体" w:hAnsi="宋体" w:eastAsia="宋体" w:cs="宋体"/>
          <w:sz w:val="24"/>
        </w:rPr>
      </w:pPr>
      <w:r>
        <w:rPr>
          <w:rFonts w:hint="eastAsia" w:ascii="宋体" w:hAnsi="宋体" w:eastAsia="宋体" w:cs="宋体"/>
          <w:sz w:val="24"/>
        </w:rPr>
        <w:t>1.5.1 环境温度：室内温度-10℃～40℃</w:t>
      </w:r>
    </w:p>
    <w:p>
      <w:pPr>
        <w:spacing w:line="360" w:lineRule="auto"/>
        <w:rPr>
          <w:rFonts w:hint="eastAsia" w:ascii="宋体" w:hAnsi="宋体" w:eastAsia="宋体" w:cs="宋体"/>
          <w:sz w:val="24"/>
        </w:rPr>
      </w:pPr>
      <w:r>
        <w:rPr>
          <w:rFonts w:hint="eastAsia" w:ascii="宋体" w:hAnsi="宋体" w:eastAsia="宋体" w:cs="宋体"/>
          <w:sz w:val="24"/>
        </w:rPr>
        <w:t>1.5.2 相对湿度：≤90%</w:t>
      </w:r>
    </w:p>
    <w:p>
      <w:pPr>
        <w:spacing w:line="360" w:lineRule="auto"/>
        <w:rPr>
          <w:rFonts w:hint="eastAsia" w:ascii="宋体" w:hAnsi="宋体" w:eastAsia="宋体" w:cs="宋体"/>
          <w:sz w:val="24"/>
        </w:rPr>
      </w:pPr>
      <w:r>
        <w:rPr>
          <w:rFonts w:hint="eastAsia" w:ascii="宋体" w:hAnsi="宋体" w:eastAsia="宋体" w:cs="宋体"/>
          <w:sz w:val="24"/>
        </w:rPr>
        <w:t>1.5.3电力：中国制式，供电电压380V±10%，供电频率50Hz±1%。</w:t>
      </w:r>
    </w:p>
    <w:p>
      <w:pPr>
        <w:spacing w:line="360" w:lineRule="auto"/>
        <w:rPr>
          <w:rFonts w:hint="eastAsia" w:ascii="宋体" w:hAnsi="宋体" w:eastAsia="宋体" w:cs="宋体"/>
          <w:sz w:val="24"/>
        </w:rPr>
      </w:pPr>
      <w:r>
        <w:rPr>
          <w:rFonts w:hint="eastAsia" w:ascii="宋体" w:hAnsi="宋体" w:eastAsia="宋体" w:cs="宋体"/>
          <w:sz w:val="24"/>
        </w:rPr>
        <w:t>1.5.4压缩空气：厂区空压力机自产压缩空气，0.55～0.65MPa</w:t>
      </w:r>
    </w:p>
    <w:p>
      <w:pPr>
        <w:pStyle w:val="72"/>
        <w:spacing w:before="0" w:after="0"/>
        <w:jc w:val="left"/>
        <w:rPr>
          <w:rFonts w:hint="eastAsia" w:ascii="宋体" w:hAnsi="宋体" w:eastAsia="宋体" w:cs="宋体"/>
          <w:sz w:val="24"/>
        </w:rPr>
      </w:pPr>
      <w:bookmarkStart w:id="35" w:name="_Toc159998020"/>
      <w:bookmarkStart w:id="36" w:name="_Toc27458"/>
      <w:bookmarkStart w:id="37" w:name="_Toc31516"/>
      <w:bookmarkStart w:id="38" w:name="_Toc19349"/>
      <w:bookmarkStart w:id="39" w:name="_Toc19419"/>
      <w:r>
        <w:rPr>
          <w:rFonts w:hint="eastAsia" w:ascii="宋体" w:hAnsi="宋体" w:eastAsia="宋体" w:cs="宋体"/>
          <w:bCs w:val="0"/>
          <w:kern w:val="2"/>
          <w:sz w:val="24"/>
          <w:szCs w:val="21"/>
        </w:rPr>
        <w:t>2．货物需求一览表</w:t>
      </w:r>
      <w:bookmarkEnd w:id="35"/>
      <w:bookmarkEnd w:id="36"/>
      <w:bookmarkEnd w:id="37"/>
      <w:bookmarkEnd w:id="38"/>
      <w:bookmarkEnd w:id="39"/>
    </w:p>
    <w:tbl>
      <w:tblPr>
        <w:tblStyle w:val="76"/>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418"/>
        <w:gridCol w:w="2260"/>
        <w:gridCol w:w="207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71"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18" w:type="dxa"/>
            <w:tcMar>
              <w:top w:w="20" w:type="dxa"/>
              <w:left w:w="20" w:type="dxa"/>
              <w:bottom w:w="0" w:type="dxa"/>
              <w:right w:w="20" w:type="dxa"/>
            </w:tcMar>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项目</w:t>
            </w:r>
            <w:r>
              <w:rPr>
                <w:rFonts w:hint="eastAsia" w:ascii="宋体" w:hAnsi="宋体" w:eastAsia="宋体" w:cs="宋体"/>
                <w:b/>
                <w:sz w:val="24"/>
                <w:szCs w:val="24"/>
                <w:highlight w:val="none"/>
              </w:rPr>
              <w:t>名称</w:t>
            </w:r>
          </w:p>
        </w:tc>
        <w:tc>
          <w:tcPr>
            <w:tcW w:w="2260" w:type="dxa"/>
            <w:vAlign w:val="center"/>
          </w:tcPr>
          <w:p>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数量/</w:t>
            </w:r>
            <w:r>
              <w:rPr>
                <w:rFonts w:hint="eastAsia" w:ascii="宋体" w:hAnsi="宋体" w:eastAsia="宋体" w:cs="宋体"/>
                <w:b/>
                <w:sz w:val="24"/>
                <w:szCs w:val="24"/>
                <w:highlight w:val="none"/>
                <w:lang w:val="en-US" w:eastAsia="zh-CN"/>
              </w:rPr>
              <w:t>套</w:t>
            </w:r>
          </w:p>
        </w:tc>
        <w:tc>
          <w:tcPr>
            <w:tcW w:w="2070"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使用地</w:t>
            </w:r>
          </w:p>
        </w:tc>
        <w:tc>
          <w:tcPr>
            <w:tcW w:w="2403"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571" w:type="dxa"/>
            <w:vAlign w:val="center"/>
          </w:tcPr>
          <w:p>
            <w:pPr>
              <w:pStyle w:val="69"/>
              <w:spacing w:line="240" w:lineRule="auto"/>
              <w:ind w:right="74"/>
              <w:jc w:val="center"/>
              <w:rPr>
                <w:rFonts w:hint="eastAsia" w:ascii="宋体" w:hAnsi="宋体" w:eastAsia="宋体" w:cs="宋体"/>
                <w:highlight w:val="none"/>
              </w:rPr>
            </w:pPr>
            <w:r>
              <w:rPr>
                <w:rFonts w:hint="eastAsia" w:ascii="宋体" w:hAnsi="宋体" w:eastAsia="宋体" w:cs="宋体"/>
                <w:highlight w:val="none"/>
              </w:rPr>
              <w:t>1</w:t>
            </w:r>
          </w:p>
        </w:tc>
        <w:tc>
          <w:tcPr>
            <w:tcW w:w="1418" w:type="dxa"/>
            <w:tcMar>
              <w:top w:w="20" w:type="dxa"/>
              <w:left w:w="20" w:type="dxa"/>
              <w:bottom w:w="0" w:type="dxa"/>
              <w:right w:w="20" w:type="dxa"/>
            </w:tcMar>
            <w:vAlign w:val="center"/>
          </w:tcPr>
          <w:p>
            <w:pPr>
              <w:pStyle w:val="69"/>
              <w:spacing w:line="240" w:lineRule="auto"/>
              <w:ind w:right="74"/>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模具</w:t>
            </w:r>
          </w:p>
        </w:tc>
        <w:tc>
          <w:tcPr>
            <w:tcW w:w="2260" w:type="dxa"/>
            <w:vAlign w:val="center"/>
          </w:tcPr>
          <w:p>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highlight w:val="none"/>
                <w:lang w:val="en-US" w:eastAsia="zh-CN"/>
              </w:rPr>
            </w:pPr>
            <w:r>
              <w:rPr>
                <w:rFonts w:hint="eastAsia" w:cs="宋体"/>
                <w:highlight w:val="none"/>
                <w:lang w:val="en-US" w:eastAsia="zh-CN"/>
              </w:rPr>
              <w:t>8</w:t>
            </w:r>
          </w:p>
        </w:tc>
        <w:tc>
          <w:tcPr>
            <w:tcW w:w="2070" w:type="dxa"/>
            <w:vAlign w:val="center"/>
          </w:tcPr>
          <w:p>
            <w:pPr>
              <w:pStyle w:val="69"/>
              <w:spacing w:line="240" w:lineRule="auto"/>
              <w:ind w:right="74"/>
              <w:jc w:val="center"/>
              <w:rPr>
                <w:rFonts w:hint="eastAsia" w:ascii="宋体" w:hAnsi="宋体" w:eastAsia="宋体" w:cs="宋体"/>
                <w:kern w:val="2"/>
                <w:highlight w:val="none"/>
              </w:rPr>
            </w:pPr>
            <w:r>
              <w:rPr>
                <w:rFonts w:hint="eastAsia" w:ascii="宋体" w:hAnsi="宋体" w:eastAsia="宋体" w:cs="宋体"/>
                <w:kern w:val="2"/>
                <w:highlight w:val="none"/>
              </w:rPr>
              <w:t>山东济南市</w:t>
            </w:r>
          </w:p>
        </w:tc>
        <w:tc>
          <w:tcPr>
            <w:tcW w:w="2403" w:type="dxa"/>
            <w:vAlign w:val="center"/>
          </w:tcPr>
          <w:p>
            <w:pPr>
              <w:pStyle w:val="69"/>
              <w:spacing w:line="240" w:lineRule="auto"/>
              <w:ind w:right="74"/>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571" w:type="dxa"/>
            <w:vAlign w:val="center"/>
          </w:tcPr>
          <w:p>
            <w:pPr>
              <w:pStyle w:val="69"/>
              <w:spacing w:line="240" w:lineRule="auto"/>
              <w:ind w:right="74"/>
              <w:jc w:val="center"/>
              <w:rPr>
                <w:rFonts w:hint="eastAsia" w:ascii="宋体" w:hAnsi="宋体" w:eastAsia="宋体" w:cs="宋体"/>
                <w:highlight w:val="none"/>
              </w:rPr>
            </w:pPr>
            <w:r>
              <w:rPr>
                <w:rFonts w:hint="eastAsia" w:ascii="宋体" w:hAnsi="宋体" w:eastAsia="宋体" w:cs="宋体"/>
                <w:highlight w:val="none"/>
              </w:rPr>
              <w:t>2</w:t>
            </w:r>
          </w:p>
        </w:tc>
        <w:tc>
          <w:tcPr>
            <w:tcW w:w="1418" w:type="dxa"/>
            <w:tcMar>
              <w:top w:w="20" w:type="dxa"/>
              <w:left w:w="20" w:type="dxa"/>
              <w:bottom w:w="0" w:type="dxa"/>
              <w:right w:w="20" w:type="dxa"/>
            </w:tcMar>
            <w:vAlign w:val="center"/>
          </w:tcPr>
          <w:p>
            <w:pPr>
              <w:pStyle w:val="69"/>
              <w:spacing w:line="240" w:lineRule="auto"/>
              <w:ind w:right="74"/>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检具</w:t>
            </w:r>
          </w:p>
        </w:tc>
        <w:tc>
          <w:tcPr>
            <w:tcW w:w="2260" w:type="dxa"/>
            <w:vAlign w:val="center"/>
          </w:tcPr>
          <w:p>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highlight w:val="none"/>
                <w:lang w:val="en-US" w:eastAsia="zh-CN"/>
              </w:rPr>
            </w:pPr>
            <w:r>
              <w:rPr>
                <w:rFonts w:hint="eastAsia" w:cs="宋体"/>
                <w:highlight w:val="none"/>
                <w:lang w:val="en-US" w:eastAsia="zh-CN"/>
              </w:rPr>
              <w:t>2</w:t>
            </w:r>
          </w:p>
        </w:tc>
        <w:tc>
          <w:tcPr>
            <w:tcW w:w="2070" w:type="dxa"/>
            <w:vAlign w:val="center"/>
          </w:tcPr>
          <w:p>
            <w:pPr>
              <w:pStyle w:val="69"/>
              <w:spacing w:line="240" w:lineRule="auto"/>
              <w:ind w:right="74"/>
              <w:jc w:val="center"/>
              <w:rPr>
                <w:rFonts w:hint="eastAsia" w:ascii="宋体" w:hAnsi="宋体" w:eastAsia="宋体" w:cs="宋体"/>
                <w:kern w:val="2"/>
                <w:highlight w:val="none"/>
              </w:rPr>
            </w:pPr>
            <w:r>
              <w:rPr>
                <w:rFonts w:hint="eastAsia" w:ascii="宋体" w:hAnsi="宋体" w:eastAsia="宋体" w:cs="宋体"/>
                <w:kern w:val="2"/>
                <w:highlight w:val="none"/>
              </w:rPr>
              <w:t>山东济南市</w:t>
            </w:r>
          </w:p>
        </w:tc>
        <w:tc>
          <w:tcPr>
            <w:tcW w:w="2403" w:type="dxa"/>
            <w:vAlign w:val="center"/>
          </w:tcPr>
          <w:p>
            <w:pPr>
              <w:pStyle w:val="69"/>
              <w:spacing w:line="240" w:lineRule="auto"/>
              <w:ind w:right="74"/>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571" w:type="dxa"/>
            <w:vAlign w:val="center"/>
          </w:tcPr>
          <w:p>
            <w:pPr>
              <w:pStyle w:val="69"/>
              <w:spacing w:line="240" w:lineRule="auto"/>
              <w:ind w:right="74"/>
              <w:jc w:val="center"/>
              <w:rPr>
                <w:rFonts w:hint="eastAsia" w:ascii="宋体" w:hAnsi="宋体" w:eastAsia="宋体" w:cs="宋体"/>
                <w:highlight w:val="none"/>
                <w:lang w:val="en-US" w:eastAsia="zh-CN"/>
              </w:rPr>
            </w:pPr>
            <w:r>
              <w:rPr>
                <w:rFonts w:hint="eastAsia" w:cs="宋体"/>
                <w:highlight w:val="none"/>
                <w:lang w:val="en-US" w:eastAsia="zh-CN"/>
              </w:rPr>
              <w:t>3</w:t>
            </w:r>
          </w:p>
        </w:tc>
        <w:tc>
          <w:tcPr>
            <w:tcW w:w="1418" w:type="dxa"/>
            <w:tcMar>
              <w:top w:w="20" w:type="dxa"/>
              <w:left w:w="20" w:type="dxa"/>
              <w:bottom w:w="0" w:type="dxa"/>
              <w:right w:w="20" w:type="dxa"/>
            </w:tcMar>
            <w:vAlign w:val="center"/>
          </w:tcPr>
          <w:p>
            <w:pPr>
              <w:pStyle w:val="69"/>
              <w:spacing w:line="240" w:lineRule="auto"/>
              <w:ind w:right="74"/>
              <w:jc w:val="center"/>
              <w:rPr>
                <w:rFonts w:hint="default" w:ascii="宋体" w:hAnsi="宋体" w:eastAsia="宋体" w:cs="宋体"/>
                <w:highlight w:val="none"/>
                <w:lang w:val="en-US" w:eastAsia="zh-CN"/>
              </w:rPr>
            </w:pPr>
            <w:r>
              <w:rPr>
                <w:rFonts w:hint="eastAsia" w:cs="宋体"/>
                <w:highlight w:val="none"/>
                <w:lang w:val="en-US" w:eastAsia="zh-CN"/>
              </w:rPr>
              <w:t>冲压样件</w:t>
            </w:r>
          </w:p>
        </w:tc>
        <w:tc>
          <w:tcPr>
            <w:tcW w:w="2260" w:type="dxa"/>
            <w:vAlign w:val="center"/>
          </w:tcPr>
          <w:p>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cs="宋体"/>
                <w:highlight w:val="none"/>
                <w:lang w:val="en-US" w:eastAsia="zh-CN"/>
              </w:rPr>
            </w:pPr>
            <w:r>
              <w:rPr>
                <w:rFonts w:hint="eastAsia" w:cs="宋体"/>
                <w:highlight w:val="none"/>
                <w:lang w:val="en-US" w:eastAsia="zh-CN"/>
              </w:rPr>
              <w:t>50（含10辆份半工装样件）</w:t>
            </w:r>
          </w:p>
        </w:tc>
        <w:tc>
          <w:tcPr>
            <w:tcW w:w="2070" w:type="dxa"/>
            <w:vAlign w:val="center"/>
          </w:tcPr>
          <w:p>
            <w:pPr>
              <w:pStyle w:val="69"/>
              <w:spacing w:line="240" w:lineRule="auto"/>
              <w:ind w:right="74"/>
              <w:jc w:val="center"/>
              <w:rPr>
                <w:rFonts w:hint="eastAsia" w:ascii="宋体" w:hAnsi="宋体" w:eastAsia="宋体" w:cs="宋体"/>
                <w:kern w:val="2"/>
                <w:highlight w:val="none"/>
              </w:rPr>
            </w:pPr>
            <w:r>
              <w:rPr>
                <w:rFonts w:hint="eastAsia" w:ascii="宋体" w:hAnsi="宋体" w:eastAsia="宋体" w:cs="宋体"/>
                <w:kern w:val="2"/>
                <w:highlight w:val="none"/>
              </w:rPr>
              <w:t>山东济南市</w:t>
            </w:r>
          </w:p>
        </w:tc>
        <w:tc>
          <w:tcPr>
            <w:tcW w:w="2403" w:type="dxa"/>
            <w:vAlign w:val="center"/>
          </w:tcPr>
          <w:p>
            <w:pPr>
              <w:pStyle w:val="69"/>
              <w:spacing w:line="240" w:lineRule="auto"/>
              <w:ind w:right="74"/>
              <w:jc w:val="center"/>
              <w:rPr>
                <w:rFonts w:hint="default" w:cs="宋体"/>
                <w:color w:val="auto"/>
                <w:highlight w:val="none"/>
                <w:lang w:val="en-US" w:eastAsia="zh-CN"/>
              </w:rPr>
            </w:pPr>
            <w:r>
              <w:rPr>
                <w:rFonts w:hint="eastAsia" w:cs="宋体"/>
                <w:color w:val="auto"/>
                <w:highlight w:val="none"/>
                <w:lang w:val="en-US" w:eastAsia="zh-CN"/>
              </w:rPr>
              <w:t>2023年3月30日前提供至招标方指定地点</w:t>
            </w:r>
          </w:p>
        </w:tc>
      </w:tr>
    </w:tbl>
    <w:p>
      <w:pPr>
        <w:spacing w:line="360" w:lineRule="auto"/>
        <w:ind w:firstLine="360" w:firstLineChars="150"/>
        <w:rPr>
          <w:rFonts w:hint="eastAsia" w:ascii="宋体" w:hAnsi="宋体" w:eastAsia="宋体" w:cs="宋体"/>
        </w:rPr>
      </w:pPr>
      <w:r>
        <w:rPr>
          <w:rFonts w:hint="eastAsia" w:ascii="宋体" w:hAnsi="宋体" w:eastAsia="宋体" w:cs="宋体"/>
          <w:sz w:val="24"/>
        </w:rPr>
        <w:t>注：</w:t>
      </w:r>
      <w:r>
        <w:rPr>
          <w:rFonts w:hint="eastAsia" w:ascii="宋体" w:hAnsi="宋体" w:eastAsia="宋体" w:cs="宋体"/>
          <w:sz w:val="24"/>
          <w:lang w:val="en-US" w:eastAsia="zh-CN"/>
        </w:rPr>
        <w:t>模具</w:t>
      </w:r>
      <w:r>
        <w:rPr>
          <w:rFonts w:hint="eastAsia" w:ascii="宋体" w:hAnsi="宋体" w:cs="宋体"/>
          <w:sz w:val="24"/>
          <w:lang w:val="en-US" w:eastAsia="zh-CN"/>
        </w:rPr>
        <w:t>及检具</w:t>
      </w:r>
      <w:r>
        <w:rPr>
          <w:rFonts w:hint="eastAsia" w:ascii="宋体" w:hAnsi="宋体" w:eastAsia="宋体" w:cs="宋体"/>
          <w:sz w:val="24"/>
          <w:lang w:val="en-US" w:eastAsia="zh-CN"/>
        </w:rPr>
        <w:t>清单详见附件1。</w:t>
      </w:r>
      <w:r>
        <w:rPr>
          <w:rFonts w:hint="eastAsia" w:ascii="宋体" w:hAnsi="宋体" w:eastAsia="宋体" w:cs="宋体"/>
          <w:sz w:val="24"/>
        </w:rPr>
        <w:t>投标方应根据招标方提出的交货时间和实际工作量提出可以执行的工作计划。工作计划应包括但不限于设计、制造、调试、验收、运输、和安装等各阶段时间表。工作计划和交货期将作为评标的重要因素。</w:t>
      </w:r>
    </w:p>
    <w:bookmarkEnd w:id="20"/>
    <w:bookmarkEnd w:id="21"/>
    <w:bookmarkEnd w:id="27"/>
    <w:bookmarkEnd w:id="28"/>
    <w:bookmarkEnd w:id="29"/>
    <w:p>
      <w:pPr>
        <w:spacing w:line="360" w:lineRule="auto"/>
        <w:rPr>
          <w:rFonts w:hint="eastAsia" w:ascii="宋体" w:hAnsi="宋体" w:eastAsia="宋体" w:cs="宋体"/>
          <w:b/>
          <w:sz w:val="28"/>
          <w:szCs w:val="28"/>
        </w:rPr>
      </w:pPr>
      <w:r>
        <w:rPr>
          <w:rFonts w:hint="eastAsia" w:ascii="宋体" w:hAnsi="宋体" w:eastAsia="宋体" w:cs="宋体"/>
          <w:b/>
          <w:sz w:val="28"/>
          <w:szCs w:val="28"/>
        </w:rPr>
        <w:t>二、技术规格</w:t>
      </w:r>
    </w:p>
    <w:p>
      <w:pPr>
        <w:spacing w:line="360" w:lineRule="auto"/>
        <w:rPr>
          <w:rFonts w:hint="default" w:ascii="宋体" w:hAnsi="宋体" w:eastAsia="宋体" w:cs="宋体"/>
          <w:b/>
          <w:sz w:val="28"/>
          <w:szCs w:val="28"/>
          <w:lang w:val="en-US" w:eastAsia="zh-CN"/>
        </w:rPr>
      </w:pPr>
      <w:r>
        <w:rPr>
          <w:rFonts w:hint="eastAsia" w:ascii="宋体" w:hAnsi="宋体" w:cs="宋体"/>
          <w:b/>
          <w:sz w:val="28"/>
          <w:szCs w:val="28"/>
          <w:lang w:eastAsia="zh-CN"/>
        </w:rPr>
        <w:t>（</w:t>
      </w:r>
      <w:r>
        <w:rPr>
          <w:rFonts w:hint="eastAsia" w:ascii="宋体" w:hAnsi="宋体" w:cs="宋体"/>
          <w:b/>
          <w:sz w:val="28"/>
          <w:szCs w:val="28"/>
          <w:lang w:val="en-US" w:eastAsia="zh-CN"/>
        </w:rPr>
        <w:t>一）模具部分</w:t>
      </w:r>
    </w:p>
    <w:p>
      <w:pPr>
        <w:pStyle w:val="72"/>
        <w:keepNext w:val="0"/>
        <w:keepLines w:val="0"/>
        <w:pageBreakBefore w:val="0"/>
        <w:widowControl w:val="0"/>
        <w:tabs>
          <w:tab w:val="left" w:pos="4253"/>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Cs w:val="0"/>
          <w:kern w:val="2"/>
          <w:sz w:val="24"/>
          <w:szCs w:val="21"/>
        </w:rPr>
      </w:pPr>
      <w:bookmarkStart w:id="40" w:name="_Toc29939"/>
      <w:r>
        <w:rPr>
          <w:rFonts w:hint="eastAsia" w:ascii="宋体" w:hAnsi="宋体" w:eastAsia="宋体" w:cs="宋体"/>
          <w:bCs w:val="0"/>
          <w:kern w:val="2"/>
          <w:sz w:val="24"/>
          <w:szCs w:val="21"/>
        </w:rPr>
        <w:t>1、供货内容</w:t>
      </w:r>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1.1招标方负责提供产品开发零件清单及零件数模，投标方按产品开发明细表（见附件1）要求开发相应模具。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1.2投标方进行CAE 同步分析、工艺设计、模具设计、模具制作、模具调整、模具发运、现场调试及售后服务等。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1.3 投标方向招标方提供合格的 CAE 分析报告及分析源文件、DL 图、2D及3D模具结构图、模具参数表、模具安装图明细及其他电子版等相关技术文件。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 投标方向招标方提供该项目所选用的标准件清单及备件清单  （电子文档书面文档各一份）。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 投标方向招标方提供该项目模具自检报告（动静态检测及硬度检测等）、调试记录、模具出厂合格证各一份。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1.6投标方提供合格的试制用冲压件、预验收样件，各批次的冲压件均附冲压件零件精度检测报告。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1.7在模具发运前的各个阶段提交以下资料，提交时间按下表所示。格式由招标方指定，没有规定格式的由投标方准备并通过招标方确认。</w:t>
      </w:r>
    </w:p>
    <w:tbl>
      <w:tblPr>
        <w:tblStyle w:val="76"/>
        <w:tblW w:w="9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69"/>
        <w:gridCol w:w="1304"/>
        <w:gridCol w:w="199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资料</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固定格式</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提交时间</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1"/>
                <w:szCs w:val="21"/>
              </w:rPr>
            </w:pPr>
            <w:r>
              <w:rPr>
                <w:rFonts w:hint="eastAsia" w:ascii="宋体" w:hAnsi="宋体" w:eastAsia="宋体" w:cs="宋体"/>
                <w:b w:val="0"/>
                <w:bCs/>
                <w:sz w:val="21"/>
                <w:szCs w:val="21"/>
              </w:rPr>
              <w:t>1</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CAE分析报告</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模具设计前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DL图</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模具设计前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模具图检查表（DR及后工序）</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模具图纸会签前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材料利用率报告书</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模具图设计前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铸件的原始证明与金相分析报告</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静态检查表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无</w:t>
            </w:r>
            <w:r>
              <w:rPr>
                <w:rFonts w:hint="eastAsia" w:ascii="宋体" w:hAnsi="宋体" w:eastAsia="宋体" w:cs="宋体"/>
                <w:sz w:val="21"/>
                <w:szCs w:val="21"/>
                <w:lang w:val="en-US" w:eastAsia="zh-CN"/>
              </w:rPr>
              <w:t xml:space="preserve"> </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硬度测定表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动态检查表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冲压制件检查基准书</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零件精度检查表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各阶段样品出货时</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试模报告书</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冲压工艺数模</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CATIA V5R19格式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冲压工艺文件</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招标方格式， AutoCAD2007版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零件设计变更记录表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模具预验收前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招标方格式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模具材料表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模具出货前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标准件清单</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模具出货前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备品备件清单</w:t>
            </w:r>
          </w:p>
        </w:tc>
        <w:tc>
          <w:tcPr>
            <w:tcW w:w="1304" w:type="dxa"/>
            <w:vAlign w:val="center"/>
          </w:tcPr>
          <w:p>
            <w:pPr>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模具出货前</w:t>
            </w:r>
          </w:p>
        </w:tc>
        <w:tc>
          <w:tcPr>
            <w:tcW w:w="2985" w:type="dxa"/>
            <w:vAlign w:val="center"/>
          </w:tcPr>
          <w:p>
            <w:pPr>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模具出厂合格证</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模具出货前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模具图纸（2D及3D）</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模具终验收前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格式按招标方格式。</w:t>
            </w:r>
          </w:p>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2D、3D均用NX 10.0格式，且2D、3D实现联动。除标准件外，其余单件均应出2D图纸。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模具钳修记录表</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模具终验收前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0"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2669"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产品工序制件图</w:t>
            </w:r>
          </w:p>
        </w:tc>
        <w:tc>
          <w:tcPr>
            <w:tcW w:w="1304"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w:t>
            </w:r>
          </w:p>
        </w:tc>
        <w:tc>
          <w:tcPr>
            <w:tcW w:w="199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模具终验收前</w:t>
            </w:r>
          </w:p>
        </w:tc>
        <w:tc>
          <w:tcPr>
            <w:tcW w:w="2985"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AutoCAD2007版；公差标注齐全</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注：以上资料均应提供纸质及电子版，若投标方认为无需提供纸质版，需经招标方同意。</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rPr>
      </w:pPr>
      <w:r>
        <w:rPr>
          <w:rFonts w:hint="eastAsia" w:ascii="宋体" w:hAnsi="宋体" w:eastAsia="宋体" w:cs="宋体"/>
          <w:b/>
          <w:sz w:val="24"/>
        </w:rPr>
        <w:t>2、模具设计输入</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rPr>
      </w:pPr>
      <w:r>
        <w:rPr>
          <w:rFonts w:hint="eastAsia" w:ascii="宋体" w:hAnsi="宋体" w:eastAsia="宋体" w:cs="宋体"/>
          <w:b/>
          <w:sz w:val="24"/>
        </w:rPr>
        <w:t>2.1生产条件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2.1.1工作环境：室内，温度：-10℃～40℃，相对湿度：≤90%；</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2.1.2生产节拍：自动线10-14件/分钟，手动线：4-8件/分钟。</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i/>
          <w:sz w:val="24"/>
        </w:rPr>
      </w:pPr>
      <w:r>
        <w:rPr>
          <w:rFonts w:hint="eastAsia" w:ascii="宋体" w:hAnsi="宋体" w:eastAsia="宋体" w:cs="宋体"/>
          <w:sz w:val="24"/>
        </w:rPr>
        <w:t>2.1.3使用寿命：50万次以上；</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2.1.4操作方式：自动线模具要适用于自动化系统自动上下料要求；其他模具要求适用于手工操作。</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2.1.5生产车间起吊方式：桥式起重机。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2.1.6生产设备：招标方指定的冲压设备，其中A包、B包模具适用于现自动化冲压生产线及新建自动化冲压生产线。主要技术参数</w:t>
      </w:r>
      <w:r>
        <w:rPr>
          <w:rFonts w:hint="eastAsia" w:ascii="宋体" w:hAnsi="宋体" w:eastAsia="宋体" w:cs="宋体"/>
          <w:sz w:val="24"/>
          <w:lang w:val="en-US" w:eastAsia="zh-CN"/>
        </w:rPr>
        <w:t>同皮卡模具项目</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rPr>
      </w:pPr>
      <w:r>
        <w:rPr>
          <w:rFonts w:hint="eastAsia" w:ascii="宋体" w:hAnsi="宋体" w:eastAsia="宋体" w:cs="宋体"/>
          <w:b/>
          <w:sz w:val="24"/>
        </w:rPr>
        <w:t>2.2 产品数据及要求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2.2.1 产品数模；</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2.2.2 冲压件零件质量判定标准(见附件</w:t>
      </w:r>
      <w:r>
        <w:rPr>
          <w:rFonts w:hint="eastAsia" w:ascii="宋体" w:hAnsi="宋体" w:eastAsia="宋体" w:cs="宋体"/>
          <w:sz w:val="24"/>
          <w:lang w:val="en-US" w:eastAsia="zh-CN"/>
        </w:rPr>
        <w:t>2</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rPr>
      </w:pPr>
      <w:r>
        <w:rPr>
          <w:rFonts w:hint="eastAsia" w:ascii="宋体" w:hAnsi="宋体" w:eastAsia="宋体" w:cs="宋体"/>
          <w:b/>
          <w:sz w:val="24"/>
        </w:rPr>
        <w:t>3、模具设计、制造的技术要求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3.1投标方提供招标方适用于本标的的模具设计制造标准，经招标方同意，作为模具设计、制造、验收的依据。该标准应随投标技术文件一起提供（可提供一份）。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3.2投标方提供的冲压工艺和模具应能冲制出与产品技术文件一致的冲压件。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3.3投标方提供的所有模具应保证能使用快速安装夹紧装置。（招标方在合同签定后5个工作日内提供快速安装夹紧装置参数）。</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3.4自动线模具应满足自动化生产, 定位方式符合快速定位的结构方式，取、送件容易,保证生产节拍，操作方便安全。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3.5在自动化生产线上的模具应加装传感器，传感器由投标方购买、安装、调试。</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3.6自动化生产线各序模具，板料及零件进出必须方便，空间足够，不得有对板料与零件造成磕碰划伤之隐患。对于手动生产线模具，影响外观质量和生产操作性的送料和取料均要求设有托架，托架上有防划橡胶滚轮，防止擦（碰）伤制件表面；托架超出模具底板外的部分应设成折叠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3.7考虑操作安全的前提下，模具尽量采用对称件和其他合适件的双件复合的模具结构，以节约材料，提高生产率。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3.8在冲裁过程中产生的废料屑应采取措施，避免被带到下工序从而影响产品表面质量，投标方应在标书中以书面形式明确解决措施。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3.9制件的定位应设有坯料的定位导向和定位机构，具体定位要求如下：</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A)拉延模定位要求:，进料端和左/右侧为固定式定位，出料端为可动式定位。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B)对于其它类型模具的定位要求是进料通畅，定位可靠，易于机器人/人工取放件。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3.10自动生产线模具除首序拉延模外，其余模具压料器均采用氮气缸形式。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3.11制件从模具中取出前，模具应具有将制件顶出的机构，该机构将制件从模具型腔中顶出，顶出高度应便于取件，不能有任何障碍及粘附现象，并不妨碍取放制件和废料的排出。自动线模具设计自动化气源退料，且注意气源接头方向等的合理性，手动线由于模具结构、尺寸等原因确无法使用自动化气源退料的，则必须采用其他可靠方式，确保制件从下模脱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3.12自动线冲压件全工序模具的送料方向必须一致，不可翻转。</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3.13冲圆孔φ8以下的凸模采用快换冲头，冲孔凹模采用可换式的（工作边距、孔距较小者除外），标准的冲孔凹模采用镶套结构，非圆凸模及凹模采取防转措施。冲孔凹模套外形随型，仿形后有效刃口高度不少于6mm。</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3.14手动线模具小孔废料以废料盒暂存后送出（最小存放量需满足单班次生产要求），其余废料必须经废料滑槽滑出模具后进入废料箱或手动取下，废料滑槽超出模具底板部分的刚性良好并采用折叠式结构和带挂链。自动线模具废料均经废料滑槽滑出并落入废料输送带，切边废料应采用废料刀将废料切碎，废料对角线长度应小于600mm，该废料应自动排出工作台以外。废料的排出应保证排出可靠，而且考虑设备、模具、操作者的安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3.15模具凸模、凹模、废料刀原则上不允许悬空，对不可避免的必须控制其悬空量不大于10mm，但需告知招标方。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3.16模具导向型式采用矩形导向腿加防磨板结构，带刃口的拉延模另加导柱导向。模具采用导板导向的导向导腿要与底板铸成一体，不要厚钢板导向结构。导板导向部位应采用自润式。模具的导柱、导套要求采用锁紧结构，导套采用自润导套。</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3.17模具固定采用U型槽形式，数量要求为：模具长度L≥1500mm时,上、下模各6～10个；L＜1500mm时，上、下模各4～6个,具体位置按所用压力机的连接位置设计(其中自动化生产线模具U形槽位置及数量合同签定后5个工作日内由招标方提供)，保证安装安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3.18上下模座定位要操作方便、可靠，上、下模座的前、后、左、右垂直面上的中心线要有V型槽标记；下模座左右两侧加工快速定位基准面，利用压力机工作台快速定位孔定位，具体尺寸由压力机确定；模具上、下模前端垂直面上明显处铸出前方标记“F”字。</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3.19所有的翻边镶块、导板等均应设有挡块或背托，不能仅用销钉。</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3.20修边、整形、翻边等模具主要镶块（修边刃口、翻边镶块）等在预验收前，不得补焊。预验收结束后，如确需补焊钳修的，必须如实填写《模具钳修记录表》，必须保证一次补焊成功，否则无条件更换。</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3.21应保证模具使用的便利和安全，并便于维修、搬运、存放。模具闭合高度按招标方设备参数进行合理设计，以方便安装、拆卸为前提；结构以保证安全并具有足够的强度、刚性为原则。起吊及用于翻转的结构采用招标方认可的标准，设计时考虑模具吊装的平衡。凡模具零件超过15KG或取放不方便的模具零件，均设置起重螺孔或起重孔，起重螺孔原则上用： M16、M20、M24公制螺纹，起重孔采用：Φ16、Φ21、Φ26、Φ34，较大件要求四点起重。模具镶块起吊孔至少采用M16以上，压料器起吊孔至少采用M20以上。模具重心和多副模具组合在模板上的组合式模具重心与模具的几何中心应尽量重合,以保证吊运安全。模具的起吊结构必须满足行车吊运的要求。起吊装置大、中型模具（模具长度大于2000mm或是长度加上宽度尺寸超过3500mm的）采用插销式吊耳形式，插销式超重吊耳应配有自锁功能的起重棒。小型模具采用铸入式起重棒，起重棒要求安装于模具的前后侧，左右侧铸入起重翻转套，便于模具的起吊、反转；下模的活动部件应设置防护板，固定在下模座上；上下模均做出连接位置及孔。</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3.22为便于上、下模合模时的安全性，应设计防反装置。上模的活动部件均应有安全措施。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3.23模具上安装标牌，在标牌上标有冲压件名称和编号、模具名称和编号、制造厂名和制造日期，位置统一在同一侧。</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3.24在模具的上、下模明显位置，铸造标明产品编号、工序号、模具号，位置统一在明显的一侧。发货时标注出上模重量、下模重量（含压边圈重量）、及模具总重量，并在铸有电子体的数字字型上按实际重量描黄。</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3.25在模具四角设置安全区，大中型模具安全区大小为 150mm×150mm，中小型模具安全区大小为120mm×120mm，安全区高度110mm（闭合状态）。</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3.26模具上无功能要求的棱角全部倒钝。</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3.27建议铸件结构尺寸：型面工作部分厚度＞60mm，主筋厚度＞50mm，其它筋厚度＞40mm，间距200-350mm，主要支撑面厚度50-80mm。上模U型槽处厚度50～80mm（自动化冲压件生产线模具U形槽厚度在合同签定后5个工作日内由招标方提供）。如偏离上述要求，在保证模具使用寿命的前提下，投标方可自行决定具体的铸件结构尺寸，但要在投标书中进行特别说明。</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3.28模具的导柱均安装在下模座上，冲模的起重和翻转应在设计时考虑。冲模上的活动部件应有安全措施，应有行程限位器、存放式限位器、安全块、防护板、防护罩等。冲模零部件应考虑防松、防崩、防脱落、防冲击等措施。冲模的布置应考虑到压床的安全、合理和便于操作及安装。冲模的气动接头采用快换插头，并分别分布在冲模的左前侧，管路内应设有调压阀；接插座的排列顺序为定位装置升起、定位装置下降、托料装置升起、托料装置下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3.29外覆盖件模具成形型面（含拉延模工艺补充部分）不允许堆焊和补焊；拉延筋及压料面等，在调试过程中，确需要进行堆焊的，必须告知招标方，并如实填写《模具钳修记录单》，保证焊接质量。外覆盖件模具钳工修正前研合率须超过80%，进行钳修后研合率须超过95%，且如实填写《模具钳修记录表》；对于钳修后的研合率招标方将在预验收前进行蓝丹着色检查，投标方应予以无条件配合。有拉延工序零件的模具须有研模基准孔（CH孔）。</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3.30模具材料及热处理。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sz w:val="24"/>
        </w:rPr>
        <w:t>3.30.1大型覆盖件类拉延模：侧围外板、车门外板、前机盖内/外板、左/右翼子板、顶盖外板拉延模的凸模、凹模、压边圈使用GGG70L铸铁，工作表面圆角部位需采取有效的热处理方式，不允许制件表面出现拉毛、划痕等影响外观质量的缺陷。圆角处的热处理方式应该由投标方提出并通过招标方同意；若进行TD处理，局部的分块结构与招标方人员进行确认。均匀淬火硬度HRC55±2°，工作部位表面粗糙度要求Ra0.8。硬度测试为每100mm随机取点，硬度平均值达到要求，且最小值≥50。地板的模具压边圈和凹模采用镶钢块（Cr12MoV）型面，并进行TD处理，硬度HRC58～62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3.30.2一般拉延模：凹模、凸模及压边圈采用GM246铸铁，均匀淬火硬度HRC53±2°。工作部位表面粗糙度要求Ra0.8。硬度测试为每100mm随机取点，硬度平均值达到要求，且最小值≥50。制件料厚大于等于1.5MM或材质为高强钢或成形复杂的模具压边圈和凹模采用Cr12MoV镶钢块（Cr12MoV）型面，并进行TD处理，硬度HRC58～62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3.30.3修边冲孔模：模座采用HT300，料厚&lt;1.2mm时，修边镶块采用7CrSiMnMoV，硬度HRC55～58。料厚≥1.2mm时，修边镶块采用Cr12MoV，硬度HRC58～62。压料芯等其他部件，采用HT300。工作部位表面及刃口表面粗糙度要求Ra0.8。</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3.30.4翻边整形模：模座采用HT300，料厚＜1.2mm时，镶块采用7CrSiMnMoV，硬度HRC55～58。料厚≥1.2mm时，镶块采用Cr12MoV，硬度HRC58～62。需进行整形过程的压料芯等其他部件，采用Mocr，硬度要求达到HRC50以上，其他采用HT300。工作部位表面粗糙度要求Ra0.8。</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3.31铸件及钢镶块可拆卸件应进行打号标记，打号位置为可拆卸件及对应的模座（阿拉伯数字）。</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3.32拉延、成形类模具，要求有合模到底标记，模具布置2个到底标记，且不可集中于模具一侧，标记深度为0.3mm以内，且深度均匀。内板件需左右区分时，标识为R、L，取代到底标记。最终制件上不能有任何影响外观质量的标记存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3.33压边圈压料面设置平衡块，两相邻垫块间距小于500mm，保证到底时同时接触。</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3.34压边圈与凸模的内导板不得少于8个，因模具尺寸等问题不能布置的，需得到招标方认可。导向间隙0.1～0.12mm，80%以上均匀接触视为合格。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3.35拉延模二级托杆与顶杆均要加装标准垫块，垫块厚20mm，HRC40-45。</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3.36顶杆由投标方负责制造。模具图纸上要附有顶杆布置图。为使顶杆长度规格统一，减少顶杆种类，采用二级顶杆方式，招标方提供顶杆规格。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3.37投标方应保证对所采用的铸件进行消除应力处理，并向招标方提供试棒及其它有关材料的资料。铸造时必须同时带出标准材质检验棒（不少于3个），并要求铸造厂家提供材质单及铸件检验报告。主要模具铸件须经理化性能试验（理化性能试验包括：抗拉强度、硬度、化学成份、金相组织四个项目）合格后，方可开始加工重要模具铸件（如：凸模、凹模等），还须在铸件上预留用于理化性能复查的连体试棒。</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3.38投标方应提供铸件材料标准、生产厂商、国家或地区。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3.39在满足招标方技术要求并能生产出合格的冲压件的前提下，投标方自己确定模具主要部件所用材料及表面处理硬度，材料报价及表面处理费用应计算在投标总报价之内。</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3.40 其他的设计标准见附件</w:t>
      </w:r>
      <w:r>
        <w:rPr>
          <w:rFonts w:hint="eastAsia" w:ascii="宋体" w:hAnsi="宋体" w:eastAsia="宋体" w:cs="宋体"/>
          <w:sz w:val="24"/>
          <w:lang w:val="en-US" w:eastAsia="zh-CN"/>
        </w:rPr>
        <w:t>3</w:t>
      </w:r>
      <w:r>
        <w:rPr>
          <w:rFonts w:hint="eastAsia" w:ascii="宋体" w:hAnsi="宋体" w:eastAsia="宋体" w:cs="宋体"/>
          <w:sz w:val="24"/>
        </w:rPr>
        <w:t>《车身冲压模具设计标准》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3.41 热成型模具的设计标准由投标方提供，招标方确认后，做为设计的依据。</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rPr>
        <w:t>4、</w:t>
      </w:r>
      <w:r>
        <w:rPr>
          <w:rFonts w:hint="eastAsia" w:ascii="宋体" w:hAnsi="宋体" w:eastAsia="宋体" w:cs="宋体"/>
          <w:b/>
          <w:sz w:val="24"/>
          <w:szCs w:val="24"/>
        </w:rPr>
        <w:t>模具图纸会签、模具的验收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4.1  模具方案及模具图纸会签：中标方依照定标的模具设计方案进行设计，若需调整，需经招标方认可。原则上，DL图在招标方会签，如招标方有特殊情况，到中标方会签；模具设计图纸在中标方进行会签后方可投入后续工作。</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4.2预验收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4.2.1 预验收依据：中标方提供并经招标方认可的模具设计制造标准、合同，工艺及模具图纸会签纪要，冲压件零件质量判定标准。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4.2.2 预验收启动条件：中标方完成模具制造，通过动、静态、硬度自检符合要求，冲压件自检质量达到冲压件零件质量判定标准(见附件</w:t>
      </w:r>
      <w:r>
        <w:rPr>
          <w:rFonts w:hint="eastAsia" w:ascii="宋体" w:hAnsi="宋体" w:eastAsia="宋体" w:cs="宋体"/>
          <w:sz w:val="24"/>
          <w:lang w:val="en-US" w:eastAsia="zh-CN"/>
        </w:rPr>
        <w:t>2</w:t>
      </w:r>
      <w:r>
        <w:rPr>
          <w:rFonts w:hint="eastAsia" w:ascii="宋体" w:hAnsi="宋体" w:eastAsia="宋体" w:cs="宋体"/>
          <w:sz w:val="24"/>
        </w:rPr>
        <w:t>)要求,并按要求完成1.7条款所示的内容后，中标方向招标方提出预验收申请。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4.2.3投标方负责向招标方提供冲压件及《冲压制件检查基准书》，并派技术人员参加零件匹配性验证。招标方按产品图纸及技术要求对制件的形状及尺寸进行必要的检测，并负责协调组织零件匹配性验证工作，验证完成后双方签署《验收纪要》。零件匹配性验证在招标方现场组织实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4.2.4在完成零件匹配性验证后，开展模具预验收工作，预验收场地在投标方处进行，并由投标方提供必要的设备、仪器、场地等预验收工作必须的条件</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4.2.5 预验收工作由双方配合完成。除完成动静态检测、硬度检测等基础检查项目外，连续试冲不少于30个合格冲压制件(以冲压件零件质量判定标准判定是否合格)，左右侧围外板、左右车门外板、前机盖内/外板、左/右翼子板、顶盖外板拉延模具凸模、凹模、压边圈及所有模具导向面着色率≥95%，其余拉延模着色率≥92%，视为预验收合格。预验收合格后，双方签署《预验收纪要》</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4.3终验收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szCs w:val="24"/>
        </w:rPr>
        <w:t>4.3.1在模具所有者现场，用工艺规定的材料、设备压出合格的制件（符合合同及技术协议中相关条款），并能够装出合格汽车车身为准。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4.3.2 终验收前，模具应在招标方生产加工3000件，若因招标方原因，在模具招标方1年内，仍未生产加工3000件的，则满足模具在到达招标方一年后，由投标方提出书面申请，进行模具终验收工作。在此期间，投标方应安排至少一名模具钳工进行陪产。</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4.3.3 招标方收到投标方终验收申请后，根据生产情况，安排模具终验收工作。</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sz w:val="24"/>
        </w:rPr>
        <w:t xml:space="preserve">4.3.4 </w:t>
      </w:r>
      <w:r>
        <w:rPr>
          <w:rFonts w:hint="eastAsia" w:ascii="宋体" w:hAnsi="宋体" w:eastAsia="宋体" w:cs="宋体"/>
          <w:kern w:val="0"/>
          <w:sz w:val="24"/>
        </w:rPr>
        <w:t>模具的最终验收在招标方生产现场实施。投标方对全部模具在招标方的安装调整负全责。模具最终验收前，为便于事前安排调整，投标方须提出压力机使用计划，以便尽快完成模具终验收。另外，由于投标方责任导致机械故障，须赔偿。模具在压力机上调试时，全工序必须要完全和生产状态同一条件下进行，不可添加生产状态以外的条件（涂油、贴薄膜等）。</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4.3.5 模具终验时，投标方派遣模具技术人员在招标方工厂对接。模具调试用的工具、焊接棒、其它易耗品、技术人员所需的工作服、安全保护用品等均由投标方准备。投标方派遣的模具技术人员（模具交付人员）必须取得国家相关部门承认的证书（如天车操作证、焊机操作证等），并且遵守招标方的各项规定，若有违法或违反招标方公司制度，招标方有权对其进行相应的处罚并要求更换交模人员。</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4.3.6 除进行必要的模具动态检测外，招标方有权重新安排不少于20%的模具重新进行全面的静态及硬度检测，投标方应予以配合。</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4.3.7 拉延模具硬度，除满足硬度要求外，还应保证招标方能完成连续</w:t>
      </w:r>
      <w:r>
        <w:rPr>
          <w:rFonts w:hint="eastAsia" w:ascii="宋体" w:hAnsi="宋体" w:eastAsia="宋体" w:cs="宋体"/>
          <w:kern w:val="0"/>
          <w:sz w:val="28"/>
        </w:rPr>
        <w:t>500</w:t>
      </w:r>
      <w:r>
        <w:rPr>
          <w:rFonts w:hint="eastAsia" w:ascii="宋体" w:hAnsi="宋体" w:eastAsia="宋体" w:cs="宋体"/>
          <w:kern w:val="0"/>
          <w:sz w:val="24"/>
        </w:rPr>
        <w:t>件生产（不涂油），而不产生有明显触感的拉毛情况。</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4.3.8 终验收时所生产零件需进行全尺寸检查及SPC检查。</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4.3.8.1零件在自由状态下放置于检具或检测支架上（不夹紧状态），零件的反弹在2mm以下时进行全尺寸检查，否则不进行全尺寸检查。</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 xml:space="preserve">   4.3.8.2 全尺寸检测中，所有的尺寸公差，按照招标方提供的冲压件质量判定标准进行。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4.3.8.3 SPC检查：关键点SPC测定，以cpk1.67以上为合格。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4.3.9</w:t>
      </w:r>
      <w:r>
        <w:rPr>
          <w:rFonts w:hint="eastAsia" w:ascii="宋体" w:hAnsi="宋体" w:eastAsia="宋体" w:cs="宋体"/>
          <w:sz w:val="24"/>
          <w:szCs w:val="24"/>
        </w:rPr>
        <w:t>若在合同约定的时间内，投标方无法达到招标方的终验收要求，投标方应无条件按招标方的要求的时间，将模具发运至招标方指定的地点并派出合格的调试人员去调整交模。整改发生的费用由投标方承担，并从合同中扣除。</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rPr>
      </w:pPr>
      <w:r>
        <w:rPr>
          <w:rFonts w:hint="eastAsia" w:ascii="宋体" w:hAnsi="宋体" w:eastAsia="宋体" w:cs="宋体"/>
          <w:b/>
          <w:sz w:val="24"/>
        </w:rPr>
        <w:t>5、模具发运和包装</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5.1 模具交付前，应进行清理、涂抹防锈油、固定模具连接板。根据使用单位要求涂装防锈漆，面漆颜色由招标方提供。</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5.2 中标方负责模具的包装，包装要适用长途运输，做到防潮、防锈、防震、防变形。</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5.3 模具由中标方负责运至模具所有者生产车间。</w:t>
      </w:r>
    </w:p>
    <w:p>
      <w:pPr>
        <w:spacing w:line="360" w:lineRule="auto"/>
        <w:ind w:left="562"/>
        <w:rPr>
          <w:rFonts w:hint="eastAsia" w:ascii="宋体" w:hAnsi="宋体" w:eastAsia="宋体" w:cs="宋体"/>
          <w:b/>
          <w:sz w:val="24"/>
        </w:rPr>
      </w:pPr>
      <w:r>
        <w:rPr>
          <w:rFonts w:hint="eastAsia" w:ascii="宋体" w:hAnsi="宋体" w:eastAsia="宋体" w:cs="宋体"/>
          <w:b/>
          <w:sz w:val="24"/>
        </w:rPr>
        <w:t>6、模具发运所附带的标准件等备品数量要求</w:t>
      </w:r>
    </w:p>
    <w:tbl>
      <w:tblPr>
        <w:tblStyle w:val="7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887"/>
        <w:gridCol w:w="863"/>
        <w:gridCol w:w="687"/>
        <w:gridCol w:w="2675"/>
        <w:gridCol w:w="2175"/>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0" w:type="dxa"/>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112" w:type="dxa"/>
            <w:gridSpan w:val="4"/>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品种及规格</w:t>
            </w:r>
          </w:p>
        </w:tc>
        <w:tc>
          <w:tcPr>
            <w:tcW w:w="2175" w:type="dxa"/>
            <w:vAlign w:val="center"/>
          </w:tcPr>
          <w:p>
            <w:pPr>
              <w:autoSpaceDE w:val="0"/>
              <w:autoSpaceDN w:val="0"/>
              <w:adjustRightInd w:val="0"/>
              <w:spacing w:line="360" w:lineRule="exact"/>
              <w:jc w:val="center"/>
              <w:rPr>
                <w:rFonts w:hint="eastAsia" w:ascii="宋体" w:hAnsi="宋体" w:eastAsia="宋体" w:cs="宋体"/>
                <w:kern w:val="0"/>
                <w:sz w:val="24"/>
              </w:rPr>
            </w:pPr>
            <w:r>
              <w:rPr>
                <w:rFonts w:hint="eastAsia" w:ascii="宋体" w:hAnsi="宋体" w:eastAsia="宋体" w:cs="宋体"/>
                <w:kern w:val="0"/>
                <w:sz w:val="24"/>
                <w:szCs w:val="24"/>
              </w:rPr>
              <w:t>备件数量</w:t>
            </w:r>
          </w:p>
        </w:tc>
        <w:tc>
          <w:tcPr>
            <w:tcW w:w="1672" w:type="dxa"/>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0" w:type="dxa"/>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750" w:type="dxa"/>
            <w:gridSpan w:val="2"/>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弹簧</w:t>
            </w:r>
          </w:p>
        </w:tc>
        <w:tc>
          <w:tcPr>
            <w:tcW w:w="3362" w:type="dxa"/>
            <w:gridSpan w:val="2"/>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每种规格按总数的5％提供备件</w:t>
            </w:r>
          </w:p>
        </w:tc>
        <w:tc>
          <w:tcPr>
            <w:tcW w:w="2175" w:type="dxa"/>
            <w:vAlign w:val="center"/>
          </w:tcPr>
          <w:p>
            <w:pPr>
              <w:autoSpaceDE w:val="0"/>
              <w:autoSpaceDN w:val="0"/>
              <w:adjustRightInd w:val="0"/>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每种规格按总数的5％提供备件</w:t>
            </w:r>
          </w:p>
        </w:tc>
        <w:tc>
          <w:tcPr>
            <w:tcW w:w="1672" w:type="dxa"/>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不少于5件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750" w:type="dxa"/>
            <w:vMerge w:val="restart"/>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87" w:type="dxa"/>
            <w:vMerge w:val="restart"/>
            <w:tcBorders>
              <w:righ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冲孔凸模</w:t>
            </w:r>
          </w:p>
          <w:p>
            <w:pPr>
              <w:autoSpaceDE w:val="0"/>
              <w:autoSpaceDN w:val="0"/>
              <w:adjustRightInd w:val="0"/>
              <w:spacing w:line="360" w:lineRule="exact"/>
              <w:jc w:val="center"/>
              <w:rPr>
                <w:rFonts w:hint="eastAsia" w:ascii="宋体" w:hAnsi="宋体" w:eastAsia="宋体" w:cs="宋体"/>
                <w:kern w:val="0"/>
                <w:sz w:val="24"/>
              </w:rPr>
            </w:pPr>
            <w:r>
              <w:rPr>
                <w:rFonts w:hint="eastAsia" w:ascii="宋体" w:hAnsi="宋体" w:eastAsia="宋体" w:cs="宋体"/>
                <w:kern w:val="0"/>
                <w:sz w:val="24"/>
                <w:szCs w:val="24"/>
              </w:rPr>
              <w:t>和凹模</w:t>
            </w:r>
          </w:p>
        </w:tc>
        <w:tc>
          <w:tcPr>
            <w:tcW w:w="863" w:type="dxa"/>
            <w:vMerge w:val="restart"/>
            <w:tcBorders>
              <w:lef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rPr>
            </w:pPr>
            <w:r>
              <w:rPr>
                <w:rFonts w:hint="eastAsia" w:ascii="宋体" w:hAnsi="宋体" w:eastAsia="宋体" w:cs="宋体"/>
                <w:kern w:val="0"/>
                <w:sz w:val="24"/>
              </w:rPr>
              <w:t>圆孔</w:t>
            </w:r>
          </w:p>
        </w:tc>
        <w:tc>
          <w:tcPr>
            <w:tcW w:w="687" w:type="dxa"/>
            <w:vMerge w:val="restart"/>
            <w:tcBorders>
              <w:righ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标准件</w:t>
            </w:r>
          </w:p>
        </w:tc>
        <w:tc>
          <w:tcPr>
            <w:tcW w:w="2675" w:type="dxa"/>
            <w:tcBorders>
              <w:left w:val="single" w:color="auto" w:sz="4" w:space="0"/>
              <w:bottom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直径小于ф10mm</w:t>
            </w:r>
          </w:p>
        </w:tc>
        <w:tc>
          <w:tcPr>
            <w:tcW w:w="2175" w:type="dxa"/>
            <w:tcBorders>
              <w:bottom w:val="single" w:color="auto" w:sz="4" w:space="0"/>
            </w:tcBorders>
            <w:vAlign w:val="center"/>
          </w:tcPr>
          <w:p>
            <w:pPr>
              <w:autoSpaceDE w:val="0"/>
              <w:autoSpaceDN w:val="0"/>
              <w:adjustRightInd w:val="0"/>
              <w:spacing w:line="360" w:lineRule="exact"/>
              <w:jc w:val="left"/>
              <w:rPr>
                <w:rFonts w:hint="eastAsia" w:ascii="宋体" w:hAnsi="宋体" w:eastAsia="宋体" w:cs="宋体"/>
                <w:sz w:val="24"/>
                <w:szCs w:val="24"/>
              </w:rPr>
            </w:pPr>
            <w:r>
              <w:rPr>
                <w:rFonts w:hint="eastAsia" w:ascii="宋体" w:hAnsi="宋体" w:eastAsia="宋体" w:cs="宋体"/>
                <w:kern w:val="0"/>
                <w:sz w:val="24"/>
                <w:szCs w:val="24"/>
              </w:rPr>
              <w:t>每种规格按总数的3％提供备件</w:t>
            </w:r>
          </w:p>
        </w:tc>
        <w:tc>
          <w:tcPr>
            <w:tcW w:w="167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不少于5件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750" w:type="dxa"/>
            <w:vMerge w:val="continue"/>
            <w:vAlign w:val="center"/>
          </w:tcPr>
          <w:p>
            <w:pPr>
              <w:spacing w:line="360" w:lineRule="exact"/>
              <w:jc w:val="center"/>
              <w:rPr>
                <w:rFonts w:hint="eastAsia" w:ascii="宋体" w:hAnsi="宋体" w:eastAsia="宋体" w:cs="宋体"/>
                <w:sz w:val="24"/>
                <w:szCs w:val="24"/>
              </w:rPr>
            </w:pPr>
          </w:p>
        </w:tc>
        <w:tc>
          <w:tcPr>
            <w:tcW w:w="887" w:type="dxa"/>
            <w:vMerge w:val="continue"/>
            <w:tcBorders>
              <w:right w:val="single" w:color="auto" w:sz="4" w:space="0"/>
            </w:tcBorders>
            <w:vAlign w:val="center"/>
          </w:tcPr>
          <w:p>
            <w:pPr>
              <w:keepNext/>
              <w:numPr>
                <w:ilvl w:val="3"/>
                <w:numId w:val="6"/>
              </w:numPr>
              <w:autoSpaceDE w:val="0"/>
              <w:autoSpaceDN w:val="0"/>
              <w:adjustRightInd w:val="0"/>
              <w:spacing w:line="360" w:lineRule="exact"/>
              <w:ind w:right="206" w:rightChars="98"/>
              <w:jc w:val="center"/>
              <w:outlineLvl w:val="0"/>
              <w:rPr>
                <w:rFonts w:hint="eastAsia" w:ascii="宋体" w:hAnsi="宋体" w:eastAsia="宋体" w:cs="宋体"/>
                <w:kern w:val="0"/>
                <w:sz w:val="24"/>
                <w:szCs w:val="24"/>
              </w:rPr>
            </w:pPr>
          </w:p>
        </w:tc>
        <w:tc>
          <w:tcPr>
            <w:tcW w:w="863" w:type="dxa"/>
            <w:vMerge w:val="continue"/>
            <w:tcBorders>
              <w:left w:val="single" w:color="auto" w:sz="4" w:space="0"/>
            </w:tcBorders>
            <w:vAlign w:val="center"/>
          </w:tcPr>
          <w:p>
            <w:pPr>
              <w:keepNext/>
              <w:numPr>
                <w:ilvl w:val="3"/>
                <w:numId w:val="6"/>
              </w:numPr>
              <w:autoSpaceDE w:val="0"/>
              <w:autoSpaceDN w:val="0"/>
              <w:adjustRightInd w:val="0"/>
              <w:spacing w:line="360" w:lineRule="exact"/>
              <w:ind w:right="206" w:rightChars="98"/>
              <w:jc w:val="center"/>
              <w:outlineLvl w:val="0"/>
              <w:rPr>
                <w:rFonts w:hint="eastAsia" w:ascii="宋体" w:hAnsi="宋体" w:eastAsia="宋体" w:cs="宋体"/>
                <w:kern w:val="0"/>
                <w:sz w:val="24"/>
              </w:rPr>
            </w:pPr>
          </w:p>
        </w:tc>
        <w:tc>
          <w:tcPr>
            <w:tcW w:w="6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2675" w:type="dxa"/>
            <w:tcBorders>
              <w:top w:val="single" w:color="auto" w:sz="4" w:space="0"/>
              <w:lef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直径ф10mm～ф20mm</w:t>
            </w:r>
          </w:p>
        </w:tc>
        <w:tc>
          <w:tcPr>
            <w:tcW w:w="2175" w:type="dxa"/>
            <w:tcBorders>
              <w:top w:val="single" w:color="auto" w:sz="4" w:space="0"/>
            </w:tcBorders>
            <w:vAlign w:val="center"/>
          </w:tcPr>
          <w:p>
            <w:pPr>
              <w:autoSpaceDE w:val="0"/>
              <w:autoSpaceDN w:val="0"/>
              <w:adjustRightInd w:val="0"/>
              <w:spacing w:line="360" w:lineRule="exact"/>
              <w:jc w:val="left"/>
              <w:rPr>
                <w:rFonts w:hint="eastAsia" w:ascii="宋体" w:hAnsi="宋体" w:eastAsia="宋体" w:cs="宋体"/>
                <w:sz w:val="24"/>
                <w:szCs w:val="24"/>
              </w:rPr>
            </w:pPr>
            <w:r>
              <w:rPr>
                <w:rFonts w:hint="eastAsia" w:ascii="宋体" w:hAnsi="宋体" w:eastAsia="宋体" w:cs="宋体"/>
                <w:kern w:val="0"/>
                <w:sz w:val="24"/>
                <w:szCs w:val="24"/>
              </w:rPr>
              <w:t>每种规格按总数的2％提供备件</w:t>
            </w:r>
          </w:p>
        </w:tc>
        <w:tc>
          <w:tcPr>
            <w:tcW w:w="167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不少于3件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0" w:type="dxa"/>
            <w:vMerge w:val="continue"/>
            <w:vAlign w:val="center"/>
          </w:tcPr>
          <w:p>
            <w:pPr>
              <w:spacing w:line="360" w:lineRule="exact"/>
              <w:jc w:val="center"/>
              <w:rPr>
                <w:rFonts w:hint="eastAsia" w:ascii="宋体" w:hAnsi="宋体" w:eastAsia="宋体" w:cs="宋体"/>
                <w:sz w:val="24"/>
                <w:szCs w:val="24"/>
              </w:rPr>
            </w:pPr>
          </w:p>
        </w:tc>
        <w:tc>
          <w:tcPr>
            <w:tcW w:w="8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863" w:type="dxa"/>
            <w:vMerge w:val="continue"/>
            <w:tcBorders>
              <w:left w:val="single" w:color="auto" w:sz="4" w:space="0"/>
            </w:tcBorders>
            <w:vAlign w:val="center"/>
          </w:tcPr>
          <w:p>
            <w:pPr>
              <w:spacing w:line="360" w:lineRule="exact"/>
              <w:jc w:val="center"/>
              <w:rPr>
                <w:rFonts w:hint="eastAsia" w:ascii="宋体" w:hAnsi="宋体" w:eastAsia="宋体" w:cs="宋体"/>
                <w:sz w:val="24"/>
              </w:rPr>
            </w:pPr>
          </w:p>
        </w:tc>
        <w:tc>
          <w:tcPr>
            <w:tcW w:w="3362" w:type="dxa"/>
            <w:gridSpan w:val="2"/>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非标准的冲孔凹模镶块</w:t>
            </w:r>
          </w:p>
        </w:tc>
        <w:tc>
          <w:tcPr>
            <w:tcW w:w="2175" w:type="dxa"/>
            <w:vAlign w:val="center"/>
          </w:tcPr>
          <w:p>
            <w:pPr>
              <w:autoSpaceDE w:val="0"/>
              <w:autoSpaceDN w:val="0"/>
              <w:adjustRightInd w:val="0"/>
              <w:spacing w:line="360" w:lineRule="exact"/>
              <w:jc w:val="left"/>
              <w:rPr>
                <w:rFonts w:hint="eastAsia" w:ascii="宋体" w:hAnsi="宋体" w:eastAsia="宋体" w:cs="宋体"/>
                <w:sz w:val="24"/>
                <w:szCs w:val="24"/>
              </w:rPr>
            </w:pPr>
            <w:r>
              <w:rPr>
                <w:rFonts w:hint="eastAsia" w:ascii="宋体" w:hAnsi="宋体" w:eastAsia="宋体" w:cs="宋体"/>
                <w:kern w:val="0"/>
                <w:sz w:val="24"/>
                <w:szCs w:val="24"/>
              </w:rPr>
              <w:t>按总数的100％提供备件</w:t>
            </w:r>
          </w:p>
        </w:tc>
        <w:tc>
          <w:tcPr>
            <w:tcW w:w="1672" w:type="dxa"/>
            <w:vAlign w:val="center"/>
          </w:tcPr>
          <w:p>
            <w:pPr>
              <w:spacing w:line="36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750" w:type="dxa"/>
            <w:vMerge w:val="continue"/>
            <w:vAlign w:val="center"/>
          </w:tcPr>
          <w:p>
            <w:pPr>
              <w:spacing w:line="360" w:lineRule="exact"/>
              <w:jc w:val="center"/>
              <w:rPr>
                <w:rFonts w:hint="eastAsia" w:ascii="宋体" w:hAnsi="宋体" w:eastAsia="宋体" w:cs="宋体"/>
                <w:sz w:val="24"/>
                <w:szCs w:val="24"/>
              </w:rPr>
            </w:pPr>
          </w:p>
        </w:tc>
        <w:tc>
          <w:tcPr>
            <w:tcW w:w="8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863" w:type="dxa"/>
            <w:vMerge w:val="restart"/>
            <w:tcBorders>
              <w:left w:val="single" w:color="auto" w:sz="4" w:space="0"/>
            </w:tcBorders>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异形孔</w:t>
            </w:r>
          </w:p>
        </w:tc>
        <w:tc>
          <w:tcPr>
            <w:tcW w:w="687" w:type="dxa"/>
            <w:vMerge w:val="restart"/>
            <w:tcBorders>
              <w:right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标准件</w:t>
            </w:r>
          </w:p>
        </w:tc>
        <w:tc>
          <w:tcPr>
            <w:tcW w:w="2675" w:type="dxa"/>
            <w:tcBorders>
              <w:left w:val="single" w:color="auto" w:sz="4" w:space="0"/>
              <w:bottom w:val="single" w:color="auto" w:sz="4" w:space="0"/>
            </w:tcBorders>
            <w:vAlign w:val="center"/>
          </w:tcPr>
          <w:p>
            <w:pPr>
              <w:autoSpaceDE w:val="0"/>
              <w:autoSpaceDN w:val="0"/>
              <w:adjustRightInd w:val="0"/>
              <w:spacing w:line="360" w:lineRule="exact"/>
              <w:jc w:val="center"/>
              <w:rPr>
                <w:rFonts w:hint="eastAsia" w:ascii="宋体" w:hAnsi="宋体" w:eastAsia="宋体" w:cs="宋体"/>
                <w:kern w:val="0"/>
                <w:sz w:val="24"/>
              </w:rPr>
            </w:pPr>
            <w:r>
              <w:rPr>
                <w:rFonts w:hint="eastAsia" w:ascii="宋体" w:hAnsi="宋体" w:eastAsia="宋体" w:cs="宋体"/>
                <w:kern w:val="0"/>
                <w:sz w:val="24"/>
                <w:szCs w:val="24"/>
              </w:rPr>
              <w:t>长边尺寸小于12mm</w:t>
            </w:r>
          </w:p>
        </w:tc>
        <w:tc>
          <w:tcPr>
            <w:tcW w:w="2175" w:type="dxa"/>
            <w:tcBorders>
              <w:bottom w:val="single" w:color="auto" w:sz="4" w:space="0"/>
            </w:tcBorders>
            <w:vAlign w:val="center"/>
          </w:tcPr>
          <w:p>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rPr>
              <w:t>每种规格按总数的3％提供备件</w:t>
            </w:r>
          </w:p>
        </w:tc>
        <w:tc>
          <w:tcPr>
            <w:tcW w:w="167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不少于5件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750" w:type="dxa"/>
            <w:vMerge w:val="continue"/>
            <w:vAlign w:val="center"/>
          </w:tcPr>
          <w:p>
            <w:pPr>
              <w:spacing w:line="360" w:lineRule="exact"/>
              <w:jc w:val="center"/>
              <w:rPr>
                <w:rFonts w:hint="eastAsia" w:ascii="宋体" w:hAnsi="宋体" w:eastAsia="宋体" w:cs="宋体"/>
                <w:sz w:val="24"/>
                <w:szCs w:val="24"/>
              </w:rPr>
            </w:pPr>
          </w:p>
        </w:tc>
        <w:tc>
          <w:tcPr>
            <w:tcW w:w="8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863" w:type="dxa"/>
            <w:vMerge w:val="continue"/>
            <w:tcBorders>
              <w:left w:val="single" w:color="auto" w:sz="4" w:space="0"/>
            </w:tcBorders>
            <w:vAlign w:val="center"/>
          </w:tcPr>
          <w:p>
            <w:pPr>
              <w:spacing w:line="360" w:lineRule="exact"/>
              <w:jc w:val="center"/>
              <w:rPr>
                <w:rFonts w:hint="eastAsia" w:ascii="宋体" w:hAnsi="宋体" w:eastAsia="宋体" w:cs="宋体"/>
                <w:sz w:val="24"/>
              </w:rPr>
            </w:pPr>
          </w:p>
        </w:tc>
        <w:tc>
          <w:tcPr>
            <w:tcW w:w="6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2675" w:type="dxa"/>
            <w:tcBorders>
              <w:top w:val="single" w:color="auto" w:sz="4" w:space="0"/>
              <w:lef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长边尺寸12～24mm</w:t>
            </w:r>
          </w:p>
        </w:tc>
        <w:tc>
          <w:tcPr>
            <w:tcW w:w="2175" w:type="dxa"/>
            <w:tcBorders>
              <w:top w:val="single" w:color="auto" w:sz="4" w:space="0"/>
            </w:tcBorders>
            <w:vAlign w:val="center"/>
          </w:tcPr>
          <w:p>
            <w:pPr>
              <w:spacing w:line="360" w:lineRule="exact"/>
              <w:jc w:val="left"/>
              <w:rPr>
                <w:rFonts w:hint="eastAsia" w:ascii="宋体" w:hAnsi="宋体" w:eastAsia="宋体" w:cs="宋体"/>
                <w:sz w:val="24"/>
                <w:szCs w:val="24"/>
              </w:rPr>
            </w:pPr>
            <w:r>
              <w:rPr>
                <w:rFonts w:hint="eastAsia" w:ascii="宋体" w:hAnsi="宋体" w:eastAsia="宋体" w:cs="宋体"/>
                <w:kern w:val="0"/>
                <w:sz w:val="24"/>
                <w:szCs w:val="24"/>
              </w:rPr>
              <w:t>每种规格按总数的2％提供备件</w:t>
            </w:r>
          </w:p>
        </w:tc>
        <w:tc>
          <w:tcPr>
            <w:tcW w:w="167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不少于3件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0" w:type="dxa"/>
            <w:vMerge w:val="continue"/>
            <w:vAlign w:val="center"/>
          </w:tcPr>
          <w:p>
            <w:pPr>
              <w:spacing w:line="360" w:lineRule="exact"/>
              <w:jc w:val="center"/>
              <w:rPr>
                <w:rFonts w:hint="eastAsia" w:ascii="宋体" w:hAnsi="宋体" w:eastAsia="宋体" w:cs="宋体"/>
                <w:sz w:val="24"/>
                <w:szCs w:val="24"/>
              </w:rPr>
            </w:pPr>
          </w:p>
        </w:tc>
        <w:tc>
          <w:tcPr>
            <w:tcW w:w="887" w:type="dxa"/>
            <w:vMerge w:val="continue"/>
            <w:tcBorders>
              <w:right w:val="single" w:color="auto" w:sz="4" w:space="0"/>
            </w:tcBorders>
            <w:vAlign w:val="center"/>
          </w:tcPr>
          <w:p>
            <w:pPr>
              <w:spacing w:line="360" w:lineRule="exact"/>
              <w:jc w:val="center"/>
              <w:rPr>
                <w:rFonts w:hint="eastAsia" w:ascii="宋体" w:hAnsi="宋体" w:eastAsia="宋体" w:cs="宋体"/>
                <w:sz w:val="24"/>
                <w:szCs w:val="24"/>
              </w:rPr>
            </w:pPr>
          </w:p>
        </w:tc>
        <w:tc>
          <w:tcPr>
            <w:tcW w:w="863" w:type="dxa"/>
            <w:vMerge w:val="continue"/>
            <w:tcBorders>
              <w:left w:val="single" w:color="auto" w:sz="4" w:space="0"/>
            </w:tcBorders>
            <w:vAlign w:val="center"/>
          </w:tcPr>
          <w:p>
            <w:pPr>
              <w:spacing w:line="360" w:lineRule="exact"/>
              <w:jc w:val="center"/>
              <w:rPr>
                <w:rFonts w:hint="eastAsia" w:ascii="宋体" w:hAnsi="宋体" w:eastAsia="宋体" w:cs="宋体"/>
                <w:sz w:val="24"/>
                <w:szCs w:val="24"/>
              </w:rPr>
            </w:pPr>
          </w:p>
        </w:tc>
        <w:tc>
          <w:tcPr>
            <w:tcW w:w="3362" w:type="dxa"/>
            <w:gridSpan w:val="2"/>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非标准的冲孔凹模镶块</w:t>
            </w:r>
          </w:p>
        </w:tc>
        <w:tc>
          <w:tcPr>
            <w:tcW w:w="2175" w:type="dxa"/>
          </w:tcPr>
          <w:p>
            <w:pPr>
              <w:autoSpaceDE w:val="0"/>
              <w:autoSpaceDN w:val="0"/>
              <w:adjustRightInd w:val="0"/>
              <w:spacing w:line="360" w:lineRule="exact"/>
              <w:jc w:val="left"/>
              <w:rPr>
                <w:rFonts w:hint="eastAsia" w:ascii="宋体" w:hAnsi="宋体" w:eastAsia="宋体" w:cs="宋体"/>
                <w:kern w:val="0"/>
                <w:sz w:val="24"/>
              </w:rPr>
            </w:pPr>
            <w:r>
              <w:rPr>
                <w:rFonts w:hint="eastAsia" w:ascii="宋体" w:hAnsi="宋体" w:eastAsia="宋体" w:cs="宋体"/>
                <w:kern w:val="0"/>
                <w:sz w:val="24"/>
                <w:szCs w:val="24"/>
              </w:rPr>
              <w:t>按总数的100％提供备件</w:t>
            </w:r>
          </w:p>
        </w:tc>
        <w:tc>
          <w:tcPr>
            <w:tcW w:w="1672" w:type="dxa"/>
            <w:vAlign w:val="center"/>
          </w:tcPr>
          <w:p>
            <w:pPr>
              <w:spacing w:line="36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09" w:type="dxa"/>
            <w:gridSpan w:val="7"/>
            <w:vAlign w:val="center"/>
          </w:tcPr>
          <w:p>
            <w:pPr>
              <w:spacing w:line="360" w:lineRule="exact"/>
              <w:jc w:val="left"/>
              <w:rPr>
                <w:rFonts w:hint="eastAsia" w:ascii="宋体" w:hAnsi="宋体" w:eastAsia="宋体" w:cs="宋体"/>
                <w:sz w:val="24"/>
              </w:rPr>
            </w:pPr>
            <w:r>
              <w:rPr>
                <w:rFonts w:hint="eastAsia" w:ascii="宋体" w:hAnsi="宋体" w:eastAsia="宋体" w:cs="宋体"/>
                <w:sz w:val="24"/>
              </w:rPr>
              <w:t>备注：</w:t>
            </w:r>
          </w:p>
          <w:p>
            <w:pPr>
              <w:spacing w:line="360" w:lineRule="exact"/>
              <w:jc w:val="left"/>
              <w:rPr>
                <w:rFonts w:hint="eastAsia" w:ascii="宋体" w:hAnsi="宋体" w:eastAsia="宋体" w:cs="宋体"/>
                <w:sz w:val="24"/>
              </w:rPr>
            </w:pPr>
            <w:r>
              <w:rPr>
                <w:rFonts w:hint="eastAsia" w:ascii="宋体" w:hAnsi="宋体" w:eastAsia="宋体" w:cs="宋体"/>
                <w:sz w:val="24"/>
              </w:rPr>
              <w:t xml:space="preserve">  1）备件上应有标准、规格、型号标识，并按规格分类包装，包装袋外侧应有备件明细。</w:t>
            </w:r>
          </w:p>
          <w:p>
            <w:pPr>
              <w:spacing w:line="360" w:lineRule="exact"/>
              <w:jc w:val="left"/>
              <w:rPr>
                <w:rFonts w:hint="eastAsia" w:ascii="宋体" w:hAnsi="宋体" w:eastAsia="宋体" w:cs="宋体"/>
                <w:sz w:val="24"/>
                <w:szCs w:val="24"/>
              </w:rPr>
            </w:pPr>
            <w:r>
              <w:rPr>
                <w:rFonts w:hint="eastAsia" w:ascii="宋体" w:hAnsi="宋体" w:eastAsia="宋体" w:cs="宋体"/>
                <w:sz w:val="24"/>
              </w:rPr>
              <w:t xml:space="preserve">  2）易损备件随模具一起交货。</w:t>
            </w:r>
          </w:p>
        </w:tc>
      </w:tr>
    </w:tbl>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rPr>
      </w:pPr>
      <w:r>
        <w:rPr>
          <w:rFonts w:hint="eastAsia" w:ascii="宋体" w:hAnsi="宋体" w:eastAsia="宋体" w:cs="宋体"/>
          <w:b/>
          <w:sz w:val="24"/>
        </w:rPr>
        <w:t>7、关于中标方项目管理的要求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kern w:val="0"/>
          <w:sz w:val="24"/>
        </w:rPr>
      </w:pPr>
      <w:bookmarkStart w:id="41" w:name="_Toc514853264"/>
      <w:r>
        <w:rPr>
          <w:rFonts w:hint="eastAsia" w:ascii="宋体" w:hAnsi="宋体" w:eastAsia="宋体" w:cs="宋体"/>
          <w:b/>
          <w:kern w:val="0"/>
          <w:sz w:val="24"/>
        </w:rPr>
        <w:t>7.1 项目管理组织</w:t>
      </w:r>
      <w:bookmarkEnd w:id="4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bookmarkStart w:id="42" w:name="OLE_LINK1"/>
      <w:r>
        <w:rPr>
          <w:rFonts w:hint="eastAsia" w:ascii="宋体" w:hAnsi="宋体" w:eastAsia="宋体" w:cs="宋体"/>
          <w:kern w:val="0"/>
          <w:sz w:val="24"/>
        </w:rPr>
        <w:t>7.1.1 对投标方参与</w:t>
      </w:r>
      <w:bookmarkEnd w:id="42"/>
      <w:r>
        <w:rPr>
          <w:rFonts w:hint="eastAsia" w:ascii="宋体" w:hAnsi="宋体" w:eastAsia="宋体" w:cs="宋体"/>
          <w:kern w:val="0"/>
          <w:sz w:val="24"/>
        </w:rPr>
        <w:t>本项目的人员的要求，包括但不限于项目经理，项目管理团队，设计人员，加工管理人员，调试人员，质保人员。必须提供参加本项目大型覆盖件拉延模最后研磨工序的资深模具钳工的相关信息（至少两名），包括但不限于工龄、业绩等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7.1.2 项目期间，未经招标方书面许可，投标方不得中途更换项目经理。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7.1.3 项目期间，投标方的项目经理、品管经理、技术经理等主要管理人员在项目过程中不得变动，模具制造关键工序的模具钳工不得变动，项目组80%的人员在项目过程中不得变动。招标方有权随时要求投标方更换招标方认为不适合的投标方项目参与人员。在招标方提供出充分理由的情况下，投标方应予以无条件配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7.1.4 投标方必须提供管理组织结构图，要求包括参与人员的名字、年龄、学历、工作经历以及项目角色等信息。</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kern w:val="0"/>
          <w:sz w:val="24"/>
        </w:rPr>
      </w:pPr>
      <w:bookmarkStart w:id="43" w:name="_Toc514853265"/>
      <w:r>
        <w:rPr>
          <w:rFonts w:hint="eastAsia" w:ascii="宋体" w:hAnsi="宋体" w:eastAsia="宋体" w:cs="宋体"/>
          <w:b/>
          <w:kern w:val="0"/>
          <w:sz w:val="24"/>
        </w:rPr>
        <w:t>7.2 项目沟通的要求</w:t>
      </w:r>
      <w:bookmarkEnd w:id="43"/>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7.2.1投标方在投标文件中，根据招标方项目进度要求制订详细的设计、制造计划（以数模冻结为起点）。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7.2.2甲乙双方每周固定约定一天，由投标方向招标方反馈项目的进度情况，包括项目总体汇报、项目进度汇报以及图片。如果发生项目拖期的情况，要求投标方同时反馈挽回计划以及挽回的情况。</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rPr>
      </w:pPr>
      <w:bookmarkStart w:id="44" w:name="_Toc3283"/>
      <w:bookmarkStart w:id="45" w:name="_Toc514853267"/>
      <w:r>
        <w:rPr>
          <w:rFonts w:hint="eastAsia" w:ascii="宋体" w:hAnsi="宋体" w:eastAsia="宋体" w:cs="宋体"/>
          <w:b/>
          <w:sz w:val="24"/>
        </w:rPr>
        <w:t>8.培训、保修和终验收后的技术服务</w:t>
      </w:r>
      <w:bookmarkEnd w:id="44"/>
      <w:bookmarkEnd w:id="45"/>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8.1 模、检具到招标方后,投标方需派遣人员在招标方现场对招标方人员进行模、检具安装调试、操作、维修及冲压件、板件测量检验方法等技能培训。上述培训应持续至招标方操作及维修人员完全掌握模、检具的使用为止，且费用由投标方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8.2 现场服务内容及范围包括：现场安装、调试的技术准备；指导并参与现场安装、调试和试运行工作；处理安装、调试和试运行工作中出现的各种问题；检验调试、生产产品的精度及与设计的符合性等。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8.3 在正常使用条件下，投标方需保证模具设计寿命。除易损件外，出现导向面磨损影响精度、托料块凹陷等现象的首次维修应在40万冲次以后。如果发生40万次之内所发生的维修由投标方承担。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8.4本项目终验收起一年内为项目质保期，投标方需在质保期内保证模具运行良好，且投标方提供免费维修服务。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8.5在质保期内,正常使用条件下,投标方对模具出现的故障提供免费维修,零部件损坏须及时免费更换，免费维修与更换缺陷部件的期限为投标方收到招标方通知后3天。投标方需自备安装调试及维修用工具。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8.6 质保期内，投标方在收到招标方关于模、检具故障通知后，能以通讯方式解决的故障，2小时之内给予答复；不能以通讯方式解决的故障，投标方维修人员应在24小时内到达招标方现场，并确保对一般问题在此期限内排除故障。需维修与更换缺陷部件的故障，投标方维修人员应在到达货物使用方现场后2个日历日内解决。倘若投标方未能履行上述服务的，招标方有权自行或委托有能力的第三方对货物进行维修，所需的费用由投标方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8.7 质量保证期不含投标方对其交付物的排故时间，即在质量保证期内由投标方原因导致故障，质量保证期顺延，且更换的零件保质期自更换日起开始计算。</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rPr>
      </w:pPr>
      <w:r>
        <w:rPr>
          <w:rFonts w:hint="eastAsia" w:ascii="宋体" w:hAnsi="宋体" w:eastAsia="宋体" w:cs="宋体"/>
          <w:b/>
          <w:sz w:val="24"/>
        </w:rPr>
        <w:t>9</w:t>
      </w:r>
      <w:bookmarkStart w:id="46" w:name="_Toc30996"/>
      <w:bookmarkStart w:id="47" w:name="_Toc514853268"/>
      <w:r>
        <w:rPr>
          <w:rFonts w:hint="eastAsia" w:ascii="宋体" w:hAnsi="宋体" w:eastAsia="宋体" w:cs="宋体"/>
          <w:b/>
          <w:sz w:val="24"/>
        </w:rPr>
        <w:t>、其它条款</w:t>
      </w:r>
      <w:bookmarkEnd w:id="46"/>
      <w:bookmarkEnd w:id="4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bookmarkStart w:id="48" w:name="_Toc514853269"/>
      <w:r>
        <w:rPr>
          <w:rFonts w:hint="eastAsia" w:ascii="宋体" w:hAnsi="宋体" w:eastAsia="宋体" w:cs="宋体"/>
          <w:kern w:val="0"/>
          <w:sz w:val="24"/>
        </w:rPr>
        <w:t>9.1 关于设变、板料运输、设变费用的说明</w:t>
      </w:r>
      <w:bookmarkEnd w:id="4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9.1.1要求投标方报价详细到每一套模具的重量及价格（报价格式详见附件4）。</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9.1.2中标通知发出后，若发生模具套数的增加，由投标方提出设变申请，经招标方审核确认后执行，费用由投标方承担。在满足工艺使用要求下，招标方鼓励模具套数减少，若发生模具套数的减少，由投标方提出申请，经招标方审核确认后执行，由招标方直接扣除相应模具投标报价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9.1.3若因招标方零件产品数量减少，而发生的模具数量减少，由招标方直接扣除相应模具投标报价费用。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9.1.4 招标方设变发生在模具投铸之前，发生的设计变更，不计设变费用。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9.1.5 招标方设变发生在投标方模具投铸之后，若对后续制造工作（如加工）没有影响，不计设变费用。若影响后续制造工作而产生费用，或因招标方零件产品数量增加，发生模具数量增加而产生费用，全部费用不超过模具费用的3%(含)，费用由投标方承提，超过3%，双方协商解决；设变费用按加工成本核算，新增模具费用按模具实际出厂重量与中标单吨价格的乘积（中标单吨价格=最终中标总价格/投标报价中模具总重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9.1.6若因投标方提出产品设计变更要求，投标方需向招标方提出书面申请（含工艺分析报告），招标方确认后，方可实施，但不计设变费用。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9.1.7以上设变，若投标方向招标方提出设变费用，必须将设变留底，以备查。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9.2.关于模具重量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模具预验收完成并运抵招标方工厂后，招标方对全部模具进行称重，如每组模具的重量少于模具理论重量的3%(含)，模具的合同价格需要重新核算，按模具实际出厂重量与中标单吨价格的乘积（中标单吨价格=最终中标总价格/投标报价中模具总重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w:t>
      </w:r>
      <w:bookmarkStart w:id="49" w:name="_Toc514853247"/>
      <w:bookmarkStart w:id="50" w:name="_Toc503952493"/>
      <w:r>
        <w:rPr>
          <w:rFonts w:hint="eastAsia" w:ascii="宋体" w:hAnsi="宋体" w:eastAsia="宋体" w:cs="宋体"/>
          <w:kern w:val="0"/>
          <w:sz w:val="24"/>
        </w:rPr>
        <w:t>3调试板料</w:t>
      </w:r>
      <w:bookmarkEnd w:id="49"/>
      <w:bookmarkEnd w:id="5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9.3.1关于调试板料的约定：招标方提供每一个产品件的单车用量；投标方按照招标方制定的钢材品牌，自行购买调试板料；调试板料的数量由投标方自行判断，所有的板材的采购价格均包含在投标报价内，调试板料的数量要满足80辆份冲压件、30辆份预验收产品件及在投标方模具调试数量的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9.3.2 板料及样件运输费用包含在总合同费用之内。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9.4材料利用率作为评标的重要依据，并在投标文件中予以说明。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9.5投标方需提供一个招标方指定产品详细CAE分析报告及ECR反馈。鼓励投标方对产品进行工艺性分析，提出改进方案，如有需要，可在招标方指定电脑，使用分析软件进行分析，分析结果可作为投标文件的附件，格式不做统一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bookmarkStart w:id="51" w:name="_Toc514853270"/>
      <w:r>
        <w:rPr>
          <w:rFonts w:hint="eastAsia" w:ascii="宋体" w:hAnsi="宋体" w:eastAsia="宋体" w:cs="宋体"/>
          <w:kern w:val="0"/>
          <w:sz w:val="24"/>
        </w:rPr>
        <w:t>9.6关于不能准时交付的说明</w:t>
      </w:r>
      <w:bookmarkEnd w:id="5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如果因投标方原因模具不能在规定周期内交付,招标方装车所需单件由投标方负责免费生产及运输，且投标方承担相应的商务责任。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bookmarkStart w:id="52" w:name="_Toc514853271"/>
      <w:r>
        <w:rPr>
          <w:rFonts w:hint="eastAsia" w:ascii="宋体" w:hAnsi="宋体" w:eastAsia="宋体" w:cs="宋体"/>
          <w:kern w:val="0"/>
          <w:sz w:val="24"/>
        </w:rPr>
        <w:t>9.7关于保密的说明</w:t>
      </w:r>
      <w:bookmarkEnd w:id="5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投标方对招标方提供的汽车产品数模、数据及相关技术资料负有保密责任，投标方负有保密责任，违者将按保密协议（详见附件5）有关条款执行。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9.8带*条款为否决项。</w:t>
      </w:r>
    </w:p>
    <w:p>
      <w:pPr>
        <w:spacing w:line="360" w:lineRule="auto"/>
        <w:rPr>
          <w:rFonts w:hint="default" w:ascii="宋体" w:hAnsi="宋体" w:eastAsia="宋体" w:cs="宋体"/>
          <w:b/>
          <w:sz w:val="28"/>
          <w:szCs w:val="28"/>
          <w:lang w:val="en-US" w:eastAsia="zh-CN"/>
        </w:rPr>
      </w:pPr>
      <w:r>
        <w:rPr>
          <w:rFonts w:hint="eastAsia" w:ascii="宋体" w:hAnsi="宋体" w:cs="宋体"/>
          <w:b/>
          <w:sz w:val="28"/>
          <w:szCs w:val="28"/>
          <w:lang w:eastAsia="zh-CN"/>
        </w:rPr>
        <w:t>（</w:t>
      </w:r>
      <w:r>
        <w:rPr>
          <w:rFonts w:hint="eastAsia" w:ascii="宋体" w:hAnsi="宋体" w:cs="宋体"/>
          <w:b/>
          <w:sz w:val="28"/>
          <w:szCs w:val="28"/>
          <w:lang w:val="en-US" w:eastAsia="zh-CN"/>
        </w:rPr>
        <w:t>二）检具部分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1、检具的设计要求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1.1检具设计首先绘制三维数模（3D 设计方案），图纸会签经招标方认可后绘制检具 2D 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Cs/>
          <w:sz w:val="24"/>
          <w:szCs w:val="24"/>
          <w:lang w:val="en-US" w:eastAsia="zh-CN"/>
        </w:rPr>
      </w:pPr>
      <w:r>
        <w:rPr>
          <w:rFonts w:hint="eastAsia" w:ascii="宋体" w:hAnsi="宋体"/>
          <w:bCs/>
          <w:sz w:val="24"/>
          <w:szCs w:val="24"/>
          <w:lang w:val="en-US" w:eastAsia="zh-CN"/>
        </w:rPr>
        <w:t>1.2设计2D图纸用 1：1比例绘制，</w:t>
      </w:r>
      <w:r>
        <w:rPr>
          <w:rFonts w:hint="eastAsia" w:hAnsi="宋体"/>
          <w:color w:val="000000"/>
          <w:sz w:val="24"/>
        </w:rPr>
        <w:t>图纸幅面和标题栏符合国家标准，</w:t>
      </w:r>
      <w:r>
        <w:rPr>
          <w:rFonts w:hint="eastAsia" w:ascii="宋体" w:hAnsi="宋体"/>
          <w:bCs/>
          <w:sz w:val="24"/>
          <w:szCs w:val="24"/>
          <w:lang w:val="en-US" w:eastAsia="zh-CN"/>
        </w:rPr>
        <w:t>所有检具零件图必须用三视图绘出，精确标注尺寸并标注驾驶室的加工测量基准线。</w:t>
      </w:r>
      <w:r>
        <w:rPr>
          <w:rFonts w:hint="eastAsia" w:hAnsi="宋体"/>
          <w:color w:val="000000"/>
          <w:sz w:val="24"/>
        </w:rPr>
        <w:t>应能完整、清晰地表示出检具整体结构及各部位的具体结构、性能、热处理方式、设计尺寸等，有详细的版本变更管理记录，且经过校对、审核、批准程序</w:t>
      </w:r>
      <w:r>
        <w:rPr>
          <w:rFonts w:hint="eastAsia"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1.3设计图纸符合国家机械制图标准，图形、标识、文字只能有一个解释，使人容易了解，图面整洁、文字清晰、标注完整。为了保证从设计到验收中尺寸测量的一致性，设计图纸中应明确标注出加工、检验基准起始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1.4检具设计图纸中第一张为检具说明表。该说明表包括：零件状态、检具状态、材料、明细表、版本号、更改记录等信息。在最终的设计稿中应该包括使用该种检具的操作指导或操作顺序书。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1.5检具所有装配件都应单独绘制零件图，并且所有装配件（包括底座、车轮、起吊棒、搬运把手等辅助件）其装配关系都应在装配图上标识清楚，必要时可用剖面图表示。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1.6被检测零件放置于检具上的位置，原则上和零件在驾驶室坐标系中的位置一致。要考虑便于操作等人体工程原理和节约费用等因素，特殊情况下允许将零件旋转±90°或±180°。但必须经过招标方评审批准后方可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1.7零件借助可插入式定位销固定于检具上，检具定位面，支撑面及夹头通常根据产品图纸RPS点的坐标数值进行布置和安装，RPS定位（孔）面、支承面均采用装配式结构，夹头必须按RPS顺序进行数字编码。如果零件需要根据RPS面定位，RPS面的尺寸规格在产品图纸上要有明确规定，且必须经过招标方评审批准后方可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1.8当产品更改时，检具图（包括3D、2D）必须及时、准确地按更改通知单进行变更，做到数模、图纸和实物一致。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1.9制件检测过程取放方便，不得出现卡件现象。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1.10检具底板刻注驾驶室坐标线X-向和Y-向，Z-向，驾驶室坐标线以X-，Y-，Z-基准面为出发面，每隔100mm 或200mm 为一档进行刻注，划线深度和宽度均为0.1mm，刻线误差±0.20mm/1000mm。底板需要做喷漆防护，颜色执行《Q-ZZ 30070 设备设施颜色标识》，要求清晰可见。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1.11检具测量点位置准确，可操作性强，方便测量。检测点要避开夹紧器或其他有检具结构阻碍的地方，禁止出现普通钢板尺、间隙尺等常用计量工具无法检测或检测困难的部位。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1.12设计时应考虑操作者的人机工程学、被测零件拆装容易度、三坐标检测的可行性。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1.13在检具制造过程中，有任何影响最初设计的更改，必须经招标方审核批准后方可实施。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1.14对于在产品图纸上相对于驾驶室坐标线有位置公差要求，并且标注公差在±0.5mm之内，同时自身精度要求较高（直径公差值&lt;±0.5mm）的那些孔（定位孔除外），通常考虑采用划线检查销检测。其他具有一般性功能要求的孔（公差要求±0.5mm- 1.0mm）通常采用目测划线检查。对线束孔，工艺通孔，排水孔等（其公差要求≥±1.0mm）通常采用目视检查。所有孔具体采用何种检查方式，在技术方案会签时由投标方提出经招标方同意后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1.15设计时要考虑检具的使用环境，室内温度：-10℃～50℃，相对湿度：≤90%，在该环境下确保检具原始的制造精度。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1.16方案和检具图会签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1.16.1检具设计会签包含3D数模和2D图纸会签；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1.16.2检具方案及图纸确认按数模、GD&amp;T图、测量计划、技术协议及其它有关检具双方签字确认的内容要求进行。按《检具设计检查表》的内容进行逐项检查；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1.16.3投标方应建立内部设计评审机制，规范内部评审表格，并在技术交流时提供内部评审流程（含内部评审表格），方可安排设计会签；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1.16.4在检具设计会签前7天，投标方须提供3D数模和2D图纸，并配合完成方案的审查及会签；3个工作日内确认会签方式和时间；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1.16.5检具设计会签地点：双方协商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1.16.6所有会签的图纸只表示招标方对结构原理的认可，并不解除作为投标方应负的责任；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1.16.7《检具设计会签报告》签字完成视为设计会签工作结束；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1.16.8投标方提供的检具设计必须经正式会签确认后方可投入检具的制造；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1.16.9图纸会签后，投标方对检具进行的变更必须事前征得招标方同意并进行详细记录。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2、检具结构要求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2.1检具底座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A、底座要求采用骨架结构和板式结构，焊接后整体退火处理，消除焊接内应力。检具底盘长期存放时不能出现变形。底板上要求刻坐标线，并引伸到检具型体上。检具底盘尺寸及对应的钢板厚度、方管尺寸如下表所示。</w:t>
      </w:r>
    </w:p>
    <w:tbl>
      <w:tblPr>
        <w:tblStyle w:val="77"/>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底座长宽</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≤1.2m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1.2-2m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2-2.5m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2.5-3m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钢板厚度</w:t>
            </w:r>
          </w:p>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（加工完成后）</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≥15mm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≥20mm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≥25mm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≥28mm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方管尺寸</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50×50mm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50×50mm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60×60mm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80×80mm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80×80mm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方管厚度</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≥3mm</w:t>
            </w:r>
          </w:p>
        </w:tc>
        <w:tc>
          <w:tcPr>
            <w:tcW w:w="1474" w:type="dxa"/>
            <w:noWrap w:val="0"/>
            <w:vAlign w:val="center"/>
          </w:tcPr>
          <w:p>
            <w:pPr>
              <w:spacing w:after="200"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≥3mm</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B、有特殊要求的检具，其底座可采用双面分立式结构，立式结构检具要保证被测件与检具之间上下面间隙相等，不能因为制件重力作用出现偏差。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C、左右件可以共用一个底板结构，单件比较小零件允许共用一个底板台车支架。冲压件是一模两件的检具允许共用底板，但需经过招标方评审及批准。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2.2  基准孔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为了在加工检具或进行三坐标测量时便于检具准确固定于机床台面，同时设置基准孔。基准孔应落在汽车坐标系的百位线上。在基准面和基准孔旁安装坐标线铭牌。基准面和基准孔设置防尘罩。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2.3  检具型体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A、检具的型体采用6061的航空铝，要求满足检具使用的稳定性和可靠性要求。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B、对于带有下翻边的制件，检具型面上测量点的最低处到底座平台上表面高度应大于200mm，确保钢板尺和间隙尺可以垂直测量。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C、伸缩缝：检具型体长度方向每隔200-250mm，应切割伸缩缝，伸缩缝宽度不大于2mm。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D、修边线做切齐，测面差或者间隙，不允许使用划线检测，如由于产品的原因需要使用划线检测的，需在招标方对方案评审批准后执行。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E、型坯制作完成后，应提前一周通知相关方进行确认，相关方确认签字后方能进行后续加工制作。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F、总成及单件活动检测块使用6061铝合金制作。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G、翻转机构、卡板机构及销套，全部要求表面镀铬处理。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2.4  功能件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A、定位销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1、定位销导向部分能够在定位孔内进出自如，将零件精确地定位于检具体上。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2、定位孔的位置根据零件图纸RPS系统确定。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3、定位销的标注：在手柄凹槽内标注销子牌号以及对应的RPS点名称。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4、根据零件RPS特性，至少采用主辅2个定位销进行定位，主定位销采用圆柱或圆锥台阶型，有H标识。辅助定位销采用半圆形或菱形设计，有h标识，保证被测制件定位后不能晃动。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5、在定位孔内，为保证定位销定位准确，需安装导向轴套，导向轴套和检具型体固定，导向轴套的中心相对于驾驶室坐标线的定位精度控制在±0.01mm 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6、定位销和相应导向轴套的结构根据孔形状的不同，分防转结构和不防转结构。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7、每个定位销配置可伸缩式钢丝绳，钢丝外表面用塑料包合，并将其固定于检具型体的适当位置（应靠近定位孔）。钢丝绳抗拉强度可靠，不易破坏。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8、在检具设计图纸中，对定位销和定位孔有清晰的表述。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B、检测销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1、检测销用于待测孔位置度的检测。</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drawing>
          <wp:inline distT="0" distB="0" distL="114300" distR="114300">
            <wp:extent cx="5514975" cy="1181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14975" cy="1181100"/>
                    </a:xfrm>
                    <a:prstGeom prst="rect">
                      <a:avLst/>
                    </a:prstGeom>
                    <a:noFill/>
                    <a:ln>
                      <a:noFill/>
                    </a:ln>
                  </pic:spPr>
                </pic:pic>
              </a:graphicData>
            </a:graphic>
          </wp:inline>
        </w:drawing>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 xml:space="preserve">2、在检测孔内，为保证检测销能够顺利检测，需安装导向轴套，导向轴套和检具型体固定连接。 </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3、导向轴套的中心相对于驾驶室坐标线的定位精度控制在±0.01mm内。</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4、检测销和相应导向轴套的结构根据待测孔形状的不同，分防转结构和不防转结构，在孔位下设置自由面，保证检测孔在三坐标测量机测量时，测头能够顺畅进入。</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自由面直径：冲压件孔径+7mm；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深度：从冲压件下表面起8mm。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5、每个检测销配置可伸缩式钢丝绳，钢丝外表面用塑料包合，并将其固定于检具型体的适当部位（应靠近检测孔），检测销与被测孔做对应的颜色标识，便于使用。</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6、划线销采用40Cr材料，硬度要求HRC55以上。</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7、销子存放架的安置：定位销和检测销用后应安放于销子存放架的销套内，存放架安放于检具型体侧面、底板上部的适当位置。</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8、如果检具多于1个检测销，则在检具和销的适当位置用数字或文字对应标注，以示区别，便于使用。</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9、被检测零件上，对于有安装要求的孔来说，采用划线检测销检测，检测销直径比被检测孔孔径大4mm，检测销与销套插入长度≥孔径的2.5倍，且须≥20mm。对于一般功能的孔（包括异形孔）来说，采用刻线检测，刻线公差为±0.2mm；≤φ16孔制出一圈与孔径相同的刻线，＞Φ16的孔制出双刻线，外线与孔径相同、内线与外线留3mm单边间隙。采用刻线检测的所有圆形孔都要制出中心线。</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10、划线销长度适中，不得出现销尖无法接触到制件，导致无法划线情况。</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11、为了保证各种销（划线销、检测销、定位销等）在高温潮湿环境下的正常使用，各销体表面进行防锈处理，处理方式为表面镀铬或经招标方评审批准后确定。</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C、夹头装置</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1、为了固定零件，在定位面和支撑面区域配置快速夹头。</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2、手动夹紧装置应设置在检具的合理位置，操作灵活，锁紧稳定可靠，不与其它构件发生干涉，夹紧方向应与零件面垂直。</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3、夹头装置通常直接用螺栓固定于检具底座上表面的适当位置或通过焊接梁、铸梁过渡连接。夹紧装置的位置反映了零件的RPS位置和数量。</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4、在夹头装置的排列和布置中，应注意：</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夹头松开并恢复到起始位置状态下，有足够的空间保证零件无干扰地安放和取走，夹紧及松开中要充分考虑手、手臂的安全，避免在操作过程中造成对人体的伤害。有足够的空间提供夹头在检具上实现空间无干扰曲线运动。</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5、夹头的有效运动轨迹在工装图纸中予以详细表明。</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6、夹头和工件表面的接触应保证：夹头对工件只起到固定作用，禁止出现夹紧变形作用（原则上夹紧力不大于5N）。</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7、夹紧器下面必须设有定位S面，夹持点不允许悬空。</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D、滚轮和底脚</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1、底座上滚轮一般为前后各2个，前轮为万向轮，后轮为定向轮。所有的滚轮均具有自锁功能，用于检具的搬运，尺寸较大的检具需增加滚轮个数，以保证搬运过程中不会出现变形。</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2、大型检具采用橡胶滚轮，便于搬运。</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3、为便于检具用后安全存储及保护，底板各向基准面必须设置可调节式地脚支撑，支撑点数量根据检具体尺寸大小设定，保证长期存放不会产生变形。</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E、叉车孔</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叉车叉子能够方便伸入，叉车孔为侧面成双结构，设计时要考虑最大承载力和叉车的尺寸规格。</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F、吊耳</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保证在检具运输时，吊绳不会影响检具型体及功能部件，也不能影响任何测量元素。所有检具都需设置起重装置，方式为固定式。</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G、检具定位装置</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 xml:space="preserve">检具定位应稳定、可靠，最好采用多孔定位，受制件限制采用一孔一面定位时，主定位孔用锁紧销定位。  </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H、定位面和支撑面</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1、定位面和支撑面在检具上根据RPS点布置，并精确地反映相应的RPS点位置。必要时考虑过定位，以增加零件的稳定性。</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2、定位面和支撑面，通常为可拆卸式Φ10×δ3mm或Φ8×δ3mm圆形垫块结构，垫块用光滑钢件或硬铝制作，并与基体用螺纹形式牢固连接，如有特殊情况需详细说明。</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I、检测面</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各种类型零件的周边，翻边和零件断面的检测可以通过设置检具检测面来实现，检测内容包括：零件等距离3mm间隙检测和周边平整度检测。因此在型体上必须按产品数据加工出3mm的间隙检测面和周边平整度检测面，同时在相应检测面下部贴上提示铭牌或标识，当零件切边延伸做模拟块齐平与底板面出现负角时候允许采用周边0&amp;3刻线测量零件切边。</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J、可移动的形状规（卡板）</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尽量采用摆动的形状规，检查零件重要配合面的轮廓，检测刃口2mm。如果形状规尺寸过大或与其他部件发生干涉时可采用插入式，材料为铝板或不朽钢板。卡板材料可以采用6mm铝合金板。</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K、活动拼块</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对于零件上重要的表面，在结构限制的情况下可以采用活动拼块来检验其平整度。每一个活动拼块至少要有两个导管或导柱，导管或导柱的间距不大于200mm。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L、检具的色标</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检具需按着色要求进行涂色（可按照下表提出着色要求），涂覆所有易生锈的非检验用钢制零件，不能选用在正常使用和搬运中轻易擦除的涂料，要保证各零部件得到长期保护，且不能影响检具精度。</w:t>
      </w:r>
    </w:p>
    <w:tbl>
      <w:tblPr>
        <w:tblStyle w:val="76"/>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85"/>
        <w:gridCol w:w="900"/>
        <w:gridCol w:w="2162"/>
        <w:gridCol w:w="1013"/>
        <w:gridCol w:w="913"/>
        <w:gridCol w:w="96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涂色部位</w:t>
            </w:r>
          </w:p>
        </w:tc>
        <w:tc>
          <w:tcPr>
            <w:tcW w:w="3947" w:type="dxa"/>
            <w:gridSpan w:val="3"/>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间隙表面</w:t>
            </w:r>
          </w:p>
        </w:tc>
        <w:tc>
          <w:tcPr>
            <w:tcW w:w="1013" w:type="dxa"/>
            <w:vMerge w:val="restart"/>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外露面及骨架</w:t>
            </w:r>
          </w:p>
        </w:tc>
        <w:tc>
          <w:tcPr>
            <w:tcW w:w="913" w:type="dxa"/>
            <w:vMerge w:val="restart"/>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起重部分</w:t>
            </w:r>
          </w:p>
        </w:tc>
        <w:tc>
          <w:tcPr>
            <w:tcW w:w="962" w:type="dxa"/>
            <w:vMerge w:val="restart"/>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避让面</w:t>
            </w:r>
          </w:p>
        </w:tc>
        <w:tc>
          <w:tcPr>
            <w:tcW w:w="1209" w:type="dxa"/>
            <w:vMerge w:val="restart"/>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夹紧器座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828" w:type="dxa"/>
            <w:vMerge w:val="continue"/>
            <w:noWrap w:val="0"/>
            <w:vAlign w:val="center"/>
          </w:tcPr>
          <w:p>
            <w:pPr>
              <w:spacing w:line="240" w:lineRule="auto"/>
              <w:ind w:firstLine="480" w:firstLineChars="200"/>
              <w:jc w:val="center"/>
              <w:rPr>
                <w:rFonts w:hint="eastAsia" w:ascii="宋体" w:hAnsi="宋体"/>
                <w:bCs/>
                <w:sz w:val="24"/>
                <w:szCs w:val="24"/>
                <w:lang w:val="en-US" w:eastAsia="zh-CN"/>
              </w:rPr>
            </w:pPr>
          </w:p>
        </w:tc>
        <w:tc>
          <w:tcPr>
            <w:tcW w:w="885" w:type="dxa"/>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0mm面</w:t>
            </w:r>
          </w:p>
        </w:tc>
        <w:tc>
          <w:tcPr>
            <w:tcW w:w="900" w:type="dxa"/>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1mm面</w:t>
            </w:r>
          </w:p>
        </w:tc>
        <w:tc>
          <w:tcPr>
            <w:tcW w:w="2162" w:type="dxa"/>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让开部位及3mm面</w:t>
            </w:r>
          </w:p>
        </w:tc>
        <w:tc>
          <w:tcPr>
            <w:tcW w:w="1013" w:type="dxa"/>
            <w:vMerge w:val="continue"/>
            <w:noWrap w:val="0"/>
            <w:vAlign w:val="center"/>
          </w:tcPr>
          <w:p>
            <w:pPr>
              <w:spacing w:line="240" w:lineRule="auto"/>
              <w:ind w:firstLine="480" w:firstLineChars="200"/>
              <w:jc w:val="center"/>
              <w:rPr>
                <w:rFonts w:hint="eastAsia" w:ascii="宋体" w:hAnsi="宋体"/>
                <w:bCs/>
                <w:sz w:val="24"/>
                <w:szCs w:val="24"/>
                <w:lang w:val="en-US" w:eastAsia="zh-CN"/>
              </w:rPr>
            </w:pPr>
          </w:p>
        </w:tc>
        <w:tc>
          <w:tcPr>
            <w:tcW w:w="913" w:type="dxa"/>
            <w:vMerge w:val="continue"/>
            <w:noWrap w:val="0"/>
            <w:vAlign w:val="center"/>
          </w:tcPr>
          <w:p>
            <w:pPr>
              <w:spacing w:line="240" w:lineRule="auto"/>
              <w:ind w:firstLine="480" w:firstLineChars="200"/>
              <w:jc w:val="center"/>
              <w:rPr>
                <w:rFonts w:hint="eastAsia" w:ascii="宋体" w:hAnsi="宋体"/>
                <w:bCs/>
                <w:sz w:val="24"/>
                <w:szCs w:val="24"/>
                <w:lang w:val="en-US" w:eastAsia="zh-CN"/>
              </w:rPr>
            </w:pPr>
          </w:p>
        </w:tc>
        <w:tc>
          <w:tcPr>
            <w:tcW w:w="962" w:type="dxa"/>
            <w:vMerge w:val="continue"/>
            <w:noWrap w:val="0"/>
            <w:vAlign w:val="center"/>
          </w:tcPr>
          <w:p>
            <w:pPr>
              <w:spacing w:line="240" w:lineRule="auto"/>
              <w:ind w:firstLine="480" w:firstLineChars="200"/>
              <w:jc w:val="center"/>
              <w:rPr>
                <w:rFonts w:hint="eastAsia" w:ascii="宋体" w:hAnsi="宋体"/>
                <w:bCs/>
                <w:sz w:val="24"/>
                <w:szCs w:val="24"/>
                <w:lang w:val="en-US" w:eastAsia="zh-CN"/>
              </w:rPr>
            </w:pPr>
          </w:p>
        </w:tc>
        <w:tc>
          <w:tcPr>
            <w:tcW w:w="1209" w:type="dxa"/>
            <w:vMerge w:val="continue"/>
            <w:noWrap w:val="0"/>
            <w:vAlign w:val="center"/>
          </w:tcPr>
          <w:p>
            <w:pPr>
              <w:spacing w:line="240" w:lineRule="auto"/>
              <w:ind w:firstLine="480" w:firstLineChars="200"/>
              <w:jc w:val="center"/>
              <w:rPr>
                <w:rFonts w:hint="eastAsia" w:ascii="宋体" w:hAnsi="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色彩</w:t>
            </w:r>
          </w:p>
        </w:tc>
        <w:tc>
          <w:tcPr>
            <w:tcW w:w="885"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00"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2162"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1013"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13"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62"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1209" w:type="dxa"/>
            <w:noWrap w:val="0"/>
            <w:vAlign w:val="center"/>
          </w:tcPr>
          <w:p>
            <w:pPr>
              <w:spacing w:line="240" w:lineRule="auto"/>
              <w:ind w:firstLine="480" w:firstLineChars="200"/>
              <w:jc w:val="center"/>
              <w:rPr>
                <w:rFonts w:hint="eastAsia" w:ascii="宋体" w:hAnsi="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240" w:lineRule="auto"/>
              <w:jc w:val="center"/>
              <w:rPr>
                <w:rFonts w:hint="eastAsia" w:ascii="宋体" w:hAnsi="宋体"/>
                <w:bCs/>
                <w:sz w:val="24"/>
                <w:szCs w:val="24"/>
                <w:lang w:val="en-US" w:eastAsia="zh-CN"/>
              </w:rPr>
            </w:pPr>
            <w:r>
              <w:rPr>
                <w:rFonts w:hint="eastAsia" w:ascii="宋体" w:hAnsi="宋体"/>
                <w:bCs/>
                <w:sz w:val="24"/>
                <w:szCs w:val="24"/>
                <w:lang w:val="en-US" w:eastAsia="zh-CN"/>
              </w:rPr>
              <w:t>色号</w:t>
            </w:r>
          </w:p>
        </w:tc>
        <w:tc>
          <w:tcPr>
            <w:tcW w:w="885"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00"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2162"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1013"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13"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962" w:type="dxa"/>
            <w:noWrap w:val="0"/>
            <w:vAlign w:val="center"/>
          </w:tcPr>
          <w:p>
            <w:pPr>
              <w:spacing w:line="240" w:lineRule="auto"/>
              <w:ind w:firstLine="480" w:firstLineChars="200"/>
              <w:jc w:val="center"/>
              <w:rPr>
                <w:rFonts w:hint="eastAsia" w:ascii="宋体" w:hAnsi="宋体"/>
                <w:bCs/>
                <w:sz w:val="24"/>
                <w:szCs w:val="24"/>
                <w:lang w:val="en-US" w:eastAsia="zh-CN"/>
              </w:rPr>
            </w:pPr>
          </w:p>
        </w:tc>
        <w:tc>
          <w:tcPr>
            <w:tcW w:w="1209" w:type="dxa"/>
            <w:noWrap w:val="0"/>
            <w:vAlign w:val="center"/>
          </w:tcPr>
          <w:p>
            <w:pPr>
              <w:spacing w:line="240" w:lineRule="auto"/>
              <w:ind w:firstLine="480" w:firstLineChars="200"/>
              <w:jc w:val="center"/>
              <w:rPr>
                <w:rFonts w:hint="eastAsia" w:ascii="宋体" w:hAnsi="宋体"/>
                <w:bCs/>
                <w:sz w:val="24"/>
                <w:szCs w:val="24"/>
                <w:lang w:val="en-US" w:eastAsia="zh-CN"/>
              </w:rPr>
            </w:pPr>
          </w:p>
        </w:tc>
      </w:tr>
    </w:tbl>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M、检具和测量支架的标牌和标记</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1、标牌内容：标牌含以下内容：车型、零件名称、零件号、检具号、检具总重量、检具外形尺寸、基准面符号、制造日期、制造商。该标牌为铝制，黑色字体，具体尺寸及规格经招标方评审批准后执行。</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2、检具数据面指示牌、检具制造数据标牌。</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3、基准孔序号标识、坐标标识。</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4、基准面坐标标识。</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5、测量间隙0mm，1mm，3mm和5mm色标标识。</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6、RPS点标识。</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7、检具上的标记应包括：基准线标志、测量表面和栅格线的标志、栅格线的数值、测量表面或间隙表面、零件外形轮廓、形状规、塞规、卡规等均应打上其相应的标志。</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N、检具的使用说明书</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零件放置于检具上的使用说明书应统一制订，使用说明书固定在检具的醒目位置。</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O、精度要求</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底板平行度/垂直度：±0.05/1000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底板工作表面粗糙度：Ra1.6 µm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基准面平行度/垂直度：±0.05/1000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基准孔位置度：±0.05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基准孔孔径尺寸：±0.01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定位孔位置度：±0.05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定位孔孔径尺寸：+0.02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定位面、支撑面位置度：±0.10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定位销尺寸：-0.02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零件外轮廓测量面或型线位置度：±0.15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零件外形测量面（3mm间隙面）位置度：±0.15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所有造型面（非测量面）位置度：±0.30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销孔位置度：±0.05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划线孔位置度：±0.05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划线孔直径误差：±0.05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坐标线位置相对基准的误差；0.2/1000 mm</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形状或卡规误差：±0.20 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3、检具的制造要求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3.1投标方在设计会签通过且在数控加工之前，需向招标方提交机加申请单。投标方需按照招标方确认的数据版本进行机加：版本确认一致的检具可以进行机加，版本不一致检具需确认后再机加。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3.2所有的焊接件及铸造件都应消除应力，保证检具使用过程中不发生变形。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检具制造期间，应保证测量设备的精度在标定有效期内。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3.3检具制造要符合检具的设计图纸要求、检具结构要求、检具精度要求。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3.4所有的销（除划线销）、套、基准块等都用45#钢制造，且热处理硬度为HRC43-48。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3.5用划线器刻线，刻线深度和宽度均为0.1mm，应清晰可见，直线笔直，R圆滑，接头处不得有交叉、过线等缺陷。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3.6在选择材料、导板、销、夹头等部件时，应依据检具的使用环境，确保各部件在使用有效期内的功能性、重复性和再现性。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3.7检具的表面应无明显影响检具使用的缺陷，如：划伤、腐蚀、易造成伤害的尖角等。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3.8检具和测量支架上的标记应包括：基准线标识，测量表面和车身坐标线的标识，车身坐标线标识的数值、测量表面或间隙表面、样规块、通止规、卡板等。检具和测量支架上的标记均应打上其相应的标识。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3.9检具操作指导书根据技术要求制订，并悬挂在检具表面位置（或固定在检具基板的合理位置）。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3.10检具涂色应分色正确、均匀、涂色规则无缺陷，符合技术协议涂色要求。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3.11检具各工作表面应清洁、光整、无碰伤、无掉漆现象；检具整体无锈迹。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3.12检具型块应平整，棱角分明，无凹坑、裂痕等缺陷。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3.13检具各种标注应清晰，刻线粗细均匀、无间断等。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3.14检具铭牌内容应准确、完整、规范，内容均为机打。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3.15所有采用焊接方式连接的部位应焊接牢固，不允许存在焊接缺陷现象。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w:t>
      </w:r>
      <w:r>
        <w:rPr>
          <w:rFonts w:hint="default" w:ascii="宋体" w:hAnsi="宋体"/>
          <w:bCs/>
          <w:sz w:val="24"/>
          <w:szCs w:val="24"/>
          <w:lang w:val="en-US" w:eastAsia="zh-CN"/>
        </w:rPr>
        <w:t>.</w:t>
      </w:r>
      <w:r>
        <w:rPr>
          <w:rFonts w:hint="eastAsia" w:ascii="宋体" w:hAnsi="宋体"/>
          <w:bCs/>
          <w:sz w:val="24"/>
          <w:szCs w:val="24"/>
          <w:lang w:val="en-US" w:eastAsia="zh-CN"/>
        </w:rPr>
        <w:t>16检具上的刻线应清晰可见，直线笔直，</w:t>
      </w:r>
      <w:r>
        <w:rPr>
          <w:rFonts w:hint="default" w:ascii="宋体" w:hAnsi="宋体"/>
          <w:bCs/>
          <w:sz w:val="24"/>
          <w:szCs w:val="24"/>
          <w:lang w:val="en-US" w:eastAsia="zh-CN"/>
        </w:rPr>
        <w:t xml:space="preserve">R </w:t>
      </w:r>
      <w:r>
        <w:rPr>
          <w:rFonts w:hint="eastAsia" w:ascii="宋体" w:hAnsi="宋体"/>
          <w:bCs/>
          <w:sz w:val="24"/>
          <w:szCs w:val="24"/>
          <w:lang w:val="en-US" w:eastAsia="zh-CN"/>
        </w:rPr>
        <w:t>圆滑，</w:t>
      </w:r>
      <w:r>
        <w:rPr>
          <w:rFonts w:hint="default" w:ascii="宋体" w:hAnsi="宋体"/>
          <w:bCs/>
          <w:sz w:val="24"/>
          <w:szCs w:val="24"/>
          <w:lang w:val="en-US" w:eastAsia="zh-CN"/>
        </w:rPr>
        <w:t xml:space="preserve">0mm </w:t>
      </w:r>
      <w:r>
        <w:rPr>
          <w:rFonts w:hint="eastAsia" w:ascii="宋体" w:hAnsi="宋体"/>
          <w:bCs/>
          <w:sz w:val="24"/>
          <w:szCs w:val="24"/>
          <w:lang w:val="en-US" w:eastAsia="zh-CN"/>
        </w:rPr>
        <w:t xml:space="preserve">及 </w:t>
      </w:r>
      <w:r>
        <w:rPr>
          <w:rFonts w:hint="default" w:ascii="宋体" w:hAnsi="宋体"/>
          <w:bCs/>
          <w:sz w:val="24"/>
          <w:szCs w:val="24"/>
          <w:lang w:val="en-US" w:eastAsia="zh-CN"/>
        </w:rPr>
        <w:t xml:space="preserve">5mm </w:t>
      </w:r>
      <w:r>
        <w:rPr>
          <w:rFonts w:hint="eastAsia" w:ascii="宋体" w:hAnsi="宋体"/>
          <w:bCs/>
          <w:sz w:val="24"/>
          <w:szCs w:val="24"/>
          <w:lang w:val="en-US" w:eastAsia="zh-CN"/>
        </w:rPr>
        <w:t xml:space="preserve">刻线与百线不允许交叉、过线等缺陷。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3.17基板表面目视无较大凸包和凹坑。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3.18左右件共用基板的检具应有左右区分标识。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3.19检具采用自动式三坐标测量仪测量：设备精度在±</w:t>
      </w:r>
      <w:r>
        <w:rPr>
          <w:rFonts w:hint="default" w:ascii="宋体" w:hAnsi="宋体"/>
          <w:bCs/>
          <w:sz w:val="24"/>
          <w:szCs w:val="24"/>
          <w:lang w:val="en-US" w:eastAsia="zh-CN"/>
        </w:rPr>
        <w:t xml:space="preserve">0.01mm </w:t>
      </w:r>
      <w:r>
        <w:rPr>
          <w:rFonts w:hint="eastAsia" w:ascii="宋体" w:hAnsi="宋体"/>
          <w:bCs/>
          <w:sz w:val="24"/>
          <w:szCs w:val="24"/>
          <w:lang w:val="en-US" w:eastAsia="zh-CN"/>
        </w:rPr>
        <w:t xml:space="preserve">以内（应在检定使用周期内且附有三坐标测量仪精度检定报告），测量位置包括检具定位销（导向轴套）、所有检测用的导向轴套、划线孔的位置度、基准面及支撑面的位置等。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3.20检具原材料(如：角架、堆积块、铰链、导板、螺钉和键等)应尽可能选用可采购到的标准件。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Cs/>
          <w:sz w:val="24"/>
          <w:szCs w:val="24"/>
          <w:lang w:val="en-US" w:eastAsia="zh-CN"/>
        </w:rPr>
      </w:pPr>
      <w:bookmarkStart w:id="53" w:name="_Toc245193637"/>
      <w:bookmarkStart w:id="54" w:name="_Toc6377"/>
      <w:bookmarkStart w:id="55" w:name="_Toc29226332"/>
      <w:bookmarkStart w:id="56" w:name="_Toc246218123"/>
      <w:r>
        <w:rPr>
          <w:rFonts w:hint="eastAsia" w:ascii="宋体" w:hAnsi="宋体"/>
          <w:bCs/>
          <w:sz w:val="24"/>
          <w:szCs w:val="24"/>
          <w:lang w:val="en-US" w:eastAsia="zh-CN"/>
        </w:rPr>
        <w:t>3.21标牌标识信息（当需要时进行更新）：车型、零件名称、零件号、检具编号、测量基准、外形尺寸及重量，并在小铭牌上标示版本号（设变后小铭牌要及时更新）。标牌应制作成蓝底白字形式，材质为铝，并在醒目且不易损坏的底板位置上牢固固定。具体的形式由投标方提出，招标方确认后进行制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4、检具的功能要求</w:t>
      </w:r>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bookmarkStart w:id="57" w:name="_Toc29226333"/>
      <w:r>
        <w:rPr>
          <w:rFonts w:hint="eastAsia" w:ascii="宋体" w:hAnsi="宋体"/>
          <w:bCs/>
          <w:sz w:val="24"/>
          <w:szCs w:val="24"/>
          <w:lang w:val="en-US" w:eastAsia="zh-CN"/>
        </w:rPr>
        <w:t>4.1单件检具必须满足的检测功能：</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4.1.1检测单件周边间隙、面差及功能孔；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4.1.2检测特性线及有特殊要求的型面（带有样规时）；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bookmarkStart w:id="58" w:name="_Toc29226334"/>
      <w:r>
        <w:rPr>
          <w:rFonts w:hint="eastAsia" w:ascii="宋体" w:hAnsi="宋体"/>
          <w:bCs/>
          <w:sz w:val="24"/>
          <w:szCs w:val="24"/>
          <w:lang w:val="en-US" w:eastAsia="zh-CN"/>
        </w:rPr>
        <w:t>4.2在检查功能表面上对检查位置做出标识：</w:t>
      </w:r>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4.2.1检测功能块基体材质为铝质的，采取刻度线方式，刻度线规格：深度0.5mm，宽度0.5mm，长度3～5mm统一标准；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4.2.2检查功能表面在形状交汇处有测量点时要求棱角分明，不影响测量精度。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4.2.3如被测制件发生改变时，检具也要做出相应的变更。</w:t>
      </w:r>
      <w:bookmarkStart w:id="59" w:name="_Toc245193641"/>
      <w:bookmarkStart w:id="60" w:name="_Toc24621812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bookmarkStart w:id="61" w:name="_Toc12201"/>
      <w:bookmarkStart w:id="62" w:name="_Toc29226335"/>
      <w:r>
        <w:rPr>
          <w:rFonts w:hint="eastAsia" w:ascii="宋体" w:hAnsi="宋体"/>
          <w:b/>
          <w:bCs w:val="0"/>
          <w:sz w:val="24"/>
          <w:szCs w:val="24"/>
          <w:lang w:val="en-US" w:eastAsia="zh-CN"/>
        </w:rPr>
        <w:t>5、检具重复性与再现性要求</w:t>
      </w:r>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5.1在进行检具重复性和再现性校核时，在被测零件上选取的点应尽可能远离定位基准。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5.2有可能需要更多的测量点，这取决于被测零件的大小和刚度。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5.3重复性和再现性的判别标准：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 xml:space="preserve">A、误差&lt;10% 测量系统可接受；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B、30%≥误差≥10% 可能被接受，取决于实际应用的重要性、检具成本、修复费用等。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C、误差≥30% 必须改进检具系统，尽力找出问题并纠正。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szCs w:val="24"/>
          <w:lang w:val="en-US" w:eastAsia="zh-CN"/>
        </w:rPr>
      </w:pPr>
      <w:r>
        <w:rPr>
          <w:rFonts w:hint="eastAsia" w:ascii="宋体" w:hAnsi="宋体"/>
          <w:bCs/>
          <w:sz w:val="24"/>
          <w:szCs w:val="24"/>
          <w:lang w:val="en-US" w:eastAsia="zh-CN"/>
        </w:rPr>
        <w:t>5.4当检具发生影响重复性和再现性的修改后，应进行再次校核。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2"/>
          <w:sz w:val="24"/>
          <w:szCs w:val="24"/>
          <w:lang w:val="en-US" w:eastAsia="zh-CN" w:bidi="ar-SA"/>
        </w:rPr>
      </w:pPr>
      <w:bookmarkStart w:id="63" w:name="_Toc17621"/>
      <w:bookmarkStart w:id="64" w:name="_Toc12490"/>
      <w:bookmarkStart w:id="65" w:name="_Toc10762"/>
      <w:r>
        <w:rPr>
          <w:rFonts w:hint="eastAsia" w:ascii="宋体" w:hAnsi="宋体"/>
          <w:b/>
          <w:bCs w:val="0"/>
          <w:sz w:val="24"/>
          <w:szCs w:val="24"/>
          <w:lang w:val="en-US" w:eastAsia="zh-CN"/>
        </w:rPr>
        <w:t>6、</w:t>
      </w:r>
      <w:r>
        <w:rPr>
          <w:rFonts w:hint="eastAsia" w:ascii="宋体" w:hAnsi="宋体" w:eastAsia="宋体" w:cs="Times New Roman"/>
          <w:b/>
          <w:bCs w:val="0"/>
          <w:kern w:val="2"/>
          <w:sz w:val="24"/>
          <w:szCs w:val="24"/>
          <w:lang w:val="en-US" w:eastAsia="zh-CN" w:bidi="ar-SA"/>
        </w:rPr>
        <w:t>备品、备件</w:t>
      </w:r>
      <w:bookmarkEnd w:id="63"/>
      <w:bookmarkEnd w:id="64"/>
      <w:bookmarkEnd w:id="65"/>
    </w:p>
    <w:p>
      <w:pPr>
        <w:snapToGrid w:val="0"/>
        <w:spacing w:line="360" w:lineRule="auto"/>
        <w:ind w:firstLine="480" w:firstLineChars="200"/>
        <w:rPr>
          <w:rFonts w:hint="eastAsia" w:hAnsi="宋体" w:eastAsia="宋体"/>
          <w:sz w:val="24"/>
          <w:lang w:eastAsia="zh-CN"/>
        </w:rPr>
      </w:pPr>
      <w:r>
        <w:rPr>
          <w:rFonts w:hint="eastAsia" w:hAnsi="宋体"/>
          <w:sz w:val="24"/>
        </w:rPr>
        <w:t>投标方向招标方提供备件清单，由招标方确认最终选择哪些作为备品备件。</w:t>
      </w:r>
      <w:r>
        <w:rPr>
          <w:rFonts w:hint="eastAsia" w:hAnsi="宋体"/>
          <w:sz w:val="24"/>
          <w:lang w:val="en-US" w:eastAsia="zh-CN"/>
        </w:rPr>
        <w:t>本次招标投标方仅需提出备品、备件清单，</w:t>
      </w:r>
      <w:r>
        <w:rPr>
          <w:rFonts w:hint="eastAsia" w:ascii="宋体" w:hAnsi="宋体"/>
          <w:bCs/>
          <w:sz w:val="24"/>
          <w:szCs w:val="24"/>
        </w:rPr>
        <w:t>本次招标报价不包含备品备件、易损件和专用耗材的费用</w:t>
      </w:r>
      <w:r>
        <w:rPr>
          <w:rFonts w:hint="eastAsia" w:ascii="宋体" w:hAnsi="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2"/>
          <w:sz w:val="24"/>
          <w:szCs w:val="24"/>
          <w:lang w:val="en-US" w:eastAsia="zh-CN" w:bidi="ar-SA"/>
        </w:rPr>
      </w:pPr>
      <w:bookmarkStart w:id="66" w:name="_Toc11449"/>
      <w:bookmarkStart w:id="67" w:name="_Toc26204"/>
      <w:bookmarkStart w:id="68" w:name="_Toc29715"/>
      <w:bookmarkStart w:id="69" w:name="_Toc26357134"/>
      <w:bookmarkStart w:id="70" w:name="_Toc27758126"/>
      <w:r>
        <w:rPr>
          <w:rFonts w:hint="eastAsia" w:ascii="宋体" w:hAnsi="宋体"/>
          <w:b/>
          <w:bCs w:val="0"/>
          <w:sz w:val="24"/>
          <w:szCs w:val="24"/>
          <w:lang w:val="en-US" w:eastAsia="zh-CN"/>
        </w:rPr>
        <w:t>7、</w:t>
      </w:r>
      <w:r>
        <w:rPr>
          <w:rFonts w:hint="eastAsia" w:ascii="宋体" w:hAnsi="宋体" w:eastAsia="宋体" w:cs="Times New Roman"/>
          <w:b/>
          <w:bCs w:val="0"/>
          <w:kern w:val="2"/>
          <w:sz w:val="24"/>
          <w:szCs w:val="24"/>
          <w:lang w:val="en-US" w:eastAsia="zh-CN" w:bidi="ar-SA"/>
        </w:rPr>
        <w:t>验收</w:t>
      </w:r>
      <w:bookmarkEnd w:id="66"/>
      <w:bookmarkEnd w:id="67"/>
      <w:bookmarkEnd w:id="68"/>
      <w:bookmarkEnd w:id="69"/>
      <w:bookmarkEnd w:id="70"/>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检具验收标准：根据评审后的检具设计、加工、制造标准进行验收。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7.1检具的预验收</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A、检具预验收地点在检具生产现场，</w:t>
      </w:r>
      <w:r>
        <w:rPr>
          <w:rFonts w:hint="eastAsia" w:ascii="宋体" w:hAnsi="宋体"/>
          <w:sz w:val="24"/>
        </w:rPr>
        <w:t>投标方在设备制造地点进行自验收，验收通过后，通知招标方到</w:t>
      </w:r>
      <w:r>
        <w:rPr>
          <w:rFonts w:ascii="宋体" w:hAnsi="宋体"/>
          <w:sz w:val="24"/>
        </w:rPr>
        <w:t>制造地点进行</w:t>
      </w:r>
      <w:r>
        <w:rPr>
          <w:rFonts w:hint="eastAsia" w:ascii="宋体" w:hAnsi="宋体"/>
          <w:sz w:val="24"/>
        </w:rPr>
        <w:t>项目</w:t>
      </w:r>
      <w:r>
        <w:rPr>
          <w:rFonts w:ascii="宋体" w:hAnsi="宋体"/>
          <w:sz w:val="24"/>
        </w:rPr>
        <w:t>预验收。</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投标方只有在检具全部完工（包括标牌的固定，夹钳、样板安装，喷漆完成），具备预验收条件后，方可向招标方提交预验收申请。</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B、在进行预验收前投标方应先对检具按数模及图纸在三坐标测量机上进行尺寸检验，且对检具进行重复性检验，编制自检报告（包含《检具测量记录表》、检测时的环境温度和相对湿度等内容），自检合格后方可通知招标方到现场进行预验收。</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C、《检具测量记录表》内容包括检具精度的自检报告，测量机精度报告及销子等附件的测量报告等。检具精度的报告应包含主要坐标和关键检验点的坐标。</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D、预验收时双方依照检具技术资料（包含《检具制造检查表》、《检具设计检查表》、《检具设计变更记录表》等）逐项对检具进行确认并进行复检。只有投标方将在检具验收过程中所发现的问题整改到位，并经招标方检验确认后双方签署《检具预验收合格报告》，由投标方装箱发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7.2检具的终验收</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A、检具的终验收地点在检具使用现场，且</w:t>
      </w:r>
      <w:r>
        <w:rPr>
          <w:rFonts w:hint="eastAsia" w:hAnsi="宋体"/>
          <w:color w:val="000000"/>
          <w:sz w:val="24"/>
        </w:rPr>
        <w:t>终验收时，检具的运输工作由检具厂家负责。终验收工作按照技术协议、预验收纪要和设计图纸进行。对预验收遗留问题及需改进之处，</w:t>
      </w:r>
      <w:r>
        <w:rPr>
          <w:rFonts w:hAnsi="宋体"/>
          <w:color w:val="000000"/>
          <w:sz w:val="24"/>
        </w:rPr>
        <w:t xml:space="preserve"> </w:t>
      </w:r>
      <w:r>
        <w:rPr>
          <w:rFonts w:hint="eastAsia" w:hAnsi="宋体"/>
          <w:color w:val="000000"/>
          <w:sz w:val="24"/>
        </w:rPr>
        <w:t>按预验收纪要的要求予以解决和改进，且必须保证终验收时</w:t>
      </w:r>
      <w:r>
        <w:rPr>
          <w:rFonts w:hAnsi="宋体"/>
          <w:color w:val="000000"/>
          <w:sz w:val="24"/>
        </w:rPr>
        <w:t>3D</w:t>
      </w:r>
      <w:r>
        <w:rPr>
          <w:rFonts w:hint="eastAsia" w:hAnsi="宋体"/>
          <w:color w:val="000000"/>
          <w:sz w:val="24"/>
        </w:rPr>
        <w:t>方案及</w:t>
      </w:r>
      <w:r>
        <w:rPr>
          <w:rFonts w:hAnsi="宋体"/>
          <w:color w:val="000000"/>
          <w:sz w:val="24"/>
        </w:rPr>
        <w:t>2D</w:t>
      </w:r>
      <w:r>
        <w:rPr>
          <w:rFonts w:hint="eastAsia" w:hAnsi="宋体"/>
          <w:color w:val="000000"/>
          <w:sz w:val="24"/>
        </w:rPr>
        <w:t>图纸的一致性。</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B、在检具终验收前，投标方应对检具使用、维保相关人员进行必要的技术培训，确保相关人员在终验收后能独立进行操作与维修工作。</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C、当检具在验收过程中被发现尺寸不合格或不符合规定时，投标方负责找出原因并整改。</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D、精度验收必须以三坐标测量机进行精度检测，检测合格后，投标方签署精度测量合格报告。精度测量报告至少包括对以下内容的检测：定位基准、检具的功能特性（比如数据采集装置、持平检测、支座点、检具销、定位销、匹配件的代表性、结构球等）等。</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E、功能验收检测合格后，投标方签署提交终验收合格报告。</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F、在检具终验收完成后，按最终检具对 3D、2D 图纸进行修改，并保证与实物一致，终验收完成以报告签字及资料提供为依据。</w:t>
      </w:r>
    </w:p>
    <w:p>
      <w:pPr>
        <w:spacing w:line="360" w:lineRule="auto"/>
        <w:ind w:firstLine="480" w:firstLineChars="200"/>
        <w:jc w:val="left"/>
        <w:rPr>
          <w:rFonts w:hint="eastAsia" w:ascii="宋体" w:hAnsi="宋体"/>
          <w:bCs/>
          <w:sz w:val="24"/>
          <w:szCs w:val="24"/>
          <w:lang w:val="en-US" w:eastAsia="zh-CN"/>
        </w:rPr>
      </w:pPr>
      <w:r>
        <w:rPr>
          <w:rFonts w:hint="eastAsia" w:ascii="宋体" w:hAnsi="宋体"/>
          <w:bCs/>
          <w:sz w:val="24"/>
          <w:szCs w:val="24"/>
          <w:lang w:val="en-US" w:eastAsia="zh-CN"/>
        </w:rPr>
        <w:t>G、招标方对检具技术资料逐项进行确认，只有将使用过程中所发现的问题处理完毕，所有技术资料齐全，达到终验收标准后才能签署《检具终验收合格报告》。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val="0"/>
          <w:kern w:val="2"/>
          <w:sz w:val="24"/>
          <w:szCs w:val="24"/>
          <w:lang w:val="en-US" w:eastAsia="zh-CN" w:bidi="ar-SA"/>
        </w:rPr>
      </w:pPr>
      <w:bookmarkStart w:id="71" w:name="_Toc27758129"/>
      <w:bookmarkStart w:id="72" w:name="_Toc25336"/>
      <w:bookmarkStart w:id="73" w:name="_Toc21633"/>
      <w:bookmarkStart w:id="74" w:name="_Toc26357137"/>
      <w:bookmarkStart w:id="75" w:name="_Toc23787"/>
      <w:r>
        <w:rPr>
          <w:rFonts w:hint="eastAsia" w:ascii="宋体" w:hAnsi="宋体"/>
          <w:b/>
          <w:bCs w:val="0"/>
          <w:sz w:val="24"/>
          <w:szCs w:val="24"/>
          <w:lang w:val="en-US" w:eastAsia="zh-CN"/>
        </w:rPr>
        <w:t>8、</w:t>
      </w:r>
      <w:r>
        <w:rPr>
          <w:rFonts w:hint="eastAsia" w:ascii="宋体" w:hAnsi="宋体" w:eastAsia="宋体" w:cs="Times New Roman"/>
          <w:b/>
          <w:bCs w:val="0"/>
          <w:kern w:val="2"/>
          <w:sz w:val="24"/>
          <w:szCs w:val="24"/>
          <w:lang w:val="en-US" w:eastAsia="zh-CN" w:bidi="ar-SA"/>
        </w:rPr>
        <w:t>服务</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8.1设计变更管理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Ansi="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1.1</w:t>
      </w:r>
      <w:r>
        <w:rPr>
          <w:rFonts w:hint="eastAsia" w:hAnsi="宋体"/>
          <w:color w:val="000000"/>
          <w:sz w:val="24"/>
          <w:lang w:eastAsia="zh-CN"/>
        </w:rPr>
        <w:t>投标方</w:t>
      </w:r>
      <w:r>
        <w:rPr>
          <w:rFonts w:hint="eastAsia" w:hAnsi="宋体"/>
          <w:color w:val="000000"/>
          <w:sz w:val="24"/>
        </w:rPr>
        <w:t>应建立合理、明确的设计变更管理流程，技术交流时，</w:t>
      </w:r>
      <w:r>
        <w:rPr>
          <w:rFonts w:hint="eastAsia" w:hAnsi="宋体"/>
          <w:color w:val="000000"/>
          <w:sz w:val="24"/>
          <w:lang w:eastAsia="zh-CN"/>
        </w:rPr>
        <w:t>投标方</w:t>
      </w:r>
      <w:r>
        <w:rPr>
          <w:rFonts w:hint="eastAsia" w:hAnsi="宋体"/>
          <w:color w:val="000000"/>
          <w:sz w:val="24"/>
        </w:rPr>
        <w:t>提供设计变更管理流程供</w:t>
      </w:r>
      <w:r>
        <w:rPr>
          <w:rFonts w:hint="eastAsia" w:hAnsi="宋体"/>
          <w:color w:val="000000"/>
          <w:sz w:val="24"/>
          <w:lang w:eastAsia="zh-CN"/>
        </w:rPr>
        <w:t>招标方</w:t>
      </w:r>
      <w:r>
        <w:rPr>
          <w:rFonts w:hint="eastAsia" w:hAnsi="宋体"/>
          <w:color w:val="000000"/>
          <w:sz w:val="24"/>
        </w:rPr>
        <w:t>确认、认可；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1.2</w:t>
      </w:r>
      <w:r>
        <w:rPr>
          <w:rFonts w:hint="eastAsia" w:ascii="宋体" w:hAnsi="宋体" w:eastAsia="宋体" w:cs="宋体"/>
          <w:color w:val="000000"/>
          <w:sz w:val="24"/>
          <w:lang w:eastAsia="zh-CN"/>
        </w:rPr>
        <w:t>投标方</w:t>
      </w:r>
      <w:r>
        <w:rPr>
          <w:rFonts w:hint="eastAsia" w:ascii="宋体" w:hAnsi="宋体" w:eastAsia="宋体" w:cs="宋体"/>
          <w:color w:val="000000"/>
          <w:sz w:val="24"/>
        </w:rPr>
        <w:t>应严格按照认可后的设计变更管理流程进行设计变更管理和控制，</w:t>
      </w:r>
      <w:r>
        <w:rPr>
          <w:rFonts w:hint="eastAsia" w:ascii="宋体" w:hAnsi="宋体" w:eastAsia="宋体" w:cs="宋体"/>
          <w:color w:val="000000"/>
          <w:sz w:val="24"/>
          <w:lang w:eastAsia="zh-CN"/>
        </w:rPr>
        <w:t>招标方</w:t>
      </w:r>
      <w:r>
        <w:rPr>
          <w:rFonts w:hint="eastAsia" w:ascii="宋体" w:hAnsi="宋体" w:eastAsia="宋体" w:cs="宋体"/>
          <w:color w:val="000000"/>
          <w:sz w:val="24"/>
        </w:rPr>
        <w:t>将不定期进行抽查；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1.3</w:t>
      </w:r>
      <w:r>
        <w:rPr>
          <w:rFonts w:hint="eastAsia" w:ascii="宋体" w:hAnsi="宋体" w:eastAsia="宋体" w:cs="宋体"/>
          <w:color w:val="000000"/>
          <w:sz w:val="24"/>
        </w:rPr>
        <w:t>检具完成终验收前，</w:t>
      </w:r>
      <w:r>
        <w:rPr>
          <w:rFonts w:hint="eastAsia" w:ascii="宋体" w:hAnsi="宋体" w:eastAsia="宋体" w:cs="宋体"/>
          <w:color w:val="000000"/>
          <w:sz w:val="24"/>
          <w:lang w:eastAsia="zh-CN"/>
        </w:rPr>
        <w:t>投标方</w:t>
      </w:r>
      <w:r>
        <w:rPr>
          <w:rFonts w:hint="eastAsia" w:ascii="宋体" w:hAnsi="宋体" w:eastAsia="宋体" w:cs="宋体"/>
          <w:color w:val="000000"/>
          <w:sz w:val="24"/>
        </w:rPr>
        <w:t>有义务负责</w:t>
      </w:r>
      <w:r>
        <w:rPr>
          <w:rFonts w:hint="eastAsia" w:ascii="宋体" w:hAnsi="宋体" w:eastAsia="宋体" w:cs="宋体"/>
          <w:color w:val="000000"/>
          <w:sz w:val="24"/>
          <w:lang w:eastAsia="zh-CN"/>
        </w:rPr>
        <w:t>招标方</w:t>
      </w:r>
      <w:r>
        <w:rPr>
          <w:rFonts w:hint="eastAsia" w:ascii="宋体" w:hAnsi="宋体" w:eastAsia="宋体" w:cs="宋体"/>
          <w:color w:val="000000"/>
          <w:sz w:val="24"/>
        </w:rPr>
        <w:t>提供检具设计变更；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1.4</w:t>
      </w:r>
      <w:r>
        <w:rPr>
          <w:rFonts w:hint="eastAsia" w:ascii="宋体" w:hAnsi="宋体" w:eastAsia="宋体" w:cs="宋体"/>
          <w:color w:val="000000"/>
          <w:sz w:val="24"/>
        </w:rPr>
        <w:t>因产品变更造成检具对应部分进行设计变更，</w:t>
      </w:r>
      <w:r>
        <w:rPr>
          <w:rFonts w:hint="eastAsia" w:ascii="宋体" w:hAnsi="宋体" w:eastAsia="宋体" w:cs="宋体"/>
          <w:color w:val="000000"/>
          <w:sz w:val="24"/>
          <w:lang w:eastAsia="zh-CN"/>
        </w:rPr>
        <w:t>投标方</w:t>
      </w:r>
      <w:r>
        <w:rPr>
          <w:rFonts w:hint="eastAsia" w:ascii="宋体" w:hAnsi="宋体" w:eastAsia="宋体" w:cs="宋体"/>
          <w:color w:val="000000"/>
          <w:sz w:val="24"/>
        </w:rPr>
        <w:t>应予以充分理解和协助，并提供以下文件：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1.4.1</w:t>
      </w:r>
      <w:r>
        <w:rPr>
          <w:rFonts w:hint="eastAsia" w:ascii="宋体" w:hAnsi="宋体" w:eastAsia="宋体" w:cs="宋体"/>
          <w:color w:val="000000"/>
          <w:sz w:val="24"/>
        </w:rPr>
        <w:t>因产品变更造成的检具变更的汇总表；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1.4.2</w:t>
      </w:r>
      <w:r>
        <w:rPr>
          <w:rFonts w:hint="eastAsia" w:ascii="宋体" w:hAnsi="宋体" w:eastAsia="宋体" w:cs="宋体"/>
          <w:color w:val="000000"/>
          <w:sz w:val="24"/>
        </w:rPr>
        <w:t>因产品变更造成的费用汇总表；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1.4.3</w:t>
      </w:r>
      <w:r>
        <w:rPr>
          <w:rFonts w:hint="eastAsia" w:ascii="宋体" w:hAnsi="宋体" w:eastAsia="宋体" w:cs="宋体"/>
          <w:color w:val="000000"/>
          <w:sz w:val="24"/>
        </w:rPr>
        <w:t>因产品变更造成的制造周期变化的清单；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1.4.4</w:t>
      </w:r>
      <w:r>
        <w:rPr>
          <w:rFonts w:hint="eastAsia" w:ascii="宋体" w:hAnsi="宋体" w:eastAsia="宋体" w:cs="宋体"/>
          <w:color w:val="000000"/>
          <w:sz w:val="24"/>
        </w:rPr>
        <w:t>最新3D数模、2D图纸及检测报告。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第1.4.2条</w:t>
      </w:r>
      <w:r>
        <w:rPr>
          <w:rFonts w:hint="eastAsia" w:ascii="宋体" w:hAnsi="宋体" w:eastAsia="宋体" w:cs="宋体"/>
          <w:color w:val="000000"/>
          <w:sz w:val="24"/>
        </w:rPr>
        <w:t>和</w:t>
      </w:r>
      <w:r>
        <w:rPr>
          <w:rFonts w:hint="eastAsia" w:ascii="宋体" w:hAnsi="宋体" w:eastAsia="宋体" w:cs="宋体"/>
          <w:color w:val="000000"/>
          <w:sz w:val="24"/>
          <w:lang w:val="en-US" w:eastAsia="zh-CN"/>
        </w:rPr>
        <w:t>1.4.3条</w:t>
      </w:r>
      <w:r>
        <w:rPr>
          <w:rFonts w:hint="eastAsia" w:ascii="宋体" w:hAnsi="宋体" w:eastAsia="宋体" w:cs="宋体"/>
          <w:color w:val="000000"/>
          <w:sz w:val="24"/>
        </w:rPr>
        <w:t>需经</w:t>
      </w:r>
      <w:r>
        <w:rPr>
          <w:rFonts w:hint="eastAsia" w:ascii="宋体" w:hAnsi="宋体" w:eastAsia="宋体" w:cs="宋体"/>
          <w:color w:val="000000"/>
          <w:sz w:val="24"/>
          <w:lang w:eastAsia="zh-CN"/>
        </w:rPr>
        <w:t>招标方</w:t>
      </w:r>
      <w:r>
        <w:rPr>
          <w:rFonts w:hint="eastAsia" w:ascii="宋体" w:hAnsi="宋体" w:eastAsia="宋体" w:cs="宋体"/>
          <w:color w:val="000000"/>
          <w:sz w:val="24"/>
        </w:rPr>
        <w:t>认可后方可生效，但更改工作继续，不能有任何理由的推脱；</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1.5</w:t>
      </w:r>
      <w:r>
        <w:rPr>
          <w:rFonts w:hint="eastAsia" w:ascii="宋体" w:hAnsi="宋体" w:eastAsia="宋体" w:cs="宋体"/>
          <w:color w:val="000000"/>
          <w:sz w:val="24"/>
        </w:rPr>
        <w:t>因使用问题（含设计不合理、与零件干涉及其它使用问题）造成对检具的设计更改，</w:t>
      </w:r>
      <w:r>
        <w:rPr>
          <w:rFonts w:hint="eastAsia" w:ascii="宋体" w:hAnsi="宋体" w:eastAsia="宋体" w:cs="宋体"/>
          <w:color w:val="000000"/>
          <w:sz w:val="24"/>
          <w:lang w:eastAsia="zh-CN"/>
        </w:rPr>
        <w:t>投标方</w:t>
      </w:r>
      <w:r>
        <w:rPr>
          <w:rFonts w:hint="eastAsia" w:ascii="宋体" w:hAnsi="宋体" w:eastAsia="宋体" w:cs="宋体"/>
          <w:color w:val="000000"/>
          <w:sz w:val="24"/>
        </w:rPr>
        <w:t>应无条件更改，并向</w:t>
      </w:r>
      <w:r>
        <w:rPr>
          <w:rFonts w:hint="eastAsia" w:ascii="宋体" w:hAnsi="宋体" w:eastAsia="宋体" w:cs="宋体"/>
          <w:color w:val="000000"/>
          <w:sz w:val="24"/>
          <w:lang w:eastAsia="zh-CN"/>
        </w:rPr>
        <w:t>招标方</w:t>
      </w:r>
      <w:r>
        <w:rPr>
          <w:rFonts w:hint="eastAsia" w:ascii="宋体" w:hAnsi="宋体" w:eastAsia="宋体" w:cs="宋体"/>
          <w:color w:val="000000"/>
          <w:sz w:val="24"/>
        </w:rPr>
        <w:t>提供：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1.5.1</w:t>
      </w:r>
      <w:r>
        <w:rPr>
          <w:rFonts w:hint="eastAsia" w:ascii="宋体" w:hAnsi="宋体" w:eastAsia="宋体" w:cs="宋体"/>
          <w:color w:val="000000"/>
          <w:sz w:val="24"/>
        </w:rPr>
        <w:t>最新3D数模、2D图纸及检测报告；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1.5.2</w:t>
      </w:r>
      <w:r>
        <w:rPr>
          <w:rFonts w:hint="eastAsia" w:ascii="宋体" w:hAnsi="宋体" w:eastAsia="宋体" w:cs="宋体"/>
          <w:color w:val="000000"/>
          <w:sz w:val="24"/>
        </w:rPr>
        <w:t>更改内容申请，并需经</w:t>
      </w:r>
      <w:r>
        <w:rPr>
          <w:rFonts w:hint="eastAsia" w:ascii="宋体" w:hAnsi="宋体" w:eastAsia="宋体" w:cs="宋体"/>
          <w:color w:val="000000"/>
          <w:sz w:val="24"/>
          <w:lang w:eastAsia="zh-CN"/>
        </w:rPr>
        <w:t>招标方</w:t>
      </w:r>
      <w:r>
        <w:rPr>
          <w:rFonts w:hint="eastAsia" w:ascii="宋体" w:hAnsi="宋体" w:eastAsia="宋体" w:cs="宋体"/>
          <w:color w:val="000000"/>
          <w:sz w:val="24"/>
        </w:rPr>
        <w:t>同意。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Ansi="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1.6</w:t>
      </w:r>
      <w:r>
        <w:rPr>
          <w:rFonts w:hint="eastAsia" w:hAnsi="宋体"/>
          <w:color w:val="000000"/>
          <w:sz w:val="24"/>
        </w:rPr>
        <w:t>对于</w:t>
      </w:r>
      <w:r>
        <w:rPr>
          <w:rFonts w:hint="eastAsia" w:hAnsi="宋体"/>
          <w:color w:val="000000"/>
          <w:sz w:val="24"/>
          <w:lang w:eastAsia="zh-CN"/>
        </w:rPr>
        <w:t>招标方</w:t>
      </w:r>
      <w:r>
        <w:rPr>
          <w:rFonts w:hint="eastAsia" w:hAnsi="宋体"/>
          <w:color w:val="000000"/>
          <w:sz w:val="24"/>
        </w:rPr>
        <w:t>要求更改的，</w:t>
      </w:r>
      <w:r>
        <w:rPr>
          <w:rFonts w:hint="eastAsia" w:hAnsi="宋体"/>
          <w:color w:val="000000"/>
          <w:sz w:val="24"/>
          <w:lang w:eastAsia="zh-CN"/>
        </w:rPr>
        <w:t>投标方</w:t>
      </w:r>
      <w:r>
        <w:rPr>
          <w:rFonts w:hint="eastAsia" w:hAnsi="宋体"/>
          <w:color w:val="000000"/>
          <w:sz w:val="24"/>
        </w:rPr>
        <w:t>应建立使用问题清单，在终验收时提交给</w:t>
      </w:r>
      <w:r>
        <w:rPr>
          <w:rFonts w:hint="eastAsia" w:hAnsi="宋体"/>
          <w:color w:val="000000"/>
          <w:sz w:val="24"/>
          <w:lang w:eastAsia="zh-CN"/>
        </w:rPr>
        <w:t>招标方</w:t>
      </w:r>
      <w:r>
        <w:rPr>
          <w:rFonts w:hint="eastAsia"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8.2运输包装要求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2.1</w:t>
      </w:r>
      <w:r>
        <w:rPr>
          <w:rFonts w:hint="eastAsia" w:ascii="宋体" w:hAnsi="宋体" w:eastAsia="宋体" w:cs="宋体"/>
          <w:color w:val="000000"/>
          <w:sz w:val="24"/>
        </w:rPr>
        <w:t>运输距离50公里以下，检具可以不使用木箱包装：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 xml:space="preserve">2.1.1  </w:t>
      </w:r>
      <w:r>
        <w:rPr>
          <w:rFonts w:hint="eastAsia" w:ascii="宋体" w:hAnsi="宋体" w:eastAsia="宋体" w:cs="宋体"/>
          <w:color w:val="000000"/>
          <w:sz w:val="24"/>
        </w:rPr>
        <w:t>须采用木板结构作支撑，每套检具必须单独固定，检具之间禁止叠加、碰触；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 xml:space="preserve">2.1.2  </w:t>
      </w:r>
      <w:r>
        <w:rPr>
          <w:rFonts w:hint="eastAsia" w:ascii="宋体" w:hAnsi="宋体" w:eastAsia="宋体" w:cs="宋体"/>
          <w:color w:val="000000"/>
          <w:sz w:val="24"/>
        </w:rPr>
        <w:t>支撑木板结构要足够承重，方便叉车搬运。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 xml:space="preserve">2.2  </w:t>
      </w:r>
      <w:r>
        <w:rPr>
          <w:rFonts w:hint="eastAsia" w:ascii="宋体" w:hAnsi="宋体" w:eastAsia="宋体" w:cs="宋体"/>
          <w:color w:val="000000"/>
          <w:sz w:val="24"/>
        </w:rPr>
        <w:t>运输距离50公里以上（含50公里），检具底板长+宽≤1000mm、单边长度≤500mm</w:t>
      </w:r>
      <w:r>
        <w:rPr>
          <w:rFonts w:hint="eastAsia" w:ascii="宋体" w:hAnsi="宋体" w:eastAsia="宋体" w:cs="宋体"/>
          <w:color w:val="000000"/>
          <w:sz w:val="24"/>
          <w:lang w:eastAsia="zh-CN"/>
        </w:rPr>
        <w:t>，</w:t>
      </w:r>
      <w:r>
        <w:rPr>
          <w:rFonts w:hint="eastAsia" w:ascii="宋体" w:hAnsi="宋体" w:eastAsia="宋体" w:cs="宋体"/>
          <w:color w:val="000000"/>
          <w:sz w:val="24"/>
        </w:rPr>
        <w:t>可以采用多检具共用一个木箱；检具底板长+宽＞1000mm，每套检具必须要有单独木箱进行包装。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木箱具体要求如下：共用木箱，每套检具必须单独固定，检具之间禁止叠加、碰触；包装箱底面结构要足够承重，方便叉车搬运；周圈及顶面结构上不能采用钉子固定，须采用螺栓锁紧，以便包装箱的重复利用。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Ansi="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 xml:space="preserve">2.3  </w:t>
      </w:r>
      <w:r>
        <w:rPr>
          <w:rFonts w:hint="eastAsia" w:ascii="宋体" w:hAnsi="宋体" w:eastAsia="宋体" w:cs="宋体"/>
          <w:color w:val="000000"/>
          <w:sz w:val="24"/>
        </w:rPr>
        <w:t>包</w:t>
      </w:r>
      <w:r>
        <w:rPr>
          <w:rFonts w:hint="eastAsia" w:hAnsi="宋体"/>
          <w:color w:val="000000"/>
          <w:sz w:val="24"/>
        </w:rPr>
        <w:t>装保证货物运输安全、检具及其部件不存在晃动，并防尘、防潮；在包装上应有清楚的说明，其内容必须与相应检具上铭牌的内容相一致。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9、投标方考核</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.1</w:t>
      </w:r>
      <w:r>
        <w:rPr>
          <w:rFonts w:hint="eastAsia" w:ascii="宋体" w:hAnsi="宋体" w:eastAsia="宋体" w:cs="宋体"/>
          <w:color w:val="000000"/>
          <w:sz w:val="24"/>
        </w:rPr>
        <w:t>检具产生无法修复的精度问题，</w:t>
      </w:r>
      <w:r>
        <w:rPr>
          <w:rFonts w:hint="eastAsia" w:ascii="宋体" w:hAnsi="宋体" w:eastAsia="宋体" w:cs="宋体"/>
          <w:color w:val="000000"/>
          <w:sz w:val="24"/>
          <w:lang w:eastAsia="zh-CN"/>
        </w:rPr>
        <w:t>招标方</w:t>
      </w:r>
      <w:r>
        <w:rPr>
          <w:rFonts w:hint="eastAsia" w:ascii="宋体" w:hAnsi="宋体" w:eastAsia="宋体" w:cs="宋体"/>
          <w:color w:val="000000"/>
          <w:sz w:val="24"/>
        </w:rPr>
        <w:t>有权扣除合同款终止合同，</w:t>
      </w:r>
      <w:r>
        <w:rPr>
          <w:rFonts w:hint="eastAsia" w:ascii="宋体" w:hAnsi="宋体" w:eastAsia="宋体" w:cs="宋体"/>
          <w:color w:val="000000"/>
          <w:sz w:val="24"/>
          <w:lang w:eastAsia="zh-CN"/>
        </w:rPr>
        <w:t>投标方</w:t>
      </w:r>
      <w:r>
        <w:rPr>
          <w:rFonts w:hint="eastAsia" w:ascii="宋体" w:hAnsi="宋体" w:eastAsia="宋体" w:cs="宋体"/>
          <w:color w:val="000000"/>
          <w:sz w:val="24"/>
        </w:rPr>
        <w:t>需赔偿相应的损失。</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.2</w:t>
      </w:r>
      <w:r>
        <w:rPr>
          <w:rFonts w:hint="eastAsia" w:ascii="宋体" w:hAnsi="宋体" w:eastAsia="宋体" w:cs="宋体"/>
          <w:color w:val="000000"/>
          <w:sz w:val="24"/>
        </w:rPr>
        <w:t>如果因变形导致检具无法使用且无法整改时，</w:t>
      </w:r>
      <w:r>
        <w:rPr>
          <w:rFonts w:hint="eastAsia" w:ascii="宋体" w:hAnsi="宋体" w:eastAsia="宋体" w:cs="宋体"/>
          <w:color w:val="000000"/>
          <w:sz w:val="24"/>
          <w:lang w:eastAsia="zh-CN"/>
        </w:rPr>
        <w:t>投标方</w:t>
      </w:r>
      <w:r>
        <w:rPr>
          <w:rFonts w:hint="eastAsia" w:ascii="宋体" w:hAnsi="宋体" w:eastAsia="宋体" w:cs="宋体"/>
          <w:color w:val="000000"/>
          <w:sz w:val="24"/>
        </w:rPr>
        <w:t>须重新制作一套合格检具。</w:t>
      </w:r>
    </w:p>
    <w:p>
      <w:pPr>
        <w:autoSpaceDE w:val="0"/>
        <w:autoSpaceDN w:val="0"/>
        <w:adjustRightInd w:val="0"/>
        <w:spacing w:line="360" w:lineRule="auto"/>
        <w:ind w:firstLine="480" w:firstLineChars="200"/>
        <w:jc w:val="left"/>
        <w:rPr>
          <w:rFonts w:hAnsi="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投标方</w:t>
      </w:r>
      <w:r>
        <w:rPr>
          <w:rFonts w:hint="eastAsia" w:ascii="宋体" w:hAnsi="宋体" w:eastAsia="宋体" w:cs="宋体"/>
          <w:color w:val="000000"/>
          <w:sz w:val="24"/>
        </w:rPr>
        <w:t>须无条件的解决检具存在的各项问题，</w:t>
      </w:r>
      <w:r>
        <w:rPr>
          <w:rFonts w:hint="eastAsia" w:ascii="宋体" w:hAnsi="宋体" w:eastAsia="宋体" w:cs="宋体"/>
          <w:color w:val="000000"/>
          <w:sz w:val="24"/>
          <w:lang w:eastAsia="zh-CN"/>
        </w:rPr>
        <w:t>投标方</w:t>
      </w:r>
      <w:r>
        <w:rPr>
          <w:rFonts w:hint="eastAsia" w:ascii="宋体" w:hAnsi="宋体" w:eastAsia="宋体" w:cs="宋体"/>
          <w:color w:val="000000"/>
          <w:sz w:val="24"/>
        </w:rPr>
        <w:t>整改问题不积极、不配合时，</w:t>
      </w:r>
      <w:r>
        <w:rPr>
          <w:rFonts w:hint="eastAsia" w:ascii="宋体" w:hAnsi="宋体" w:eastAsia="宋体" w:cs="宋体"/>
          <w:color w:val="000000"/>
          <w:sz w:val="24"/>
          <w:lang w:eastAsia="zh-CN"/>
        </w:rPr>
        <w:t>招标方</w:t>
      </w:r>
      <w:r>
        <w:rPr>
          <w:rFonts w:hint="eastAsia" w:ascii="宋体" w:hAnsi="宋体" w:eastAsia="宋体" w:cs="宋体"/>
          <w:color w:val="000000"/>
          <w:sz w:val="24"/>
        </w:rPr>
        <w:t>有权</w:t>
      </w:r>
      <w:r>
        <w:rPr>
          <w:rFonts w:hint="eastAsia" w:hAnsi="宋体"/>
          <w:color w:val="000000"/>
          <w:sz w:val="24"/>
        </w:rPr>
        <w:t>扣除合同款自行更改。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10、其它</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.1</w:t>
      </w:r>
      <w:r>
        <w:rPr>
          <w:rFonts w:hint="eastAsia" w:ascii="宋体" w:hAnsi="宋体" w:eastAsia="宋体" w:cs="宋体"/>
          <w:color w:val="000000"/>
          <w:sz w:val="24"/>
        </w:rPr>
        <w:t>服务要求：</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.1.1</w:t>
      </w:r>
      <w:r>
        <w:rPr>
          <w:rFonts w:hint="eastAsia" w:ascii="宋体" w:hAnsi="宋体" w:eastAsia="宋体" w:cs="宋体"/>
          <w:color w:val="000000"/>
          <w:sz w:val="24"/>
        </w:rPr>
        <w:t>为保证检具使用精度，检具回厂前需要拉回检具进行精度恢复，完成后发往冲压厂，办理终验收之前需要对相应检具（由</w:t>
      </w:r>
      <w:r>
        <w:rPr>
          <w:rFonts w:hint="eastAsia" w:ascii="宋体" w:hAnsi="宋体" w:eastAsia="宋体" w:cs="宋体"/>
          <w:color w:val="000000"/>
          <w:sz w:val="24"/>
          <w:lang w:eastAsia="zh-CN"/>
        </w:rPr>
        <w:t>招标方</w:t>
      </w:r>
      <w:r>
        <w:rPr>
          <w:rFonts w:hint="eastAsia" w:ascii="宋体" w:hAnsi="宋体" w:eastAsia="宋体" w:cs="宋体"/>
          <w:color w:val="000000"/>
          <w:sz w:val="24"/>
        </w:rPr>
        <w:t>指定）再进行一次精度标定；</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.1.2</w:t>
      </w:r>
      <w:r>
        <w:rPr>
          <w:rFonts w:hint="eastAsia" w:ascii="宋体" w:hAnsi="宋体" w:eastAsia="宋体" w:cs="宋体"/>
          <w:color w:val="000000"/>
          <w:sz w:val="24"/>
        </w:rPr>
        <w:t>检具发货后，在模具厂家或者冲压厂家出现问题，影响使用测量，检具厂家需安排售后人员去现场处理整改，现场无法整改则拉回厂处理，检具使用的正常损耗，由检具厂家无条件处理；</w:t>
      </w:r>
    </w:p>
    <w:p>
      <w:pPr>
        <w:autoSpaceDE w:val="0"/>
        <w:autoSpaceDN w:val="0"/>
        <w:adjustRightIn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.1.3</w:t>
      </w:r>
      <w:r>
        <w:rPr>
          <w:rFonts w:hint="eastAsia" w:ascii="宋体" w:hAnsi="宋体" w:eastAsia="宋体" w:cs="宋体"/>
          <w:color w:val="000000"/>
          <w:sz w:val="24"/>
        </w:rPr>
        <w:t>检具发货后，出现数据设变、产品更改，检具厂家需安排检具回厂设变处理</w:t>
      </w:r>
      <w:r>
        <w:rPr>
          <w:rFonts w:hint="eastAsia" w:ascii="宋体" w:hAnsi="宋体" w:eastAsia="宋体" w:cs="宋体"/>
          <w:color w:val="000000"/>
          <w:sz w:val="24"/>
          <w:lang w:eastAsia="zh-CN"/>
        </w:rPr>
        <w:t>。</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分包规定：检具由</w:t>
      </w:r>
      <w:r>
        <w:rPr>
          <w:rFonts w:hint="eastAsia" w:ascii="宋体" w:hAnsi="宋体" w:eastAsia="宋体" w:cs="宋体"/>
          <w:color w:val="000000"/>
          <w:sz w:val="24"/>
          <w:lang w:eastAsia="zh-CN"/>
        </w:rPr>
        <w:t>投标方</w:t>
      </w:r>
      <w:r>
        <w:rPr>
          <w:rFonts w:hint="eastAsia" w:ascii="宋体" w:hAnsi="宋体" w:eastAsia="宋体" w:cs="宋体"/>
          <w:color w:val="000000"/>
          <w:sz w:val="24"/>
        </w:rPr>
        <w:t>总厂设计、制造及检测，不允许分包（含与</w:t>
      </w:r>
      <w:r>
        <w:rPr>
          <w:rFonts w:hint="eastAsia" w:ascii="宋体" w:hAnsi="宋体" w:eastAsia="宋体" w:cs="宋体"/>
          <w:color w:val="000000"/>
          <w:sz w:val="24"/>
          <w:lang w:eastAsia="zh-CN"/>
        </w:rPr>
        <w:t>投标方</w:t>
      </w:r>
      <w:r>
        <w:rPr>
          <w:rFonts w:hint="eastAsia" w:ascii="宋体" w:hAnsi="宋体" w:eastAsia="宋体" w:cs="宋体"/>
          <w:color w:val="000000"/>
          <w:sz w:val="24"/>
        </w:rPr>
        <w:t>有关联的工厂）。</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.3</w:t>
      </w:r>
      <w:r>
        <w:rPr>
          <w:rFonts w:hint="eastAsia" w:ascii="宋体" w:hAnsi="宋体" w:eastAsia="宋体" w:cs="宋体"/>
          <w:color w:val="000000"/>
          <w:sz w:val="24"/>
        </w:rPr>
        <w:t>保密：</w:t>
      </w:r>
      <w:r>
        <w:rPr>
          <w:rFonts w:hint="eastAsia" w:ascii="宋体" w:hAnsi="宋体" w:eastAsia="宋体" w:cs="宋体"/>
          <w:color w:val="000000"/>
          <w:sz w:val="24"/>
          <w:lang w:eastAsia="zh-CN"/>
        </w:rPr>
        <w:t>招标方</w:t>
      </w:r>
      <w:r>
        <w:rPr>
          <w:rFonts w:hint="eastAsia" w:ascii="宋体" w:hAnsi="宋体" w:eastAsia="宋体" w:cs="宋体"/>
          <w:color w:val="000000"/>
          <w:sz w:val="24"/>
        </w:rPr>
        <w:t>向</w:t>
      </w:r>
      <w:r>
        <w:rPr>
          <w:rFonts w:hint="eastAsia" w:ascii="宋体" w:hAnsi="宋体" w:eastAsia="宋体" w:cs="宋体"/>
          <w:color w:val="000000"/>
          <w:sz w:val="24"/>
          <w:lang w:eastAsia="zh-CN"/>
        </w:rPr>
        <w:t>投标方</w:t>
      </w:r>
      <w:r>
        <w:rPr>
          <w:rFonts w:hint="eastAsia" w:ascii="宋体" w:hAnsi="宋体" w:eastAsia="宋体" w:cs="宋体"/>
          <w:color w:val="000000"/>
          <w:sz w:val="24"/>
        </w:rPr>
        <w:t>提供的产品三维数学模型及其他技术资料为</w:t>
      </w:r>
      <w:r>
        <w:rPr>
          <w:rFonts w:hint="eastAsia" w:ascii="宋体" w:hAnsi="宋体" w:eastAsia="宋体" w:cs="宋体"/>
          <w:color w:val="000000"/>
          <w:sz w:val="24"/>
          <w:lang w:eastAsia="zh-CN"/>
        </w:rPr>
        <w:t>招标方</w:t>
      </w:r>
      <w:r>
        <w:rPr>
          <w:rFonts w:hint="eastAsia" w:ascii="宋体" w:hAnsi="宋体" w:eastAsia="宋体" w:cs="宋体"/>
          <w:color w:val="000000"/>
          <w:sz w:val="24"/>
        </w:rPr>
        <w:t>所有，</w:t>
      </w:r>
      <w:r>
        <w:rPr>
          <w:rFonts w:hint="eastAsia" w:ascii="宋体" w:hAnsi="宋体" w:eastAsia="宋体" w:cs="宋体"/>
          <w:color w:val="000000"/>
          <w:sz w:val="24"/>
          <w:lang w:eastAsia="zh-CN"/>
        </w:rPr>
        <w:t>投标方</w:t>
      </w:r>
      <w:r>
        <w:rPr>
          <w:rFonts w:hint="eastAsia" w:ascii="宋体" w:hAnsi="宋体" w:eastAsia="宋体" w:cs="宋体"/>
          <w:color w:val="000000"/>
          <w:sz w:val="24"/>
        </w:rPr>
        <w:t>不得复制，未经</w:t>
      </w:r>
      <w:r>
        <w:rPr>
          <w:rFonts w:hint="eastAsia" w:ascii="宋体" w:hAnsi="宋体" w:eastAsia="宋体" w:cs="宋体"/>
          <w:color w:val="000000"/>
          <w:sz w:val="24"/>
          <w:lang w:eastAsia="zh-CN"/>
        </w:rPr>
        <w:t>招标方</w:t>
      </w:r>
      <w:r>
        <w:rPr>
          <w:rFonts w:hint="eastAsia" w:ascii="宋体" w:hAnsi="宋体" w:eastAsia="宋体" w:cs="宋体"/>
          <w:color w:val="000000"/>
          <w:sz w:val="24"/>
        </w:rPr>
        <w:t>书面许可不得泄露给第三方，待检具终验收合格后，将</w:t>
      </w:r>
      <w:r>
        <w:rPr>
          <w:rFonts w:hint="eastAsia" w:ascii="宋体" w:hAnsi="宋体" w:eastAsia="宋体" w:cs="宋体"/>
          <w:color w:val="000000"/>
          <w:sz w:val="24"/>
          <w:lang w:eastAsia="zh-CN"/>
        </w:rPr>
        <w:t>招标方</w:t>
      </w:r>
      <w:r>
        <w:rPr>
          <w:rFonts w:hint="eastAsia" w:ascii="宋体" w:hAnsi="宋体" w:eastAsia="宋体" w:cs="宋体"/>
          <w:color w:val="000000"/>
          <w:sz w:val="24"/>
        </w:rPr>
        <w:t>提供的所有技术资料返回</w:t>
      </w:r>
      <w:r>
        <w:rPr>
          <w:rFonts w:hint="eastAsia" w:ascii="宋体" w:hAnsi="宋体" w:eastAsia="宋体" w:cs="宋体"/>
          <w:color w:val="000000"/>
          <w:sz w:val="24"/>
          <w:lang w:eastAsia="zh-CN"/>
        </w:rPr>
        <w:t>招标方</w:t>
      </w:r>
      <w:r>
        <w:rPr>
          <w:rFonts w:hint="eastAsia" w:ascii="宋体" w:hAnsi="宋体" w:eastAsia="宋体" w:cs="宋体"/>
          <w:color w:val="000000"/>
          <w:sz w:val="24"/>
        </w:rPr>
        <w:t>，如因</w:t>
      </w:r>
      <w:r>
        <w:rPr>
          <w:rFonts w:hint="eastAsia" w:ascii="宋体" w:hAnsi="宋体" w:eastAsia="宋体" w:cs="宋体"/>
          <w:color w:val="000000"/>
          <w:sz w:val="24"/>
          <w:lang w:eastAsia="zh-CN"/>
        </w:rPr>
        <w:t>投标方</w:t>
      </w:r>
      <w:r>
        <w:rPr>
          <w:rFonts w:hint="eastAsia" w:ascii="宋体" w:hAnsi="宋体" w:eastAsia="宋体" w:cs="宋体"/>
          <w:color w:val="000000"/>
          <w:sz w:val="24"/>
        </w:rPr>
        <w:t>不遵守保密要求，</w:t>
      </w:r>
      <w:r>
        <w:rPr>
          <w:rFonts w:hint="eastAsia" w:ascii="宋体" w:hAnsi="宋体" w:eastAsia="宋体" w:cs="宋体"/>
          <w:color w:val="000000"/>
          <w:sz w:val="24"/>
          <w:lang w:eastAsia="zh-CN"/>
        </w:rPr>
        <w:t>投标方</w:t>
      </w:r>
      <w:r>
        <w:rPr>
          <w:rFonts w:hint="eastAsia" w:ascii="宋体" w:hAnsi="宋体" w:eastAsia="宋体" w:cs="宋体"/>
          <w:color w:val="000000"/>
          <w:sz w:val="24"/>
        </w:rPr>
        <w:t>承担因泄密给</w:t>
      </w:r>
      <w:r>
        <w:rPr>
          <w:rFonts w:hint="eastAsia" w:ascii="宋体" w:hAnsi="宋体" w:eastAsia="宋体" w:cs="宋体"/>
          <w:color w:val="000000"/>
          <w:sz w:val="24"/>
          <w:lang w:eastAsia="zh-CN"/>
        </w:rPr>
        <w:t>招标方</w:t>
      </w:r>
      <w:r>
        <w:rPr>
          <w:rFonts w:hint="eastAsia" w:ascii="宋体" w:hAnsi="宋体" w:eastAsia="宋体" w:cs="宋体"/>
          <w:color w:val="000000"/>
          <w:sz w:val="24"/>
        </w:rPr>
        <w:t>造成的一切损失。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.4技术条款</w:t>
      </w:r>
      <w:r>
        <w:rPr>
          <w:rFonts w:hint="eastAsia" w:ascii="宋体" w:hAnsi="宋体" w:eastAsia="宋体" w:cs="宋体"/>
          <w:color w:val="000000"/>
          <w:sz w:val="24"/>
          <w:lang w:eastAsia="zh-CN"/>
        </w:rPr>
        <w:t>未涉及部分，以招标方检具技术标准为准；招标方检具技术标准未涉及部分，以投标方标准进行，但必须经招标方确认。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hAnsi="宋体"/>
          <w:b/>
          <w:sz w:val="28"/>
          <w:szCs w:val="28"/>
          <w:lang w:val="en-US" w:eastAsia="zh-CN"/>
        </w:rPr>
      </w:pPr>
      <w:r>
        <w:rPr>
          <w:rFonts w:hint="eastAsia" w:ascii="宋体" w:hAnsi="宋体"/>
          <w:b/>
          <w:bCs w:val="0"/>
          <w:sz w:val="24"/>
          <w:szCs w:val="24"/>
          <w:lang w:val="en-US" w:eastAsia="zh-CN"/>
        </w:rPr>
        <w:t>11、技术培训</w:t>
      </w:r>
    </w:p>
    <w:p>
      <w:pPr>
        <w:pStyle w:val="145"/>
        <w:keepNext w:val="0"/>
        <w:keepLines w:val="0"/>
        <w:pageBreakBefore w:val="0"/>
        <w:widowControl w:val="0"/>
        <w:numPr>
          <w:ilvl w:val="0"/>
          <w:numId w:val="0"/>
        </w:numPr>
        <w:tabs>
          <w:tab w:val="left" w:pos="1005"/>
        </w:tabs>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lang w:val="en-US" w:eastAsia="zh-CN"/>
        </w:rPr>
        <w:t xml:space="preserve">11.1  </w:t>
      </w:r>
      <w:r>
        <w:rPr>
          <w:rFonts w:ascii="宋体" w:hAnsi="宋体"/>
          <w:sz w:val="24"/>
        </w:rPr>
        <w:t>在预验收和终验收期间，投标方应派有经验的专家对招标方相关人员进行理论和实际操作的培训，并提供成套培训资料</w:t>
      </w:r>
      <w:r>
        <w:rPr>
          <w:rFonts w:hint="eastAsia" w:ascii="宋体" w:hAnsi="宋体"/>
          <w:sz w:val="24"/>
        </w:rPr>
        <w:t>，</w:t>
      </w:r>
      <w:r>
        <w:rPr>
          <w:rFonts w:ascii="宋体" w:hAnsi="宋体"/>
          <w:sz w:val="24"/>
        </w:rPr>
        <w:t>所有培训应是免费的。</w:t>
      </w:r>
    </w:p>
    <w:p>
      <w:pPr>
        <w:pStyle w:val="145"/>
        <w:keepNext w:val="0"/>
        <w:keepLines w:val="0"/>
        <w:pageBreakBefore w:val="0"/>
        <w:widowControl w:val="0"/>
        <w:numPr>
          <w:ilvl w:val="0"/>
          <w:numId w:val="0"/>
        </w:numPr>
        <w:tabs>
          <w:tab w:val="left" w:pos="1005"/>
        </w:tabs>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lang w:val="en-US" w:eastAsia="zh-CN"/>
        </w:rPr>
        <w:t xml:space="preserve">11.2  </w:t>
      </w:r>
      <w:r>
        <w:rPr>
          <w:rFonts w:ascii="宋体" w:hAnsi="宋体"/>
          <w:sz w:val="24"/>
        </w:rPr>
        <w:t>培训结束后，投标方应保证招标方相关人员能正确、熟练地掌握标的物的操作和维护。</w:t>
      </w:r>
    </w:p>
    <w:p>
      <w:pPr>
        <w:pStyle w:val="145"/>
        <w:keepNext w:val="0"/>
        <w:keepLines w:val="0"/>
        <w:pageBreakBefore w:val="0"/>
        <w:widowControl w:val="0"/>
        <w:numPr>
          <w:ilvl w:val="0"/>
          <w:numId w:val="0"/>
        </w:numPr>
        <w:tabs>
          <w:tab w:val="left" w:pos="1005"/>
        </w:tabs>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lang w:val="en-US" w:eastAsia="zh-CN"/>
        </w:rPr>
        <w:t xml:space="preserve">11.3  </w:t>
      </w:r>
      <w:r>
        <w:rPr>
          <w:rFonts w:ascii="宋体" w:hAnsi="宋体"/>
          <w:sz w:val="24"/>
        </w:rPr>
        <w:t>培训期间的交流语言为中文，当采用其他语言时投标方应提供翻译。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hAnsi="宋体"/>
          <w:b/>
          <w:sz w:val="28"/>
          <w:szCs w:val="28"/>
          <w:lang w:val="en-US" w:eastAsia="zh-CN"/>
        </w:rPr>
      </w:pPr>
      <w:r>
        <w:rPr>
          <w:rFonts w:hint="eastAsia" w:ascii="宋体" w:hAnsi="宋体"/>
          <w:b/>
          <w:bCs w:val="0"/>
          <w:sz w:val="24"/>
          <w:szCs w:val="24"/>
          <w:lang w:val="en-US" w:eastAsia="zh-CN"/>
        </w:rPr>
        <w:t>12、质量保证期及售后服务</w:t>
      </w:r>
    </w:p>
    <w:p>
      <w:pPr>
        <w:pStyle w:val="145"/>
        <w:keepNext w:val="0"/>
        <w:keepLines w:val="0"/>
        <w:pageBreakBefore w:val="0"/>
        <w:widowControl w:val="0"/>
        <w:numPr>
          <w:ilvl w:val="0"/>
          <w:numId w:val="0"/>
        </w:numPr>
        <w:tabs>
          <w:tab w:val="left" w:pos="1020"/>
        </w:tabs>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lang w:val="en-US" w:eastAsia="zh-CN"/>
        </w:rPr>
        <w:t xml:space="preserve">12.1  </w:t>
      </w:r>
      <w:r>
        <w:rPr>
          <w:rFonts w:ascii="宋体" w:hAnsi="宋体"/>
          <w:sz w:val="24"/>
        </w:rPr>
        <w:t>质量保证期为标的最终验收合格后1</w:t>
      </w:r>
      <w:r>
        <w:rPr>
          <w:rFonts w:hint="eastAsia" w:ascii="宋体" w:hAnsi="宋体"/>
          <w:sz w:val="24"/>
        </w:rPr>
        <w:t>2</w:t>
      </w:r>
      <w:r>
        <w:rPr>
          <w:rFonts w:ascii="宋体" w:hAnsi="宋体"/>
          <w:sz w:val="24"/>
        </w:rPr>
        <w:t>个月。</w:t>
      </w:r>
      <w:r>
        <w:rPr>
          <w:rFonts w:hint="eastAsia" w:hAnsi="宋体"/>
          <w:color w:val="000000"/>
          <w:sz w:val="24"/>
        </w:rPr>
        <w:t>在正常的使用、维护保养下检具出现质量问题，厂家无条件整改合格。</w:t>
      </w:r>
    </w:p>
    <w:p>
      <w:pPr>
        <w:pStyle w:val="145"/>
        <w:keepNext w:val="0"/>
        <w:keepLines w:val="0"/>
        <w:pageBreakBefore w:val="0"/>
        <w:widowControl w:val="0"/>
        <w:numPr>
          <w:ilvl w:val="0"/>
          <w:numId w:val="0"/>
        </w:numPr>
        <w:tabs>
          <w:tab w:val="left" w:pos="1020"/>
        </w:tabs>
        <w:kinsoku/>
        <w:wordWrap/>
        <w:overflowPunct/>
        <w:topLinePunct w:val="0"/>
        <w:bidi w:val="0"/>
        <w:adjustRightInd/>
        <w:snapToGrid/>
        <w:spacing w:line="360" w:lineRule="auto"/>
        <w:ind w:firstLine="480" w:firstLineChars="200"/>
        <w:jc w:val="both"/>
        <w:textAlignment w:val="auto"/>
        <w:rPr>
          <w:rFonts w:ascii="宋体" w:hAnsi="宋体"/>
          <w:sz w:val="24"/>
        </w:rPr>
      </w:pPr>
      <w:r>
        <w:rPr>
          <w:rFonts w:hint="eastAsia" w:ascii="宋体" w:hAnsi="宋体"/>
          <w:sz w:val="24"/>
          <w:lang w:val="en-US" w:eastAsia="zh-CN"/>
        </w:rPr>
        <w:t xml:space="preserve">12.2  </w:t>
      </w:r>
      <w:r>
        <w:rPr>
          <w:rFonts w:hint="eastAsia" w:ascii="宋体" w:hAnsi="宋体"/>
          <w:sz w:val="24"/>
        </w:rPr>
        <w:t>质保期内维修使用的备品备件由投标方提供。</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ascii="仿宋_GB2312" w:hAnsi="宋体" w:eastAsia="仿宋_GB2312"/>
          <w:kern w:val="0"/>
          <w:sz w:val="24"/>
        </w:rPr>
      </w:pPr>
      <w:r>
        <w:rPr>
          <w:rFonts w:hint="eastAsia" w:ascii="宋体" w:hAnsi="宋体"/>
          <w:sz w:val="24"/>
          <w:lang w:val="en-US" w:eastAsia="zh-CN"/>
        </w:rPr>
        <w:t xml:space="preserve">12.3  </w:t>
      </w:r>
      <w:r>
        <w:rPr>
          <w:rFonts w:hint="eastAsia" w:ascii="宋体" w:hAnsi="宋体"/>
          <w:sz w:val="24"/>
        </w:rPr>
        <w:t>质保期过后，投标方提供备品备件的明细、品牌和参数，招标方根据实际需求采购。</w:t>
      </w:r>
    </w:p>
    <w:p>
      <w:pPr>
        <w:spacing w:line="360" w:lineRule="auto"/>
        <w:rPr>
          <w:rFonts w:hint="eastAsia" w:ascii="宋体" w:hAnsi="宋体" w:eastAsia="宋体" w:cs="宋体"/>
          <w:b/>
          <w:sz w:val="28"/>
          <w:szCs w:val="28"/>
          <w:lang w:eastAsia="zh-CN"/>
        </w:rPr>
      </w:pPr>
      <w:r>
        <w:rPr>
          <w:rFonts w:hint="eastAsia" w:ascii="宋体" w:hAnsi="宋体" w:cs="宋体"/>
          <w:b/>
          <w:sz w:val="28"/>
          <w:szCs w:val="28"/>
          <w:lang w:val="en-US" w:eastAsia="zh-CN"/>
        </w:rPr>
        <w:t>三</w:t>
      </w:r>
      <w:r>
        <w:rPr>
          <w:rFonts w:hint="eastAsia" w:ascii="宋体" w:hAnsi="宋体" w:eastAsia="宋体" w:cs="宋体"/>
          <w:b/>
          <w:sz w:val="28"/>
          <w:szCs w:val="28"/>
        </w:rPr>
        <w:t>、</w:t>
      </w:r>
      <w:r>
        <w:rPr>
          <w:rFonts w:hint="eastAsia" w:ascii="宋体" w:hAnsi="宋体" w:cs="宋体"/>
          <w:b/>
          <w:sz w:val="28"/>
          <w:szCs w:val="28"/>
          <w:lang w:val="en-US" w:eastAsia="zh-CN"/>
        </w:rPr>
        <w:t>交货期</w:t>
      </w:r>
    </w:p>
    <w:p>
      <w:pPr>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2023年8月30日前将模具及检具发运至招标方指定地点。</w:t>
      </w: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bookmarkEnd w:id="22"/>
    <w:p>
      <w:pPr>
        <w:spacing w:line="560" w:lineRule="exact"/>
        <w:ind w:firstLine="480" w:firstLineChars="200"/>
        <w:rPr>
          <w:rFonts w:ascii="宋体" w:hAnsi="宋体"/>
          <w:sz w:val="24"/>
        </w:rPr>
      </w:pPr>
    </w:p>
    <w:p/>
    <w:p/>
    <w:p/>
    <w:p>
      <w:pPr>
        <w:pStyle w:val="5"/>
        <w:spacing w:before="120" w:after="120" w:line="560" w:lineRule="exact"/>
        <w:rPr>
          <w:rFonts w:ascii="宋体" w:hAnsi="宋体" w:cs="宋体"/>
          <w:b w:val="0"/>
          <w:bCs w:val="0"/>
          <w:sz w:val="24"/>
          <w:szCs w:val="24"/>
        </w:rPr>
        <w:sectPr>
          <w:headerReference r:id="rId3" w:type="default"/>
          <w:footerReference r:id="rId4" w:type="default"/>
          <w:pgSz w:w="11907" w:h="16840"/>
          <w:pgMar w:top="1702" w:right="1418" w:bottom="1418" w:left="1418" w:header="851" w:footer="822" w:gutter="0"/>
          <w:cols w:space="720" w:num="1"/>
          <w:docGrid w:linePitch="290" w:charSpace="-3931"/>
        </w:sectPr>
      </w:pPr>
    </w:p>
    <w:p>
      <w:pPr>
        <w:pStyle w:val="2"/>
        <w:rPr>
          <w:rFonts w:ascii="宋体" w:hAnsi="宋体"/>
          <w:b w:val="0"/>
          <w:sz w:val="24"/>
          <w:szCs w:val="24"/>
        </w:rPr>
      </w:pPr>
      <w:bookmarkStart w:id="76" w:name="_Toc28158"/>
      <w:bookmarkStart w:id="77" w:name="_Toc1149"/>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sz w:val="40"/>
        </w:rPr>
        <w:t>设备采购合同</w:t>
      </w:r>
      <w:bookmarkEnd w:id="76"/>
      <w:bookmarkEnd w:id="77"/>
    </w:p>
    <w:p>
      <w:pPr>
        <w:wordWrap w:val="0"/>
        <w:adjustRightInd w:val="0"/>
        <w:snapToGrid w:val="0"/>
        <w:spacing w:line="360" w:lineRule="auto"/>
        <w:jc w:val="right"/>
        <w:rPr>
          <w:rFonts w:ascii="方正小标宋简体" w:hAnsi="宋体" w:eastAsia="方正小标宋简体"/>
          <w:sz w:val="24"/>
          <w:szCs w:val="24"/>
        </w:rPr>
      </w:pPr>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both"/>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pPr>
        <w:adjustRightInd w:val="0"/>
        <w:snapToGrid w:val="0"/>
        <w:spacing w:line="360" w:lineRule="auto"/>
        <w:ind w:firstLine="1906" w:firstLineChars="678"/>
        <w:jc w:val="left"/>
        <w:rPr>
          <w:rFonts w:ascii="宋体" w:hAnsi="宋体"/>
          <w:b/>
          <w:sz w:val="28"/>
          <w:szCs w:val="36"/>
        </w:rPr>
      </w:pPr>
    </w:p>
    <w:p/>
    <w:p>
      <w:pPr>
        <w:spacing w:line="360" w:lineRule="auto"/>
        <w:ind w:right="480"/>
        <w:rPr>
          <w:rFonts w:ascii="宋体" w:hAnsi="宋体" w:cs="宋体"/>
          <w:bCs/>
          <w:sz w:val="24"/>
          <w:u w:val="single"/>
        </w:rPr>
      </w:pPr>
      <w:r>
        <w:rPr>
          <w:rFonts w:hint="eastAsia" w:ascii="宋体" w:hAnsi="宋体" w:cs="宋体"/>
          <w:bCs/>
          <w:sz w:val="24"/>
        </w:rPr>
        <w:t xml:space="preserve">                                        </w:t>
      </w:r>
    </w:p>
    <w:p>
      <w:pPr>
        <w:spacing w:line="360" w:lineRule="auto"/>
        <w:rPr>
          <w:rFonts w:ascii="宋体" w:hAnsi="宋体" w:cs="宋体"/>
          <w:bCs/>
          <w:sz w:val="22"/>
          <w:szCs w:val="22"/>
        </w:rPr>
        <w:sectPr>
          <w:headerReference r:id="rId5" w:type="default"/>
          <w:footerReference r:id="rId6" w:type="default"/>
          <w:pgSz w:w="11907" w:h="16840"/>
          <w:pgMar w:top="1304" w:right="1418" w:bottom="1304" w:left="1418" w:header="724" w:footer="851" w:gutter="0"/>
          <w:cols w:space="720" w:num="1"/>
          <w:docGrid w:linePitch="290" w:charSpace="-3931"/>
        </w:sectPr>
      </w:pPr>
    </w:p>
    <w:p>
      <w:pPr>
        <w:spacing w:line="360" w:lineRule="auto"/>
        <w:rPr>
          <w:rFonts w:hint="eastAsia" w:ascii="宋体" w:hAnsi="宋体" w:eastAsia="宋体" w:cs="宋体"/>
          <w:bCs/>
          <w:sz w:val="24"/>
          <w:szCs w:val="24"/>
        </w:rPr>
      </w:pPr>
      <w:r>
        <w:rPr>
          <w:rFonts w:hint="eastAsia" w:ascii="宋体" w:hAnsi="宋体" w:eastAsia="宋体" w:cs="宋体"/>
          <w:bCs/>
          <w:sz w:val="22"/>
          <w:szCs w:val="22"/>
        </w:rPr>
        <w:t xml:space="preserve"> </w:t>
      </w:r>
      <w:r>
        <w:rPr>
          <w:rFonts w:hint="eastAsia" w:ascii="宋体" w:hAnsi="宋体" w:eastAsia="宋体" w:cs="宋体"/>
          <w:bCs/>
          <w:sz w:val="24"/>
          <w:szCs w:val="24"/>
        </w:rPr>
        <w:t>甲方（买方）：</w:t>
      </w:r>
      <w:r>
        <w:rPr>
          <w:rFonts w:hint="eastAsia" w:ascii="宋体" w:hAnsi="宋体" w:eastAsia="宋体" w:cs="宋体"/>
          <w:b/>
          <w:bCs/>
          <w:sz w:val="24"/>
          <w:szCs w:val="24"/>
          <w:u w:val="single"/>
        </w:rPr>
        <w:t xml:space="preserve">            </w:t>
      </w:r>
      <w:r>
        <w:rPr>
          <w:rFonts w:hint="eastAsia" w:ascii="宋体" w:hAnsi="宋体" w:eastAsia="宋体" w:cs="宋体"/>
          <w:bCs/>
          <w:sz w:val="24"/>
          <w:szCs w:val="24"/>
        </w:rPr>
        <w:t xml:space="preserve">      </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line="360" w:lineRule="auto"/>
        <w:ind w:right="-189" w:rightChars="-90" w:firstLine="120" w:firstLineChars="50"/>
        <w:jc w:val="left"/>
        <w:rPr>
          <w:rFonts w:hint="eastAsia" w:ascii="宋体" w:hAnsi="宋体" w:eastAsia="宋体" w:cs="宋体"/>
          <w:b/>
          <w:bCs/>
          <w:sz w:val="24"/>
          <w:szCs w:val="24"/>
          <w:u w:val="single"/>
        </w:rPr>
      </w:pPr>
      <w:r>
        <w:rPr>
          <w:rFonts w:hint="eastAsia" w:ascii="宋体" w:hAnsi="宋体" w:eastAsia="宋体" w:cs="宋体"/>
          <w:bCs/>
          <w:sz w:val="24"/>
          <w:szCs w:val="24"/>
        </w:rPr>
        <w:t>乙方（卖方）：</w:t>
      </w:r>
      <w:r>
        <w:rPr>
          <w:rFonts w:hint="eastAsia" w:ascii="宋体" w:hAnsi="宋体" w:eastAsia="宋体" w:cs="宋体"/>
          <w:b/>
          <w:bCs/>
          <w:sz w:val="24"/>
          <w:szCs w:val="24"/>
          <w:u w:val="single"/>
        </w:rPr>
        <w:t xml:space="preserve">            </w:t>
      </w:r>
    </w:p>
    <w:p>
      <w:pPr>
        <w:spacing w:line="360" w:lineRule="auto"/>
        <w:ind w:right="-189" w:rightChars="-90"/>
        <w:jc w:val="left"/>
        <w:rPr>
          <w:rFonts w:ascii="仿宋_GB2312" w:hAnsi="宋体" w:eastAsia="仿宋_GB2312" w:cs="宋体"/>
          <w:b/>
          <w:bCs/>
          <w:sz w:val="24"/>
          <w:szCs w:val="24"/>
          <w:u w:val="single"/>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本设备采购合同由甲乙双方于山东省济南市（可根据实际情况调整）签订：</w:t>
      </w:r>
    </w:p>
    <w:p>
      <w:pPr>
        <w:spacing w:line="360" w:lineRule="auto"/>
        <w:ind w:right="-189" w:rightChars="-90" w:firstLine="480" w:firstLineChars="200"/>
        <w:jc w:val="left"/>
        <w:rPr>
          <w:rFonts w:hint="eastAsia" w:ascii="宋体" w:hAnsi="宋体" w:eastAsia="宋体" w:cs="宋体"/>
          <w:sz w:val="24"/>
          <w:szCs w:val="24"/>
        </w:rPr>
      </w:pPr>
      <w:r>
        <w:rPr>
          <w:rFonts w:hint="eastAsia" w:ascii="宋体" w:hAnsi="宋体" w:eastAsia="宋体" w:cs="宋体"/>
          <w:sz w:val="24"/>
          <w:szCs w:val="24"/>
        </w:rPr>
        <w:t>鉴于，买方向卖方购买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u w:val="single"/>
        </w:rPr>
        <w:t xml:space="preserve">   </w:t>
      </w:r>
      <w:r>
        <w:rPr>
          <w:rFonts w:hint="eastAsia" w:ascii="宋体" w:hAnsi="宋体" w:eastAsia="宋体" w:cs="宋体"/>
          <w:sz w:val="24"/>
          <w:szCs w:val="24"/>
        </w:rPr>
        <w:t>设备</w:t>
      </w:r>
      <w:r>
        <w:rPr>
          <w:rFonts w:hint="eastAsia" w:ascii="宋体" w:hAnsi="宋体" w:eastAsia="宋体" w:cs="宋体"/>
          <w:sz w:val="24"/>
          <w:szCs w:val="24"/>
          <w:u w:val="single"/>
        </w:rPr>
        <w:t xml:space="preserve">    </w:t>
      </w:r>
      <w:r>
        <w:rPr>
          <w:rFonts w:hint="eastAsia" w:ascii="宋体" w:hAnsi="宋体" w:eastAsia="宋体" w:cs="宋体"/>
          <w:sz w:val="24"/>
          <w:szCs w:val="24"/>
        </w:rPr>
        <w:t>台（套），就该设备的设计、制造、运输、定点卸货、安装（或指导安装）、调试、验收、培训及售后服务等有关问题，以上所列内容经买卖双方协商自愿达成本合同：</w:t>
      </w:r>
    </w:p>
    <w:p>
      <w:pPr>
        <w:pStyle w:val="2"/>
        <w:spacing w:before="240" w:beforeLines="100"/>
        <w:ind w:left="0" w:firstLine="529" w:firstLineChars="189"/>
        <w:jc w:val="both"/>
        <w:rPr>
          <w:rFonts w:ascii="黑体" w:hAnsi="黑体" w:eastAsia="黑体" w:cstheme="minorEastAsia"/>
          <w:b w:val="0"/>
          <w:sz w:val="28"/>
          <w:szCs w:val="28"/>
        </w:rPr>
      </w:pPr>
      <w:bookmarkStart w:id="78" w:name="_Toc11930"/>
      <w:bookmarkStart w:id="79" w:name="_Toc11823"/>
      <w:bookmarkStart w:id="80" w:name="_Toc16330018"/>
      <w:bookmarkStart w:id="81" w:name="_Toc18886"/>
      <w:bookmarkStart w:id="82" w:name="_Toc17619"/>
      <w:bookmarkStart w:id="83" w:name="_Toc8928"/>
      <w:r>
        <w:rPr>
          <w:rFonts w:hint="eastAsia" w:ascii="黑体" w:hAnsi="黑体" w:eastAsia="黑体" w:cstheme="minorEastAsia"/>
          <w:b w:val="0"/>
          <w:sz w:val="28"/>
          <w:szCs w:val="28"/>
        </w:rPr>
        <w:t>1 合同设备</w:t>
      </w:r>
      <w:bookmarkEnd w:id="78"/>
      <w:bookmarkEnd w:id="79"/>
      <w:bookmarkEnd w:id="80"/>
      <w:bookmarkEnd w:id="81"/>
      <w:bookmarkEnd w:id="82"/>
      <w:bookmarkEnd w:id="83"/>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1.1买方向卖方购买的设备信息见附件一：《设备清单明细表》</w:t>
      </w:r>
    </w:p>
    <w:p>
      <w:pPr>
        <w:spacing w:line="360" w:lineRule="auto"/>
        <w:ind w:firstLine="453" w:firstLineChars="189"/>
        <w:rPr>
          <w:rFonts w:hint="eastAsia" w:ascii="宋体" w:hAnsi="宋体" w:eastAsia="宋体" w:cs="宋体"/>
          <w:sz w:val="24"/>
          <w:szCs w:val="24"/>
        </w:rPr>
      </w:pPr>
      <w:bookmarkStart w:id="84" w:name="_Toc22800"/>
      <w:bookmarkStart w:id="85" w:name="_Toc29026"/>
      <w:bookmarkStart w:id="86" w:name="_Toc32510"/>
      <w:r>
        <w:rPr>
          <w:rFonts w:hint="eastAsia" w:ascii="宋体" w:hAnsi="宋体" w:eastAsia="宋体" w:cs="宋体"/>
          <w:sz w:val="24"/>
          <w:szCs w:val="24"/>
        </w:rPr>
        <w:t>1.2技术规格和标准</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1.2.1本合同约定设备的技术规格详见附件二《技术协议书》。</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1.3在设备所有权转移到买方之前，有关设备的保险由卖方负责办理并承担保险费用。</w:t>
      </w:r>
    </w:p>
    <w:p>
      <w:pPr>
        <w:pStyle w:val="2"/>
        <w:spacing w:before="240" w:beforeLines="100"/>
        <w:ind w:left="0" w:firstLine="529" w:firstLineChars="189"/>
        <w:jc w:val="both"/>
        <w:rPr>
          <w:rFonts w:ascii="黑体" w:hAnsi="黑体" w:eastAsia="黑体" w:cstheme="minorEastAsia"/>
          <w:b w:val="0"/>
          <w:sz w:val="28"/>
          <w:szCs w:val="28"/>
        </w:rPr>
      </w:pPr>
      <w:bookmarkStart w:id="87" w:name="_Toc16330019"/>
      <w:bookmarkStart w:id="88" w:name="_Toc21647"/>
      <w:bookmarkStart w:id="89" w:name="_Toc32006"/>
      <w:r>
        <w:rPr>
          <w:rFonts w:hint="eastAsia" w:ascii="黑体" w:hAnsi="黑体" w:eastAsia="黑体" w:cstheme="minorEastAsia"/>
          <w:b w:val="0"/>
          <w:sz w:val="28"/>
          <w:szCs w:val="28"/>
        </w:rPr>
        <w:t>2 包装</w:t>
      </w:r>
      <w:bookmarkEnd w:id="84"/>
      <w:bookmarkEnd w:id="85"/>
      <w:bookmarkEnd w:id="86"/>
      <w:bookmarkEnd w:id="87"/>
      <w:bookmarkEnd w:id="88"/>
      <w:bookmarkEnd w:id="89"/>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2.2每件包装应附有详细的装箱单和质量证书各两套，一套在包装箱里，一套在包装箱外。</w:t>
      </w:r>
    </w:p>
    <w:p>
      <w:pPr>
        <w:pStyle w:val="2"/>
        <w:spacing w:before="240" w:beforeLines="100"/>
        <w:ind w:left="0" w:firstLine="529" w:firstLineChars="189"/>
        <w:jc w:val="both"/>
        <w:rPr>
          <w:rFonts w:ascii="黑体" w:hAnsi="黑体" w:eastAsia="黑体" w:cstheme="minorEastAsia"/>
          <w:b w:val="0"/>
          <w:sz w:val="28"/>
          <w:szCs w:val="28"/>
        </w:rPr>
      </w:pPr>
      <w:bookmarkStart w:id="90" w:name="_Toc16330020"/>
      <w:bookmarkStart w:id="91" w:name="_Toc2946"/>
      <w:bookmarkStart w:id="92" w:name="_Toc2833"/>
      <w:bookmarkStart w:id="93" w:name="_Toc27453"/>
      <w:bookmarkStart w:id="94" w:name="_Toc27144"/>
      <w:bookmarkStart w:id="95" w:name="_Toc23125"/>
      <w:r>
        <w:rPr>
          <w:rFonts w:hint="eastAsia" w:ascii="黑体" w:hAnsi="黑体" w:eastAsia="黑体" w:cstheme="minorEastAsia"/>
          <w:b w:val="0"/>
          <w:sz w:val="28"/>
          <w:szCs w:val="28"/>
        </w:rPr>
        <w:t>3 运输标记</w:t>
      </w:r>
      <w:bookmarkEnd w:id="90"/>
      <w:bookmarkEnd w:id="91"/>
      <w:bookmarkEnd w:id="92"/>
      <w:bookmarkEnd w:id="93"/>
      <w:bookmarkEnd w:id="94"/>
      <w:bookmarkEnd w:id="95"/>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3.1卖方应在每一包装箱邻近的四个侧面用不易褪色的油漆以醒目的中文印刷字体标明以下各项：</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3.1.1收货人</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3.1.2合同号</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3.1.3发货标记（唛头）</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3.1.4设备的名称、品目号、箱号</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3.1.5毛重/净重（公斤）</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3.1.6尺寸（长×宽×高，以厘米计）</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spacing w:before="240" w:beforeLines="100"/>
        <w:ind w:left="0" w:firstLine="529" w:firstLineChars="189"/>
        <w:jc w:val="both"/>
        <w:rPr>
          <w:rFonts w:ascii="黑体" w:hAnsi="黑体" w:eastAsia="黑体" w:cstheme="minorEastAsia"/>
          <w:b w:val="0"/>
          <w:sz w:val="28"/>
          <w:szCs w:val="28"/>
        </w:rPr>
      </w:pPr>
      <w:bookmarkStart w:id="96" w:name="_Toc7431"/>
      <w:bookmarkStart w:id="97" w:name="_Toc10630"/>
      <w:bookmarkStart w:id="98" w:name="_Toc2992"/>
      <w:bookmarkStart w:id="99" w:name="_Toc16330021"/>
      <w:bookmarkStart w:id="100" w:name="_Toc16133"/>
      <w:bookmarkStart w:id="101" w:name="_Toc7186"/>
      <w:r>
        <w:rPr>
          <w:rFonts w:hint="eastAsia" w:ascii="黑体" w:hAnsi="黑体" w:eastAsia="黑体" w:cstheme="minorEastAsia"/>
          <w:b w:val="0"/>
          <w:sz w:val="28"/>
          <w:szCs w:val="28"/>
        </w:rPr>
        <w:t>4 检验</w:t>
      </w:r>
      <w:bookmarkEnd w:id="96"/>
      <w:bookmarkEnd w:id="97"/>
      <w:bookmarkEnd w:id="98"/>
      <w:bookmarkEnd w:id="99"/>
      <w:bookmarkEnd w:id="100"/>
      <w:bookmarkEnd w:id="101"/>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4.2国家强制检验检测的设备，需要经过国家有关部门进行检验检测，卖方保证提供的设备通过其检验并承担费用。</w:t>
      </w:r>
    </w:p>
    <w:p>
      <w:pPr>
        <w:pStyle w:val="2"/>
        <w:spacing w:before="240" w:beforeLines="100"/>
        <w:ind w:left="0" w:firstLine="529" w:firstLineChars="189"/>
        <w:jc w:val="both"/>
        <w:rPr>
          <w:rFonts w:ascii="黑体" w:hAnsi="黑体" w:eastAsia="黑体" w:cstheme="minorEastAsia"/>
          <w:b w:val="0"/>
          <w:sz w:val="28"/>
          <w:szCs w:val="28"/>
        </w:rPr>
      </w:pPr>
      <w:bookmarkStart w:id="102" w:name="_Toc16330022"/>
      <w:bookmarkStart w:id="103" w:name="_Toc11217"/>
      <w:bookmarkStart w:id="104" w:name="_Toc23363"/>
      <w:bookmarkStart w:id="105" w:name="_Toc19850"/>
      <w:bookmarkStart w:id="106" w:name="_Toc24467"/>
      <w:bookmarkStart w:id="107" w:name="_Toc13072"/>
      <w:r>
        <w:rPr>
          <w:rFonts w:hint="eastAsia" w:ascii="黑体" w:hAnsi="黑体" w:eastAsia="黑体" w:cstheme="minorEastAsia"/>
          <w:b w:val="0"/>
          <w:sz w:val="28"/>
          <w:szCs w:val="28"/>
        </w:rPr>
        <w:t>5 权利担保</w:t>
      </w:r>
      <w:bookmarkEnd w:id="102"/>
      <w:bookmarkEnd w:id="103"/>
      <w:bookmarkEnd w:id="104"/>
      <w:bookmarkEnd w:id="105"/>
      <w:bookmarkEnd w:id="106"/>
      <w:bookmarkEnd w:id="107"/>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5.2卖方应保证第三方对其提交的设备不得以侵权或其他类似理由提出合法要求，如侵犯知识产权等。</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5.4买方应在已知道第三方的权利或要求后的一段合理时间内，将此权利或要求的性质通知卖方。</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spacing w:before="240" w:beforeLines="100"/>
        <w:ind w:left="0" w:firstLine="529" w:firstLineChars="189"/>
        <w:jc w:val="both"/>
        <w:rPr>
          <w:rFonts w:ascii="黑体" w:hAnsi="黑体" w:eastAsia="黑体" w:cstheme="minorEastAsia"/>
          <w:b w:val="0"/>
          <w:sz w:val="28"/>
          <w:szCs w:val="28"/>
        </w:rPr>
      </w:pPr>
      <w:bookmarkStart w:id="108" w:name="_Toc32417"/>
      <w:bookmarkStart w:id="109" w:name="_Toc16330023"/>
      <w:bookmarkStart w:id="110" w:name="_Toc27500"/>
      <w:bookmarkStart w:id="111" w:name="_Toc11759"/>
      <w:bookmarkStart w:id="112" w:name="_Toc14809"/>
      <w:bookmarkStart w:id="113" w:name="_Toc24035"/>
      <w:r>
        <w:rPr>
          <w:rFonts w:hint="eastAsia" w:ascii="黑体" w:hAnsi="黑体" w:eastAsia="黑体" w:cstheme="minorEastAsia"/>
          <w:b w:val="0"/>
          <w:sz w:val="28"/>
          <w:szCs w:val="28"/>
        </w:rPr>
        <w:t>6 交货</w:t>
      </w:r>
      <w:bookmarkEnd w:id="108"/>
      <w:bookmarkEnd w:id="109"/>
      <w:bookmarkEnd w:id="110"/>
      <w:bookmarkEnd w:id="111"/>
      <w:bookmarkEnd w:id="112"/>
      <w:bookmarkEnd w:id="113"/>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hint="eastAsia" w:ascii="宋体" w:hAnsi="宋体" w:eastAsia="宋体" w:cs="宋体"/>
          <w:i/>
          <w:iCs/>
          <w:sz w:val="24"/>
          <w:szCs w:val="24"/>
          <w:u w:val="double"/>
          <w:lang w:val="en-US" w:eastAsia="zh-CN"/>
        </w:rPr>
      </w:pPr>
      <w:r>
        <w:rPr>
          <w:rFonts w:hint="eastAsia" w:ascii="宋体" w:hAnsi="宋体" w:eastAsia="宋体" w:cs="宋体"/>
          <w:sz w:val="24"/>
          <w:szCs w:val="24"/>
        </w:rPr>
        <w:t>6.4交货方式</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iCs/>
          <w:sz w:val="24"/>
          <w:szCs w:val="24"/>
          <w:u w:val="single"/>
        </w:rPr>
        <w:t>（可选择6.4.1-6.4.3定义的方式或根据实际约定）</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6.4.1交钥匙方式：卖方负责合同设备的设计、制造、运输、定点卸货、安装、调试、培训及售后服务等所有内容，直至买方验收合格并交付使用。</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6.4.3自提：买方依照合同约定到卖方所在地提取合同设备，经买方根据合同所约定的数量、型号及配置等内容逐一确认无误后，双方完成交付手续。</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6.5交货地点：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6.6到货时间：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日前</w:t>
      </w:r>
      <w:r>
        <w:rPr>
          <w:rFonts w:hint="eastAsia" w:ascii="宋体" w:hAnsi="宋体" w:eastAsia="宋体" w:cs="宋体"/>
          <w:sz w:val="24"/>
          <w:szCs w:val="24"/>
        </w:rPr>
        <w:t xml:space="preserve">         </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6.8如果卖方在规定的日期前交付设备，需经买方书面同意。</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6.9风险的转移：</w:t>
      </w:r>
    </w:p>
    <w:p>
      <w:pPr>
        <w:spacing w:line="360" w:lineRule="auto"/>
        <w:ind w:firstLine="453" w:firstLineChars="189"/>
        <w:rPr>
          <w:rFonts w:hint="eastAsia" w:ascii="宋体" w:hAnsi="宋体" w:eastAsia="宋体" w:cs="宋体"/>
          <w:sz w:val="20"/>
          <w:szCs w:val="20"/>
        </w:rPr>
      </w:pPr>
      <w:r>
        <w:rPr>
          <w:rFonts w:hint="eastAsia" w:ascii="宋体" w:hAnsi="宋体" w:eastAsia="宋体"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spacing w:before="240" w:beforeLines="100"/>
        <w:ind w:left="0" w:firstLine="529" w:firstLineChars="189"/>
        <w:jc w:val="both"/>
        <w:rPr>
          <w:rFonts w:ascii="黑体" w:hAnsi="黑体" w:eastAsia="黑体" w:cstheme="minorEastAsia"/>
          <w:b w:val="0"/>
          <w:sz w:val="28"/>
          <w:szCs w:val="28"/>
        </w:rPr>
      </w:pPr>
      <w:bookmarkStart w:id="114" w:name="_Toc8024"/>
      <w:bookmarkStart w:id="115" w:name="_Toc2984"/>
      <w:bookmarkStart w:id="116" w:name="_Toc5876"/>
      <w:bookmarkStart w:id="117" w:name="_Toc16330024"/>
      <w:bookmarkStart w:id="118" w:name="_Toc25510"/>
      <w:bookmarkStart w:id="119" w:name="_Toc16562"/>
      <w:r>
        <w:rPr>
          <w:rFonts w:hint="eastAsia" w:ascii="黑体" w:hAnsi="黑体" w:eastAsia="黑体" w:cstheme="minorEastAsia"/>
          <w:b w:val="0"/>
          <w:sz w:val="28"/>
          <w:szCs w:val="28"/>
        </w:rPr>
        <w:t>7 安装、调试</w:t>
      </w:r>
      <w:bookmarkEnd w:id="114"/>
      <w:bookmarkEnd w:id="115"/>
      <w:bookmarkEnd w:id="116"/>
      <w:bookmarkEnd w:id="117"/>
      <w:bookmarkEnd w:id="118"/>
      <w:bookmarkEnd w:id="119"/>
    </w:p>
    <w:p>
      <w:pPr>
        <w:pStyle w:val="26"/>
        <w:keepNext w:val="0"/>
        <w:keepLines w:val="0"/>
        <w:pageBreakBefore w:val="0"/>
        <w:widowControl w:val="0"/>
        <w:kinsoku/>
        <w:wordWrap/>
        <w:overflowPunct/>
        <w:topLinePunct w:val="0"/>
        <w:autoSpaceDE/>
        <w:autoSpaceDN/>
        <w:bidi w:val="0"/>
        <w:adjustRightInd/>
        <w:snapToGrid/>
        <w:spacing w:after="0" w:line="360" w:lineRule="auto"/>
        <w:ind w:firstLine="453" w:firstLineChars="189"/>
        <w:textAlignment w:val="auto"/>
        <w:rPr>
          <w:rFonts w:hint="eastAsia" w:ascii="宋体" w:hAnsi="宋体" w:eastAsia="宋体" w:cs="宋体"/>
          <w:sz w:val="24"/>
          <w:szCs w:val="24"/>
        </w:rPr>
      </w:pPr>
      <w:r>
        <w:rPr>
          <w:rFonts w:hint="eastAsia" w:ascii="宋体" w:hAnsi="宋体" w:eastAsia="宋体" w:cs="宋体"/>
          <w:sz w:val="24"/>
          <w:szCs w:val="24"/>
        </w:rPr>
        <w:t>7.1 卖方须在到货后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日内安装调试完成。</w:t>
      </w:r>
    </w:p>
    <w:p>
      <w:pPr>
        <w:keepNext w:val="0"/>
        <w:keepLines w:val="0"/>
        <w:pageBreakBefore w:val="0"/>
        <w:widowControl w:val="0"/>
        <w:kinsoku/>
        <w:wordWrap/>
        <w:overflowPunct/>
        <w:topLinePunct w:val="0"/>
        <w:autoSpaceDE/>
        <w:autoSpaceDN/>
        <w:bidi w:val="0"/>
        <w:adjustRightInd/>
        <w:snapToGrid/>
        <w:spacing w:line="360" w:lineRule="auto"/>
        <w:ind w:firstLine="453" w:firstLineChars="189"/>
        <w:textAlignment w:val="auto"/>
        <w:rPr>
          <w:rFonts w:hint="eastAsia" w:ascii="宋体" w:hAnsi="宋体" w:eastAsia="宋体" w:cs="宋体"/>
          <w:sz w:val="24"/>
          <w:szCs w:val="24"/>
        </w:rPr>
      </w:pPr>
      <w:r>
        <w:rPr>
          <w:rFonts w:hint="eastAsia" w:ascii="宋体" w:hAnsi="宋体" w:eastAsia="宋体" w:cs="宋体"/>
          <w:sz w:val="24"/>
          <w:szCs w:val="24"/>
        </w:rPr>
        <w:t>7.2卖方应自带用以安装、调试过程中所需的各种工具、仪器、仪表及易损件。在安装、调试过程中，卖方应自负其工作人员的食宿、交通等费用。</w:t>
      </w:r>
    </w:p>
    <w:p>
      <w:pPr>
        <w:keepNext w:val="0"/>
        <w:keepLines w:val="0"/>
        <w:pageBreakBefore w:val="0"/>
        <w:widowControl w:val="0"/>
        <w:kinsoku/>
        <w:wordWrap/>
        <w:overflowPunct/>
        <w:topLinePunct w:val="0"/>
        <w:autoSpaceDE/>
        <w:autoSpaceDN/>
        <w:bidi w:val="0"/>
        <w:adjustRightInd/>
        <w:snapToGrid/>
        <w:spacing w:line="360" w:lineRule="auto"/>
        <w:ind w:firstLine="453" w:firstLineChars="189"/>
        <w:textAlignment w:val="auto"/>
        <w:rPr>
          <w:rFonts w:hint="eastAsia" w:ascii="宋体" w:hAnsi="宋体" w:eastAsia="宋体" w:cs="宋体"/>
          <w:sz w:val="24"/>
          <w:szCs w:val="24"/>
        </w:rPr>
      </w:pPr>
      <w:r>
        <w:rPr>
          <w:rFonts w:hint="eastAsia" w:ascii="宋体" w:hAnsi="宋体" w:eastAsia="宋体" w:cs="宋体"/>
          <w:sz w:val="24"/>
          <w:szCs w:val="24"/>
        </w:rPr>
        <w:t>7.3在安装、调试过程中，安装场地及施工人员安全，由卖方负责。由于安装、调试等原因造成买方或他人人身损害或财产损失的，由卖方承担赔偿责任。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53" w:firstLineChars="189"/>
        <w:textAlignment w:val="auto"/>
        <w:rPr>
          <w:rFonts w:hint="eastAsia" w:ascii="宋体" w:hAnsi="宋体" w:eastAsia="宋体" w:cs="宋体"/>
          <w:sz w:val="24"/>
          <w:szCs w:val="24"/>
        </w:rPr>
      </w:pPr>
      <w:r>
        <w:rPr>
          <w:rFonts w:hint="eastAsia" w:ascii="宋体" w:hAnsi="宋体" w:eastAsia="宋体" w:cs="宋体"/>
          <w:sz w:val="24"/>
          <w:szCs w:val="24"/>
        </w:rPr>
        <w:t>7.4</w:t>
      </w:r>
      <w:r>
        <w:rPr>
          <w:rFonts w:hint="eastAsia" w:ascii="宋体" w:hAnsi="宋体" w:eastAsia="宋体" w:cs="宋体"/>
          <w:bCs/>
          <w:sz w:val="24"/>
          <w:szCs w:val="24"/>
        </w:rPr>
        <w:t xml:space="preserve"> </w:t>
      </w:r>
      <w:r>
        <w:rPr>
          <w:rFonts w:hint="eastAsia" w:ascii="宋体" w:hAnsi="宋体" w:eastAsia="宋体" w:cs="宋体"/>
          <w:sz w:val="24"/>
          <w:szCs w:val="24"/>
        </w:rPr>
        <w:t>卖方须对安装、调试过程中造成的买方或他人人身损害或财产损失承担赔偿责任。</w:t>
      </w:r>
    </w:p>
    <w:p>
      <w:pPr>
        <w:pStyle w:val="2"/>
        <w:spacing w:before="240" w:beforeLines="100"/>
        <w:ind w:left="0" w:firstLine="529" w:firstLineChars="189"/>
        <w:jc w:val="both"/>
        <w:rPr>
          <w:rFonts w:ascii="黑体" w:hAnsi="黑体" w:eastAsia="黑体" w:cstheme="minorEastAsia"/>
          <w:b w:val="0"/>
          <w:sz w:val="28"/>
          <w:szCs w:val="28"/>
        </w:rPr>
      </w:pPr>
      <w:bookmarkStart w:id="120" w:name="_Toc23717"/>
      <w:bookmarkStart w:id="121" w:name="_Toc16330025"/>
      <w:bookmarkStart w:id="122" w:name="_Toc14260"/>
      <w:bookmarkStart w:id="123" w:name="_Toc6350"/>
      <w:bookmarkStart w:id="124" w:name="_Toc14098"/>
      <w:bookmarkStart w:id="125" w:name="_Toc5722"/>
      <w:r>
        <w:rPr>
          <w:rFonts w:hint="eastAsia" w:ascii="黑体" w:hAnsi="黑体" w:eastAsia="黑体" w:cstheme="minorEastAsia"/>
          <w:b w:val="0"/>
          <w:sz w:val="28"/>
          <w:szCs w:val="28"/>
        </w:rPr>
        <w:t>8 价款与支付</w:t>
      </w:r>
      <w:bookmarkEnd w:id="120"/>
      <w:bookmarkEnd w:id="121"/>
      <w:bookmarkEnd w:id="122"/>
      <w:bookmarkEnd w:id="123"/>
      <w:bookmarkEnd w:id="124"/>
      <w:bookmarkEnd w:id="125"/>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8.1本合同不含税总价为人民币¥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），增值税税率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元，含税总价</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），如国家出台新政策对增值税率进行了调整，则不含税价款不变，本合同含税总价在不含税价基础上根据国家最新税法进行相应的调整。</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8.2合同价款的结算方式：</w:t>
      </w:r>
      <w:r>
        <w:rPr>
          <w:rFonts w:hint="eastAsia" w:ascii="宋体" w:hAnsi="宋体" w:eastAsia="宋体" w:cs="宋体"/>
          <w:sz w:val="24"/>
          <w:szCs w:val="24"/>
          <w:lang w:val="en-US" w:eastAsia="zh-CN"/>
        </w:rPr>
        <w:t>半年期商业汇票（包括银行承兑汇票和商业承兑汇票）</w:t>
      </w:r>
      <w:r>
        <w:rPr>
          <w:rFonts w:hint="eastAsia" w:ascii="宋体" w:hAnsi="宋体" w:eastAsia="宋体" w:cs="宋体"/>
          <w:sz w:val="24"/>
          <w:szCs w:val="24"/>
        </w:rPr>
        <w:t xml:space="preserve">           </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8.3合同价款的支付：（如有不同付款比例，则按照招标文件约定据实填写）</w:t>
      </w:r>
    </w:p>
    <w:p>
      <w:pPr>
        <w:spacing w:line="360" w:lineRule="auto"/>
        <w:ind w:firstLine="453" w:firstLineChars="189"/>
        <w:rPr>
          <w:rFonts w:hint="eastAsia" w:ascii="宋体" w:hAnsi="宋体" w:eastAsia="宋体" w:cs="宋体"/>
          <w:sz w:val="24"/>
          <w:szCs w:val="24"/>
          <w:lang w:val="en-US" w:eastAsia="zh-CN"/>
        </w:rPr>
      </w:pPr>
      <w:r>
        <w:rPr>
          <w:rFonts w:hint="eastAsia" w:ascii="宋体" w:hAnsi="宋体" w:eastAsia="宋体" w:cs="宋体"/>
          <w:kern w:val="2"/>
          <w:sz w:val="24"/>
          <w:szCs w:val="21"/>
          <w:lang w:val="en-US" w:eastAsia="zh-CN" w:bidi="ar-SA"/>
        </w:rPr>
        <w:t>8.3</w:t>
      </w:r>
      <w:r>
        <w:rPr>
          <w:rFonts w:hint="eastAsia" w:ascii="宋体" w:hAnsi="宋体" w:eastAsia="宋体" w:cs="宋体"/>
          <w:sz w:val="24"/>
          <w:szCs w:val="24"/>
          <w:lang w:val="en-US" w:eastAsia="zh-CN"/>
        </w:rPr>
        <w:t>.1合同生效，方案会签完成之后，铸件投入制作之前，卖方提交金额为合同总价款30 %的增值税专用发票（税率13%,正本一份，复印件二份），经买方依照财务制度审核无误后支付。</w:t>
      </w:r>
    </w:p>
    <w:p>
      <w:pPr>
        <w:spacing w:line="360" w:lineRule="auto"/>
        <w:ind w:firstLine="453" w:firstLineChars="18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8.3.2模具预验收合格后，发货前卖方提交金额为合同总价款30 %的增值税专用发票（税率13%,正本一份，复印件二份），经买方依照财务制度审核无误后支付。</w:t>
      </w:r>
    </w:p>
    <w:p>
      <w:pPr>
        <w:spacing w:line="360" w:lineRule="auto"/>
        <w:ind w:firstLine="453" w:firstLineChars="18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8.3.3设备全部到齐无质量问题，经安装、调试最终验收合格后，卖方提交金额为合同总价款的 40%的增值税专用发票（税率13%,正本一份，复印件二份），并附带该套合同设备最终验收报告的原件及其复印件两份，经买方依照财务制度审核无误后支付合同总价款30%的验收款。</w:t>
      </w:r>
    </w:p>
    <w:p>
      <w:pPr>
        <w:spacing w:line="360" w:lineRule="auto"/>
        <w:ind w:firstLine="453" w:firstLineChars="189"/>
        <w:rPr>
          <w:rFonts w:hint="eastAsia" w:ascii="宋体" w:hAnsi="宋体" w:eastAsia="宋体" w:cs="宋体"/>
          <w:sz w:val="20"/>
          <w:szCs w:val="20"/>
        </w:rPr>
      </w:pPr>
      <w:r>
        <w:rPr>
          <w:rFonts w:hint="eastAsia" w:ascii="宋体" w:hAnsi="宋体" w:eastAsia="宋体" w:cs="宋体"/>
          <w:sz w:val="24"/>
          <w:szCs w:val="24"/>
          <w:lang w:val="en-US" w:eastAsia="zh-CN"/>
        </w:rPr>
        <w:t>8.3.4合同总价款的 10 %作为本合同约定设备的质量保证金，质量保证金在质量保证期内不计利息。待每套合同设备质量保证期满后，卖方向买方提交金额为合同总价款10%的收据（正本一份，复印件二份）及设备使用单位或设备管理单位的使用情况说明，经买方依照财务制度审核无误后支付。如有质量问题，质量保证金予以相应扣除。</w:t>
      </w:r>
    </w:p>
    <w:p>
      <w:pPr>
        <w:pStyle w:val="2"/>
        <w:spacing w:before="240" w:beforeLines="100"/>
        <w:ind w:left="0" w:firstLine="529" w:firstLineChars="189"/>
        <w:jc w:val="both"/>
        <w:rPr>
          <w:rFonts w:ascii="黑体" w:hAnsi="黑体" w:eastAsia="黑体" w:cstheme="minorEastAsia"/>
          <w:b w:val="0"/>
          <w:sz w:val="28"/>
          <w:szCs w:val="28"/>
        </w:rPr>
      </w:pPr>
      <w:bookmarkStart w:id="126" w:name="_Toc16330026"/>
      <w:bookmarkStart w:id="127" w:name="_Toc24085"/>
      <w:bookmarkStart w:id="128" w:name="_Toc24006"/>
      <w:bookmarkStart w:id="129" w:name="_Toc6726"/>
      <w:bookmarkStart w:id="130" w:name="_Toc25708"/>
      <w:bookmarkStart w:id="131" w:name="_Toc25431"/>
      <w:r>
        <w:rPr>
          <w:rFonts w:hint="eastAsia" w:ascii="黑体" w:hAnsi="黑体" w:eastAsia="黑体" w:cstheme="minorEastAsia"/>
          <w:b w:val="0"/>
          <w:sz w:val="28"/>
          <w:szCs w:val="28"/>
        </w:rPr>
        <w:t>9 质量保证及售后服务</w:t>
      </w:r>
      <w:bookmarkEnd w:id="126"/>
      <w:bookmarkEnd w:id="127"/>
      <w:bookmarkEnd w:id="128"/>
      <w:bookmarkEnd w:id="129"/>
      <w:bookmarkEnd w:id="130"/>
      <w:bookmarkEnd w:id="131"/>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9.4本合同约定设备的质量保证期：自最终验收报告签署之日（以签署日期最晚者为准）起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9.7质量保证期满后，卖方保证向买方提供及时的、质优的、价格优惠的技术服务和备品备件供应。</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9.8质量保证期满后，如出现质量问题，卖方也应及时修复和更换，且只收取成本费，费用由买方承担，卖方对设备质量问题所负的责任直到设备使用寿命周期结束。</w:t>
      </w:r>
    </w:p>
    <w:p>
      <w:pPr>
        <w:pStyle w:val="2"/>
        <w:spacing w:before="240" w:beforeLines="100"/>
        <w:ind w:left="0" w:firstLine="529" w:firstLineChars="189"/>
        <w:jc w:val="both"/>
        <w:rPr>
          <w:rFonts w:ascii="黑体" w:hAnsi="黑体" w:eastAsia="黑体" w:cstheme="minorEastAsia"/>
          <w:b w:val="0"/>
          <w:sz w:val="28"/>
          <w:szCs w:val="28"/>
        </w:rPr>
      </w:pPr>
      <w:bookmarkStart w:id="132" w:name="_Toc12927"/>
      <w:bookmarkStart w:id="133" w:name="_Toc10553"/>
      <w:bookmarkStart w:id="134" w:name="_Toc15570"/>
      <w:bookmarkStart w:id="135" w:name="_Toc16330027"/>
      <w:bookmarkStart w:id="136" w:name="_Toc10359"/>
      <w:bookmarkStart w:id="137" w:name="_Toc31222"/>
      <w:r>
        <w:rPr>
          <w:rFonts w:hint="eastAsia" w:ascii="黑体" w:hAnsi="黑体" w:eastAsia="黑体" w:cstheme="minorEastAsia"/>
          <w:b w:val="0"/>
          <w:sz w:val="28"/>
          <w:szCs w:val="28"/>
        </w:rPr>
        <w:t>10法定责任</w:t>
      </w:r>
      <w:bookmarkEnd w:id="132"/>
      <w:bookmarkEnd w:id="133"/>
      <w:bookmarkEnd w:id="134"/>
      <w:bookmarkEnd w:id="135"/>
      <w:bookmarkEnd w:id="136"/>
      <w:bookmarkEnd w:id="137"/>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10.2除非本合同中另有规定或买方同意，卖方不得全部或部分转让本合同项下的权利义务。</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10.4除对方预先书面同意外，任何一方在本合同签订和履行期间或本合同终止后不得向第三方披露在本合同履行过程中知悉的与对方有关的任何商业秘密。</w:t>
      </w:r>
    </w:p>
    <w:p>
      <w:pPr>
        <w:pStyle w:val="2"/>
        <w:spacing w:before="240" w:beforeLines="100"/>
        <w:ind w:left="0" w:firstLine="529" w:firstLineChars="189"/>
        <w:jc w:val="both"/>
        <w:rPr>
          <w:rFonts w:ascii="黑体" w:hAnsi="黑体" w:eastAsia="黑体" w:cstheme="minorEastAsia"/>
          <w:b w:val="0"/>
          <w:sz w:val="28"/>
          <w:szCs w:val="28"/>
        </w:rPr>
      </w:pPr>
      <w:bookmarkStart w:id="138" w:name="_Toc27314"/>
      <w:bookmarkStart w:id="139" w:name="_Toc16330028"/>
      <w:bookmarkStart w:id="140" w:name="_Toc9708"/>
      <w:bookmarkStart w:id="141" w:name="_Toc18951"/>
      <w:bookmarkStart w:id="142" w:name="_Toc30381"/>
      <w:bookmarkStart w:id="143" w:name="_Toc18181"/>
      <w:r>
        <w:rPr>
          <w:rFonts w:hint="eastAsia" w:ascii="黑体" w:hAnsi="黑体" w:eastAsia="黑体" w:cstheme="minorEastAsia"/>
          <w:b w:val="0"/>
          <w:sz w:val="28"/>
          <w:szCs w:val="28"/>
        </w:rPr>
        <w:t>11 违约责任</w:t>
      </w:r>
      <w:bookmarkEnd w:id="138"/>
      <w:bookmarkEnd w:id="139"/>
      <w:bookmarkEnd w:id="140"/>
      <w:bookmarkEnd w:id="141"/>
      <w:bookmarkEnd w:id="142"/>
      <w:bookmarkEnd w:id="143"/>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11.1.2根据设备的瑕疵和受损程度以及买方遭受损失的金额，经买方同意降低设备价格。</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11.5买方延期付款时（有正当拒付理由者除外），每日按延付金额的 3 ‰向卖方偿付延期付款违约金，但违约金总额不超过延付金额的 50 ‰。</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 ‰的违约金（合同额不足10万元按照2000元/天计取），且不免除维修的责任。违约金在质保金中扣除。</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11.7如果卖方违反本合同其他约定（包括本合同及所有附件）应赔偿因此给买方造成的一切损失。</w:t>
      </w:r>
    </w:p>
    <w:p>
      <w:pPr>
        <w:pStyle w:val="2"/>
        <w:spacing w:before="240" w:beforeLines="100"/>
        <w:ind w:left="0" w:firstLine="529" w:firstLineChars="189"/>
        <w:jc w:val="both"/>
        <w:rPr>
          <w:rFonts w:ascii="黑体" w:hAnsi="黑体" w:eastAsia="黑体" w:cstheme="minorEastAsia"/>
          <w:b w:val="0"/>
          <w:sz w:val="28"/>
          <w:szCs w:val="28"/>
        </w:rPr>
      </w:pPr>
      <w:bookmarkStart w:id="144" w:name="_Toc16330029"/>
      <w:bookmarkStart w:id="145" w:name="_Toc9172"/>
      <w:bookmarkStart w:id="146" w:name="_Toc20248"/>
      <w:bookmarkStart w:id="147" w:name="_Toc31554"/>
      <w:bookmarkStart w:id="148" w:name="_Toc1827"/>
      <w:bookmarkStart w:id="149" w:name="_Toc20484"/>
      <w:r>
        <w:rPr>
          <w:rFonts w:hint="eastAsia" w:ascii="黑体" w:hAnsi="黑体" w:eastAsia="黑体" w:cstheme="minorEastAsia"/>
          <w:b w:val="0"/>
          <w:sz w:val="28"/>
          <w:szCs w:val="28"/>
        </w:rPr>
        <w:t>12 合同的终止与解除</w:t>
      </w:r>
      <w:bookmarkEnd w:id="144"/>
      <w:bookmarkEnd w:id="145"/>
      <w:bookmarkEnd w:id="146"/>
      <w:bookmarkEnd w:id="147"/>
      <w:bookmarkEnd w:id="148"/>
      <w:bookmarkEnd w:id="149"/>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12.2经双方协商一致，可以解除本合同。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12.3有下列情形之一的，买方可以解除本合同：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12.3.1卖方明确表示或者以自己的行为表明不履行主要义务的；</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12.3.2按照本合同第11.3条或第11.4条的规定，达到违约金的最高限额；</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12.3.3卖方所提交的设备不符合本合同的规定；</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12.3.4卖方有其他违约行为。</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12.4卖方分批交付设备的，卖方对其中一批设备不交付或者交付不符合约定，致使该批设备不能实现本合同目的的，买方可以就该批设备解除合同。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12.7因为卖方违约导致买方解除合同的，卖方应赔偿买方因此所遭受的一切损失。</w:t>
      </w:r>
    </w:p>
    <w:p>
      <w:pPr>
        <w:pStyle w:val="2"/>
        <w:spacing w:before="240" w:beforeLines="100"/>
        <w:ind w:left="0" w:firstLine="529" w:firstLineChars="189"/>
        <w:jc w:val="both"/>
        <w:rPr>
          <w:rFonts w:ascii="黑体" w:hAnsi="黑体" w:eastAsia="黑体" w:cstheme="minorEastAsia"/>
          <w:b w:val="0"/>
          <w:sz w:val="28"/>
          <w:szCs w:val="28"/>
        </w:rPr>
      </w:pPr>
      <w:bookmarkStart w:id="150" w:name="_Toc13671"/>
      <w:bookmarkStart w:id="151" w:name="_Toc8620"/>
      <w:bookmarkStart w:id="152" w:name="_Toc30377"/>
      <w:bookmarkStart w:id="153" w:name="_Toc31945"/>
      <w:bookmarkStart w:id="154" w:name="_Toc16330030"/>
      <w:bookmarkStart w:id="155" w:name="_Toc15284"/>
      <w:r>
        <w:rPr>
          <w:rFonts w:hint="eastAsia" w:ascii="黑体" w:hAnsi="黑体" w:eastAsia="黑体" w:cstheme="minorEastAsia"/>
          <w:b w:val="0"/>
          <w:sz w:val="28"/>
          <w:szCs w:val="28"/>
        </w:rPr>
        <w:t>13 不可抗力</w:t>
      </w:r>
      <w:bookmarkEnd w:id="150"/>
      <w:bookmarkEnd w:id="151"/>
      <w:bookmarkEnd w:id="152"/>
      <w:bookmarkEnd w:id="153"/>
      <w:bookmarkEnd w:id="154"/>
      <w:bookmarkEnd w:id="155"/>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13.2各方应该通过协商决定是否终止本合同，或推迟全部或部分本合同的履行或免除对方全部或部分相关履行义务。</w:t>
      </w:r>
    </w:p>
    <w:p>
      <w:pPr>
        <w:pStyle w:val="2"/>
        <w:spacing w:before="240" w:beforeLines="100"/>
        <w:ind w:left="0" w:firstLine="529" w:firstLineChars="189"/>
        <w:jc w:val="both"/>
        <w:rPr>
          <w:rFonts w:ascii="黑体" w:hAnsi="黑体" w:eastAsia="黑体" w:cstheme="minorEastAsia"/>
          <w:b w:val="0"/>
          <w:sz w:val="28"/>
          <w:szCs w:val="28"/>
        </w:rPr>
      </w:pPr>
      <w:bookmarkStart w:id="156" w:name="_Toc31243"/>
      <w:bookmarkStart w:id="157" w:name="_Toc637"/>
      <w:bookmarkStart w:id="158" w:name="_Toc30389"/>
      <w:bookmarkStart w:id="159" w:name="_Toc16330031"/>
      <w:bookmarkStart w:id="160" w:name="_Toc21532"/>
      <w:bookmarkStart w:id="161" w:name="_Toc7952"/>
      <w:r>
        <w:rPr>
          <w:rFonts w:hint="eastAsia" w:ascii="黑体" w:hAnsi="黑体" w:eastAsia="黑体" w:cstheme="minorEastAsia"/>
          <w:b w:val="0"/>
          <w:sz w:val="28"/>
          <w:szCs w:val="28"/>
        </w:rPr>
        <w:t>14 通讯</w:t>
      </w:r>
      <w:bookmarkEnd w:id="156"/>
      <w:bookmarkEnd w:id="157"/>
      <w:bookmarkEnd w:id="158"/>
      <w:bookmarkEnd w:id="159"/>
      <w:bookmarkEnd w:id="160"/>
      <w:bookmarkEnd w:id="161"/>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14.1通讯地址：</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本合同下的任何通讯按照本合同双方提供的信息，以书信、传真、电子通讯方式或电话作出。</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14.2生效</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14.2.1书信。书信为送达时生效；</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14.2.2传真。发送人取得成功传输的信息时生效；</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14.2.3电子邮件。电子邮件于发送之时生效，前提是寄件者于该邮件发送后24小时内没有收到发送失败通知；</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14.3书面法律证据。根据本合同以书信、传真或电子邮件方式送达任何订约方的任何通讯，将作为书面法律证据。</w:t>
      </w:r>
    </w:p>
    <w:p>
      <w:pPr>
        <w:pStyle w:val="2"/>
        <w:spacing w:before="240" w:beforeLines="100"/>
        <w:jc w:val="both"/>
        <w:rPr>
          <w:rFonts w:ascii="黑体" w:hAnsi="黑体" w:eastAsia="黑体" w:cstheme="minorEastAsia"/>
          <w:b w:val="0"/>
          <w:sz w:val="28"/>
          <w:szCs w:val="28"/>
        </w:rPr>
      </w:pPr>
      <w:bookmarkStart w:id="162" w:name="_Toc9915"/>
      <w:bookmarkStart w:id="163" w:name="_Toc16330032"/>
      <w:bookmarkStart w:id="164" w:name="_Toc12984"/>
      <w:bookmarkStart w:id="165" w:name="_Toc5634"/>
      <w:bookmarkStart w:id="166" w:name="_Toc11290"/>
      <w:bookmarkStart w:id="167" w:name="_Toc4709"/>
      <w:r>
        <w:rPr>
          <w:rFonts w:hint="eastAsia" w:ascii="黑体" w:hAnsi="黑体" w:eastAsia="黑体" w:cstheme="minorEastAsia"/>
          <w:b w:val="0"/>
          <w:sz w:val="28"/>
          <w:szCs w:val="28"/>
        </w:rPr>
        <w:t>15 适用法律及争议解决</w:t>
      </w:r>
      <w:bookmarkEnd w:id="162"/>
      <w:bookmarkEnd w:id="163"/>
      <w:bookmarkEnd w:id="164"/>
      <w:bookmarkEnd w:id="165"/>
      <w:bookmarkEnd w:id="166"/>
      <w:bookmarkEnd w:id="167"/>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15.1本合同条款的效力和解释适用中华人民共和国法律。</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spacing w:before="240" w:beforeLines="100"/>
        <w:ind w:left="0" w:firstLine="529" w:firstLineChars="189"/>
        <w:jc w:val="both"/>
        <w:rPr>
          <w:rFonts w:ascii="黑体" w:hAnsi="黑体" w:eastAsia="黑体" w:cstheme="minorEastAsia"/>
          <w:b w:val="0"/>
          <w:sz w:val="28"/>
          <w:szCs w:val="28"/>
        </w:rPr>
      </w:pPr>
      <w:bookmarkStart w:id="168" w:name="_Toc23765"/>
      <w:bookmarkStart w:id="169" w:name="_Toc18207"/>
      <w:bookmarkStart w:id="170" w:name="_Toc32132"/>
      <w:bookmarkStart w:id="171" w:name="_Toc16330033"/>
      <w:bookmarkStart w:id="172" w:name="_Toc23906"/>
      <w:bookmarkStart w:id="173" w:name="_Toc28182"/>
      <w:r>
        <w:rPr>
          <w:rFonts w:hint="eastAsia" w:ascii="黑体" w:hAnsi="黑体" w:eastAsia="黑体" w:cstheme="minorEastAsia"/>
          <w:b w:val="0"/>
          <w:sz w:val="28"/>
          <w:szCs w:val="28"/>
        </w:rPr>
        <w:t>16 附件</w:t>
      </w:r>
      <w:bookmarkEnd w:id="168"/>
      <w:bookmarkEnd w:id="169"/>
      <w:bookmarkEnd w:id="170"/>
      <w:bookmarkEnd w:id="171"/>
      <w:bookmarkEnd w:id="172"/>
      <w:bookmarkEnd w:id="173"/>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本合同及其附件构成双方关于本合同标的之全部协议，包括但不限于下列文件：</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16.1技术协议书；</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16.2合同设备一览表；</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16.3卖方中标的设备投标书以及一切书面承诺；</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16.4招标文件。</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上述附件内容与本合同约定有冲突的，以本合同约定为准。</w:t>
      </w:r>
    </w:p>
    <w:p>
      <w:pPr>
        <w:pStyle w:val="2"/>
        <w:spacing w:before="240" w:beforeLines="100"/>
        <w:ind w:left="0" w:firstLine="529" w:firstLineChars="189"/>
        <w:jc w:val="both"/>
        <w:rPr>
          <w:rFonts w:ascii="黑体" w:hAnsi="黑体" w:eastAsia="黑体" w:cstheme="minorEastAsia"/>
          <w:b w:val="0"/>
          <w:sz w:val="28"/>
          <w:szCs w:val="28"/>
        </w:rPr>
      </w:pPr>
      <w:bookmarkStart w:id="174" w:name="_Toc17656"/>
      <w:bookmarkStart w:id="175" w:name="_Toc27202"/>
      <w:bookmarkStart w:id="176" w:name="_Toc16330034"/>
      <w:bookmarkStart w:id="177" w:name="_Toc19341"/>
      <w:bookmarkStart w:id="178" w:name="_Toc31331"/>
      <w:bookmarkStart w:id="179" w:name="_Toc20518"/>
      <w:r>
        <w:rPr>
          <w:rFonts w:hint="eastAsia" w:ascii="黑体" w:hAnsi="黑体" w:eastAsia="黑体" w:cstheme="minorEastAsia"/>
          <w:b w:val="0"/>
          <w:sz w:val="28"/>
          <w:szCs w:val="28"/>
        </w:rPr>
        <w:t>17 其他规定</w:t>
      </w:r>
      <w:bookmarkEnd w:id="174"/>
      <w:bookmarkEnd w:id="175"/>
      <w:bookmarkEnd w:id="176"/>
      <w:bookmarkEnd w:id="177"/>
      <w:bookmarkEnd w:id="178"/>
      <w:bookmarkEnd w:id="179"/>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17.2如果本合同的任何条款和条件在任何时间成为非法、无效或不可强制执行的，则其他条款不应受其影响。</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hint="eastAsia" w:ascii="宋体" w:hAnsi="宋体" w:eastAsia="宋体" w:cs="宋体"/>
          <w:sz w:val="24"/>
          <w:szCs w:val="24"/>
        </w:rPr>
      </w:pPr>
      <w:bookmarkStart w:id="180" w:name="_Toc19077"/>
      <w:bookmarkStart w:id="181" w:name="_Toc17952"/>
      <w:bookmarkStart w:id="182" w:name="_Toc16330035"/>
      <w:bookmarkStart w:id="183" w:name="_Toc29136"/>
      <w:r>
        <w:rPr>
          <w:rFonts w:hint="eastAsia" w:ascii="宋体" w:hAnsi="宋体" w:eastAsia="宋体" w:cs="宋体"/>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spacing w:before="240" w:beforeLines="100"/>
        <w:ind w:left="0" w:firstLine="529" w:firstLineChars="189"/>
        <w:jc w:val="both"/>
        <w:rPr>
          <w:rFonts w:ascii="黑体" w:hAnsi="黑体" w:eastAsia="黑体" w:cstheme="minorEastAsia"/>
          <w:b w:val="0"/>
          <w:sz w:val="28"/>
          <w:szCs w:val="28"/>
        </w:rPr>
      </w:pPr>
      <w:bookmarkStart w:id="184" w:name="_Toc28465"/>
      <w:bookmarkStart w:id="185" w:name="_Toc18436"/>
      <w:r>
        <w:rPr>
          <w:rFonts w:hint="eastAsia" w:ascii="黑体" w:hAnsi="黑体" w:eastAsia="黑体" w:cstheme="minorEastAsia"/>
          <w:b w:val="0"/>
          <w:sz w:val="28"/>
          <w:szCs w:val="28"/>
        </w:rPr>
        <w:t>18 签署事项</w:t>
      </w:r>
      <w:bookmarkEnd w:id="180"/>
      <w:bookmarkEnd w:id="181"/>
      <w:bookmarkEnd w:id="182"/>
      <w:bookmarkEnd w:id="183"/>
      <w:bookmarkEnd w:id="184"/>
      <w:bookmarkEnd w:id="185"/>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份，买方持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份，卖方持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份；本合同经双方签署后生效。</w:t>
      </w:r>
    </w:p>
    <w:p>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rPr>
        <w:t>（以下无正文）</w:t>
      </w:r>
    </w:p>
    <w:p>
      <w:pPr>
        <w:spacing w:line="360" w:lineRule="auto"/>
        <w:ind w:firstLine="420" w:firstLineChars="200"/>
        <w:rPr>
          <w:rFonts w:asciiTheme="minorEastAsia" w:hAnsiTheme="minorEastAsia" w:eastAsiaTheme="minorEastAsia" w:cstheme="minorEastAsia"/>
          <w:sz w:val="20"/>
          <w:szCs w:val="20"/>
        </w:rPr>
      </w:pPr>
      <w:r>
        <w:rPr>
          <w:rFonts w:hint="eastAsia"/>
        </w:rPr>
        <w:t xml:space="preserve">    </w:t>
      </w:r>
    </w:p>
    <w:p>
      <w:pPr>
        <w:spacing w:line="360" w:lineRule="auto"/>
        <w:rPr>
          <w:rFonts w:ascii="宋体" w:hAnsi="宋体"/>
          <w:snapToGrid w:val="0"/>
          <w:kern w:val="0"/>
          <w:sz w:val="20"/>
          <w:szCs w:val="20"/>
          <w:lang w:eastAsia="zh-Hans"/>
        </w:rPr>
      </w:pPr>
    </w:p>
    <w:p>
      <w:pPr>
        <w:widowControl/>
        <w:adjustRightInd w:val="0"/>
        <w:snapToGrid w:val="0"/>
        <w:spacing w:line="360" w:lineRule="auto"/>
        <w:jc w:val="left"/>
        <w:rPr>
          <w:rFonts w:hint="eastAsia" w:ascii="宋体" w:hAnsi="宋体" w:eastAsia="宋体" w:cs="宋体"/>
          <w:snapToGrid w:val="0"/>
          <w:kern w:val="0"/>
          <w:sz w:val="24"/>
          <w:szCs w:val="24"/>
          <w:lang w:eastAsia="zh-Hans"/>
        </w:rPr>
      </w:pPr>
      <w:r>
        <w:rPr>
          <w:rFonts w:hint="eastAsia" w:ascii="宋体" w:hAnsi="宋体" w:eastAsia="宋体" w:cs="宋体"/>
          <w:snapToGrid w:val="0"/>
          <w:kern w:val="0"/>
          <w:sz w:val="24"/>
          <w:szCs w:val="24"/>
          <w:lang w:eastAsia="zh-Hans"/>
        </w:rPr>
        <w:t>甲方</w:t>
      </w:r>
      <w:r>
        <w:rPr>
          <w:rFonts w:hint="eastAsia" w:ascii="宋体" w:hAnsi="宋体" w:eastAsia="宋体" w:cs="宋体"/>
          <w:snapToGrid w:val="0"/>
          <w:kern w:val="0"/>
          <w:sz w:val="24"/>
          <w:szCs w:val="24"/>
        </w:rPr>
        <w:t>（盖章）</w:t>
      </w:r>
      <w:r>
        <w:rPr>
          <w:rFonts w:hint="eastAsia" w:ascii="宋体" w:hAnsi="宋体" w:eastAsia="宋体" w:cs="宋体"/>
          <w:snapToGrid w:val="0"/>
          <w:kern w:val="0"/>
          <w:sz w:val="24"/>
          <w:szCs w:val="24"/>
          <w:lang w:eastAsia="zh-Hans"/>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eastAsia="zh-Hans"/>
        </w:rPr>
        <w:t>乙方</w:t>
      </w:r>
      <w:r>
        <w:rPr>
          <w:rFonts w:hint="eastAsia" w:ascii="宋体" w:hAnsi="宋体" w:eastAsia="宋体" w:cs="宋体"/>
          <w:snapToGrid w:val="0"/>
          <w:kern w:val="0"/>
          <w:sz w:val="24"/>
          <w:szCs w:val="24"/>
        </w:rPr>
        <w:t>（盖章）</w:t>
      </w:r>
      <w:r>
        <w:rPr>
          <w:rFonts w:hint="eastAsia" w:ascii="宋体" w:hAnsi="宋体" w:eastAsia="宋体" w:cs="宋体"/>
          <w:snapToGrid w:val="0"/>
          <w:kern w:val="0"/>
          <w:sz w:val="24"/>
          <w:szCs w:val="24"/>
          <w:lang w:eastAsia="zh-Hans"/>
        </w:rPr>
        <w:t>：</w:t>
      </w:r>
    </w:p>
    <w:p>
      <w:pPr>
        <w:widowControl/>
        <w:adjustRightInd w:val="0"/>
        <w:snapToGrid w:val="0"/>
        <w:spacing w:line="360" w:lineRule="auto"/>
        <w:jc w:val="left"/>
        <w:rPr>
          <w:rFonts w:hint="eastAsia" w:ascii="宋体" w:hAnsi="宋体" w:eastAsia="宋体" w:cs="宋体"/>
          <w:snapToGrid w:val="0"/>
          <w:color w:val="000000"/>
          <w:kern w:val="0"/>
          <w:sz w:val="24"/>
          <w:szCs w:val="24"/>
          <w:lang w:eastAsia="zh-Hans"/>
        </w:rPr>
      </w:pPr>
      <w:r>
        <w:rPr>
          <w:rFonts w:hint="eastAsia" w:ascii="宋体" w:hAnsi="宋体" w:eastAsia="宋体" w:cs="宋体"/>
          <w:snapToGrid w:val="0"/>
          <w:color w:val="000000"/>
          <w:kern w:val="0"/>
          <w:sz w:val="24"/>
          <w:szCs w:val="24"/>
          <w:lang w:eastAsia="zh-Hans"/>
        </w:rPr>
        <w:t xml:space="preserve">法定代表人或代理人（签字）：         </w:t>
      </w:r>
      <w:r>
        <w:rPr>
          <w:rFonts w:hint="eastAsia" w:ascii="宋体" w:hAnsi="宋体" w:eastAsia="宋体" w:cs="宋体"/>
          <w:snapToGrid w:val="0"/>
          <w:kern w:val="0"/>
          <w:sz w:val="24"/>
          <w:szCs w:val="24"/>
          <w:lang w:eastAsia="zh-Hans"/>
        </w:rPr>
        <w:t xml:space="preserve">       </w:t>
      </w:r>
      <w:r>
        <w:rPr>
          <w:rFonts w:hint="eastAsia" w:ascii="宋体" w:hAnsi="宋体" w:eastAsia="宋体" w:cs="宋体"/>
          <w:snapToGrid w:val="0"/>
          <w:color w:val="000000"/>
          <w:kern w:val="0"/>
          <w:sz w:val="24"/>
          <w:szCs w:val="24"/>
          <w:lang w:eastAsia="zh-Hans"/>
        </w:rPr>
        <w:t xml:space="preserve"> 法定代表人或代理人（签字）：</w:t>
      </w:r>
    </w:p>
    <w:p>
      <w:pPr>
        <w:widowControl/>
        <w:adjustRightInd w:val="0"/>
        <w:snapToGrid w:val="0"/>
        <w:spacing w:line="360" w:lineRule="auto"/>
        <w:jc w:val="left"/>
        <w:rPr>
          <w:rFonts w:hint="eastAsia" w:ascii="宋体" w:hAnsi="宋体" w:eastAsia="宋体" w:cs="宋体"/>
          <w:snapToGrid w:val="0"/>
          <w:color w:val="000000"/>
          <w:kern w:val="0"/>
          <w:sz w:val="24"/>
          <w:szCs w:val="24"/>
          <w:lang w:eastAsia="zh-Hans"/>
        </w:rPr>
      </w:pPr>
      <w:r>
        <w:rPr>
          <w:rFonts w:hint="eastAsia" w:ascii="宋体" w:hAnsi="宋体" w:eastAsia="宋体" w:cs="宋体"/>
          <w:snapToGrid w:val="0"/>
          <w:color w:val="000000"/>
          <w:kern w:val="0"/>
          <w:sz w:val="24"/>
          <w:szCs w:val="24"/>
          <w:lang w:eastAsia="zh-Hans"/>
        </w:rPr>
        <w:t xml:space="preserve">地  址：                             </w:t>
      </w:r>
      <w:r>
        <w:rPr>
          <w:rFonts w:hint="eastAsia" w:ascii="宋体" w:hAnsi="宋体" w:eastAsia="宋体" w:cs="宋体"/>
          <w:snapToGrid w:val="0"/>
          <w:kern w:val="0"/>
          <w:sz w:val="24"/>
          <w:szCs w:val="24"/>
          <w:lang w:eastAsia="zh-Hans"/>
        </w:rPr>
        <w:t xml:space="preserve">        </w:t>
      </w:r>
      <w:r>
        <w:rPr>
          <w:rFonts w:hint="eastAsia" w:ascii="宋体" w:hAnsi="宋体" w:eastAsia="宋体" w:cs="宋体"/>
          <w:snapToGrid w:val="0"/>
          <w:color w:val="000000"/>
          <w:kern w:val="0"/>
          <w:sz w:val="24"/>
          <w:szCs w:val="24"/>
          <w:lang w:eastAsia="zh-Hans"/>
        </w:rPr>
        <w:t xml:space="preserve">地  址： </w:t>
      </w:r>
    </w:p>
    <w:p>
      <w:pPr>
        <w:widowControl/>
        <w:adjustRightInd w:val="0"/>
        <w:snapToGrid w:val="0"/>
        <w:spacing w:line="360" w:lineRule="auto"/>
        <w:jc w:val="left"/>
        <w:rPr>
          <w:rFonts w:hint="eastAsia" w:ascii="宋体" w:hAnsi="宋体" w:eastAsia="宋体" w:cs="宋体"/>
          <w:snapToGrid w:val="0"/>
          <w:kern w:val="0"/>
          <w:sz w:val="24"/>
          <w:szCs w:val="24"/>
          <w:lang w:eastAsia="zh-Hans"/>
        </w:rPr>
      </w:pPr>
      <w:r>
        <w:rPr>
          <w:rFonts w:hint="eastAsia" w:ascii="宋体" w:hAnsi="宋体" w:eastAsia="宋体" w:cs="宋体"/>
          <w:snapToGrid w:val="0"/>
          <w:kern w:val="0"/>
          <w:sz w:val="24"/>
          <w:szCs w:val="24"/>
          <w:lang w:eastAsia="zh-Hans"/>
        </w:rPr>
        <w:t xml:space="preserve">电话：                                       电话： </w:t>
      </w:r>
    </w:p>
    <w:p>
      <w:pPr>
        <w:widowControl/>
        <w:adjustRightInd w:val="0"/>
        <w:snapToGrid w:val="0"/>
        <w:spacing w:line="360" w:lineRule="auto"/>
        <w:jc w:val="left"/>
        <w:rPr>
          <w:rFonts w:hint="eastAsia" w:ascii="宋体" w:hAnsi="宋体" w:eastAsia="宋体" w:cs="宋体"/>
          <w:snapToGrid w:val="0"/>
          <w:kern w:val="0"/>
          <w:sz w:val="24"/>
          <w:szCs w:val="24"/>
          <w:lang w:eastAsia="zh-Hans"/>
        </w:rPr>
      </w:pPr>
      <w:r>
        <w:rPr>
          <w:rFonts w:hint="eastAsia" w:ascii="宋体" w:hAnsi="宋体" w:eastAsia="宋体" w:cs="宋体"/>
          <w:snapToGrid w:val="0"/>
          <w:kern w:val="0"/>
          <w:sz w:val="24"/>
          <w:szCs w:val="24"/>
          <w:lang w:eastAsia="zh-Hans"/>
        </w:rPr>
        <w:t xml:space="preserve">传真：                                       传真： </w:t>
      </w:r>
    </w:p>
    <w:p>
      <w:pPr>
        <w:widowControl/>
        <w:adjustRightInd w:val="0"/>
        <w:snapToGrid w:val="0"/>
        <w:spacing w:line="360" w:lineRule="auto"/>
        <w:jc w:val="left"/>
        <w:rPr>
          <w:rFonts w:hint="eastAsia" w:ascii="宋体" w:hAnsi="宋体" w:eastAsia="宋体" w:cs="宋体"/>
          <w:snapToGrid w:val="0"/>
          <w:color w:val="000000"/>
          <w:kern w:val="0"/>
          <w:sz w:val="24"/>
          <w:szCs w:val="24"/>
          <w:lang w:eastAsia="zh-Hans"/>
        </w:rPr>
      </w:pPr>
      <w:r>
        <w:rPr>
          <w:rFonts w:hint="eastAsia" w:ascii="宋体" w:hAnsi="宋体" w:eastAsia="宋体" w:cs="宋体"/>
          <w:snapToGrid w:val="0"/>
          <w:color w:val="000000"/>
          <w:kern w:val="0"/>
          <w:sz w:val="24"/>
          <w:szCs w:val="24"/>
          <w:lang w:eastAsia="zh-Hans"/>
        </w:rPr>
        <w:t xml:space="preserve">开户银行：                          </w:t>
      </w:r>
      <w:r>
        <w:rPr>
          <w:rFonts w:hint="eastAsia" w:ascii="宋体" w:hAnsi="宋体" w:eastAsia="宋体" w:cs="宋体"/>
          <w:snapToGrid w:val="0"/>
          <w:kern w:val="0"/>
          <w:sz w:val="24"/>
          <w:szCs w:val="24"/>
          <w:lang w:eastAsia="zh-Hans"/>
        </w:rPr>
        <w:t xml:space="preserve">        </w:t>
      </w:r>
      <w:r>
        <w:rPr>
          <w:rFonts w:hint="eastAsia" w:ascii="宋体" w:hAnsi="宋体" w:eastAsia="宋体" w:cs="宋体"/>
          <w:snapToGrid w:val="0"/>
          <w:color w:val="000000"/>
          <w:kern w:val="0"/>
          <w:sz w:val="24"/>
          <w:szCs w:val="24"/>
          <w:lang w:eastAsia="zh-Hans"/>
        </w:rPr>
        <w:t xml:space="preserve"> 开户银行：   </w:t>
      </w:r>
    </w:p>
    <w:p>
      <w:pPr>
        <w:widowControl/>
        <w:adjustRightInd w:val="0"/>
        <w:snapToGrid w:val="0"/>
        <w:spacing w:line="360" w:lineRule="auto"/>
        <w:jc w:val="left"/>
        <w:rPr>
          <w:rFonts w:hint="eastAsia" w:ascii="宋体" w:hAnsi="宋体" w:eastAsia="宋体" w:cs="宋体"/>
          <w:snapToGrid w:val="0"/>
          <w:kern w:val="0"/>
          <w:sz w:val="24"/>
          <w:szCs w:val="24"/>
        </w:rPr>
      </w:pPr>
      <w:r>
        <w:rPr>
          <w:rFonts w:hint="eastAsia" w:ascii="宋体" w:hAnsi="宋体" w:eastAsia="宋体" w:cs="宋体"/>
          <w:snapToGrid w:val="0"/>
          <w:color w:val="000000"/>
          <w:kern w:val="0"/>
          <w:sz w:val="24"/>
          <w:szCs w:val="24"/>
          <w:lang w:eastAsia="zh-Hans"/>
        </w:rPr>
        <w:t xml:space="preserve">账  号：                            </w:t>
      </w:r>
      <w:r>
        <w:rPr>
          <w:rFonts w:hint="eastAsia" w:ascii="宋体" w:hAnsi="宋体" w:eastAsia="宋体" w:cs="宋体"/>
          <w:snapToGrid w:val="0"/>
          <w:kern w:val="0"/>
          <w:sz w:val="24"/>
          <w:szCs w:val="24"/>
          <w:lang w:eastAsia="zh-Hans"/>
        </w:rPr>
        <w:t xml:space="preserve">        </w:t>
      </w:r>
      <w:r>
        <w:rPr>
          <w:rFonts w:hint="eastAsia" w:ascii="宋体" w:hAnsi="宋体" w:eastAsia="宋体" w:cs="宋体"/>
          <w:snapToGrid w:val="0"/>
          <w:color w:val="000000"/>
          <w:kern w:val="0"/>
          <w:sz w:val="24"/>
          <w:szCs w:val="24"/>
          <w:lang w:eastAsia="zh-Hans"/>
        </w:rPr>
        <w:t xml:space="preserve"> 账 号： </w:t>
      </w:r>
    </w:p>
    <w:p>
      <w:pPr>
        <w:rPr>
          <w:sz w:val="24"/>
          <w:szCs w:val="24"/>
        </w:rPr>
      </w:pPr>
    </w:p>
    <w:p>
      <w:pPr>
        <w:pStyle w:val="2"/>
        <w:ind w:left="0"/>
        <w:jc w:val="both"/>
        <w:rPr>
          <w:rFonts w:ascii="黑体" w:hAnsi="黑体" w:eastAsia="黑体" w:cstheme="minorEastAsia"/>
          <w:b w:val="0"/>
          <w:sz w:val="28"/>
          <w:szCs w:val="28"/>
        </w:rPr>
      </w:pPr>
      <w:bookmarkStart w:id="186" w:name="_Toc18614"/>
      <w:bookmarkStart w:id="187" w:name="_Toc19950"/>
      <w:r>
        <w:rPr>
          <w:rFonts w:hint="eastAsia" w:ascii="黑体" w:hAnsi="黑体" w:eastAsia="黑体" w:cstheme="minorEastAsia"/>
          <w:b w:val="0"/>
          <w:sz w:val="28"/>
          <w:szCs w:val="28"/>
        </w:rPr>
        <w:t>附件一：设备清单明细表</w:t>
      </w:r>
      <w:bookmarkEnd w:id="186"/>
      <w:bookmarkEnd w:id="187"/>
    </w:p>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pPr>
              <w:pStyle w:val="57"/>
              <w:spacing w:line="360" w:lineRule="auto"/>
              <w:ind w:left="480" w:hanging="48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57"/>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57"/>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r>
    </w:tbl>
    <w:p>
      <w:pPr>
        <w:pStyle w:val="2"/>
        <w:ind w:left="0"/>
        <w:jc w:val="both"/>
        <w:rPr>
          <w:rFonts w:asciiTheme="minorEastAsia" w:hAnsiTheme="minorEastAsia" w:eastAsiaTheme="minorEastAsia" w:cstheme="minorEastAsia"/>
          <w:sz w:val="20"/>
        </w:rPr>
      </w:pPr>
      <w:bookmarkStart w:id="188" w:name="_Toc25120"/>
      <w:bookmarkStart w:id="189" w:name="_Toc16330037"/>
      <w:bookmarkStart w:id="190" w:name="_Toc5379"/>
      <w:bookmarkStart w:id="191" w:name="_Toc24623"/>
      <w:bookmarkStart w:id="192" w:name="_Toc3778"/>
    </w:p>
    <w:p>
      <w:pPr>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 xml:space="preserve">附件二 </w:t>
      </w:r>
      <w:bookmarkEnd w:id="188"/>
      <w:bookmarkEnd w:id="189"/>
      <w:bookmarkEnd w:id="190"/>
      <w:bookmarkEnd w:id="191"/>
      <w:bookmarkEnd w:id="192"/>
      <w:r>
        <w:rPr>
          <w:rFonts w:hint="eastAsia" w:ascii="黑体" w:hAnsi="黑体" w:eastAsia="黑体" w:cstheme="minorEastAsia"/>
          <w:b w:val="0"/>
          <w:sz w:val="28"/>
          <w:szCs w:val="28"/>
        </w:rPr>
        <w:t>技术协议书</w:t>
      </w:r>
    </w:p>
    <w:p>
      <w:pPr>
        <w:jc w:val="both"/>
        <w:rPr>
          <w:rFonts w:hint="eastAsia" w:ascii="黑体" w:hAnsi="黑体" w:eastAsia="黑体" w:cstheme="minorEastAsia"/>
          <w:b w:val="0"/>
          <w:sz w:val="28"/>
          <w:szCs w:val="28"/>
        </w:rPr>
      </w:pPr>
    </w:p>
    <w:p>
      <w:pPr>
        <w:pStyle w:val="5"/>
        <w:spacing w:before="120" w:after="120" w:line="560" w:lineRule="exact"/>
        <w:rPr>
          <w:rFonts w:hint="eastAsia" w:ascii="宋体" w:hAnsi="宋体" w:cs="宋体"/>
          <w:b w:val="0"/>
          <w:bCs w:val="0"/>
          <w:sz w:val="24"/>
          <w:szCs w:val="24"/>
        </w:rPr>
      </w:pPr>
    </w:p>
    <w:p>
      <w:pPr>
        <w:rPr>
          <w:rFonts w:hint="eastAsia" w:ascii="宋体" w:hAnsi="宋体" w:cs="宋体"/>
          <w:b w:val="0"/>
          <w:bCs w:val="0"/>
          <w:sz w:val="24"/>
          <w:szCs w:val="24"/>
        </w:rPr>
      </w:pPr>
      <w:r>
        <w:rPr>
          <w:rFonts w:hint="eastAsia" w:ascii="宋体" w:hAnsi="宋体" w:cs="宋体"/>
          <w:b w:val="0"/>
          <w:bCs w:val="0"/>
          <w:sz w:val="24"/>
          <w:szCs w:val="24"/>
        </w:rPr>
        <w:br w:type="page"/>
      </w:r>
    </w:p>
    <w:p>
      <w:pPr>
        <w:pStyle w:val="5"/>
        <w:spacing w:before="120" w:after="120" w:line="560" w:lineRule="exact"/>
        <w:rPr>
          <w:rFonts w:ascii="宋体" w:hAnsi="宋体" w:cs="宋体"/>
          <w:b w:val="0"/>
          <w:bCs w:val="0"/>
          <w:sz w:val="24"/>
          <w:szCs w:val="24"/>
        </w:rPr>
      </w:pPr>
      <w:bookmarkStart w:id="193" w:name="_Toc23694"/>
      <w:r>
        <w:rPr>
          <w:rFonts w:hint="eastAsia" w:ascii="宋体" w:hAnsi="宋体" w:cs="宋体"/>
          <w:b w:val="0"/>
          <w:bCs w:val="0"/>
          <w:sz w:val="24"/>
          <w:szCs w:val="24"/>
        </w:rPr>
        <w:t>附件一：投标函</w:t>
      </w:r>
      <w:bookmarkEnd w:id="193"/>
    </w:p>
    <w:p>
      <w:pPr>
        <w:jc w:val="center"/>
        <w:rPr>
          <w:rFonts w:ascii="宋体" w:hAnsi="宋体"/>
          <w:b/>
          <w:bCs/>
          <w:sz w:val="36"/>
          <w:szCs w:val="36"/>
        </w:rPr>
      </w:pPr>
      <w:r>
        <w:rPr>
          <w:rFonts w:hint="eastAsia" w:ascii="宋体" w:hAnsi="宋体"/>
          <w:b/>
          <w:bCs/>
          <w:sz w:val="36"/>
          <w:szCs w:val="36"/>
        </w:rPr>
        <w:t>投标函</w:t>
      </w:r>
    </w:p>
    <w:p>
      <w:pPr>
        <w:pStyle w:val="44"/>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中国重汽集团济南商用车有限公司</w:t>
      </w:r>
      <w:r>
        <w:rPr>
          <w:rFonts w:hint="eastAsia" w:ascii="宋体" w:hAnsi="宋体"/>
          <w:kern w:val="2"/>
          <w:sz w:val="24"/>
        </w:rPr>
        <w:t>：</w:t>
      </w:r>
    </w:p>
    <w:p>
      <w:pPr>
        <w:spacing w:before="30" w:line="460" w:lineRule="exact"/>
        <w:ind w:firstLine="480" w:firstLineChars="200"/>
        <w:rPr>
          <w:rFonts w:ascii="宋体" w:hAnsi="宋体"/>
          <w:sz w:val="24"/>
        </w:rPr>
      </w:pPr>
      <w:r>
        <w:rPr>
          <w:rFonts w:hint="eastAsia" w:ascii="宋体" w:hAnsi="宋体"/>
          <w:sz w:val="24"/>
        </w:rPr>
        <w:t>按照《中华人民共和国招标投标法》等有关法律规定，我们根据项目名称为招标文件的要求，对</w:t>
      </w:r>
      <w:r>
        <w:rPr>
          <w:rFonts w:hint="eastAsia" w:ascii="宋体" w:hAnsi="宋体"/>
          <w:sz w:val="24"/>
          <w:u w:val="single"/>
        </w:rPr>
        <w:t xml:space="preserve">                 （</w:t>
      </w:r>
      <w:r>
        <w:rPr>
          <w:rFonts w:hint="eastAsia" w:ascii="宋体" w:hAnsi="宋体"/>
          <w:sz w:val="24"/>
        </w:rPr>
        <w:t>项目名称）（设备名称）进行投标。由投标方（全称）正式委托全权代表（姓名、职务）提交投标文件正本一份，副本四份，并保证所提供的全部资料的真实性、准确性。</w:t>
      </w:r>
    </w:p>
    <w:p>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（5）我方同意招标方的要求，提供与递交投标文件有关的其他数据和资料。</w:t>
      </w:r>
    </w:p>
    <w:p>
      <w:pPr>
        <w:adjustRightInd w:val="0"/>
        <w:snapToGrid w:val="0"/>
        <w:spacing w:before="72" w:beforeLines="30" w:line="460" w:lineRule="exact"/>
        <w:ind w:firstLine="480" w:firstLineChars="200"/>
        <w:rPr>
          <w:rFonts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，招标方有权不做任何解释。</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pPr>
        <w:pStyle w:val="31"/>
        <w:spacing w:after="0" w:line="460" w:lineRule="exact"/>
        <w:ind w:left="-2" w:firstLine="480"/>
        <w:rPr>
          <w:rFonts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72" w:beforeLines="30"/>
        <w:ind w:firstLine="1200" w:firstLineChars="500"/>
        <w:rPr>
          <w:rFonts w:ascii="宋体" w:hAnsi="宋体"/>
          <w:sz w:val="24"/>
        </w:rPr>
      </w:pP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投标方全称：                     开户银行名称：</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法人代表签字：                   开户行地址：</w:t>
      </w:r>
    </w:p>
    <w:p>
      <w:pPr>
        <w:pStyle w:val="31"/>
        <w:adjustRightInd w:val="0"/>
        <w:snapToGrid w:val="0"/>
        <w:spacing w:after="0"/>
        <w:ind w:left="571" w:leftChars="272" w:firstLine="480"/>
        <w:jc w:val="right"/>
        <w:rPr>
          <w:rFonts w:ascii="宋体" w:hAnsi="宋体"/>
          <w:sz w:val="24"/>
        </w:rPr>
      </w:pPr>
    </w:p>
    <w:p>
      <w:pPr>
        <w:spacing w:line="360" w:lineRule="auto"/>
        <w:ind w:left="795" w:firstLine="6960" w:firstLineChars="2900"/>
        <w:rPr>
          <w:sz w:val="24"/>
          <w:szCs w:val="24"/>
        </w:rPr>
      </w:pPr>
      <w:r>
        <w:rPr>
          <w:rFonts w:hint="eastAsia" w:ascii="宋体" w:hAnsi="宋体"/>
          <w:sz w:val="24"/>
        </w:rPr>
        <w:t>年  月  日</w:t>
      </w:r>
    </w:p>
    <w:p>
      <w:pPr>
        <w:pStyle w:val="5"/>
        <w:spacing w:before="120" w:after="120" w:line="360" w:lineRule="exact"/>
        <w:rPr>
          <w:rFonts w:ascii="宋体" w:hAnsi="宋体"/>
          <w:b w:val="0"/>
          <w:bCs w:val="0"/>
          <w:sz w:val="24"/>
          <w:szCs w:val="24"/>
        </w:rPr>
      </w:pPr>
      <w:r>
        <w:rPr>
          <w:rFonts w:ascii="宋体" w:hAnsi="宋体"/>
          <w:sz w:val="24"/>
          <w:szCs w:val="24"/>
        </w:rPr>
        <w:br w:type="page"/>
      </w:r>
      <w:bookmarkStart w:id="194" w:name="_Toc453709582"/>
      <w:bookmarkStart w:id="195" w:name="_Toc21696"/>
      <w:r>
        <w:rPr>
          <w:rFonts w:hint="eastAsia" w:ascii="宋体" w:hAnsi="宋体" w:cs="宋体"/>
          <w:b w:val="0"/>
          <w:bCs w:val="0"/>
          <w:sz w:val="24"/>
          <w:szCs w:val="24"/>
        </w:rPr>
        <w:t>附件二：授权委托书</w:t>
      </w:r>
      <w:bookmarkEnd w:id="194"/>
      <w:bookmarkEnd w:id="195"/>
    </w:p>
    <w:p>
      <w:pPr>
        <w:pStyle w:val="31"/>
        <w:spacing w:after="0"/>
        <w:rPr>
          <w:rFonts w:ascii="宋体" w:hAnsi="宋体"/>
        </w:rPr>
      </w:pPr>
    </w:p>
    <w:p>
      <w:pPr>
        <w:pStyle w:val="31"/>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31"/>
        <w:spacing w:after="0" w:line="460" w:lineRule="exact"/>
        <w:jc w:val="center"/>
        <w:rPr>
          <w:rFonts w:ascii="宋体" w:hAnsi="宋体"/>
          <w:b/>
          <w:bCs/>
          <w:sz w:val="32"/>
          <w:szCs w:val="32"/>
        </w:rPr>
      </w:pPr>
    </w:p>
    <w:p>
      <w:pPr>
        <w:pStyle w:val="31"/>
        <w:spacing w:after="0" w:line="560" w:lineRule="exact"/>
        <w:rPr>
          <w:rFonts w:ascii="宋体" w:hAnsi="宋体"/>
          <w:sz w:val="24"/>
          <w:szCs w:val="24"/>
          <w:u w:val="single"/>
        </w:rPr>
      </w:pPr>
      <w:r>
        <w:rPr>
          <w:rFonts w:hint="eastAsia" w:ascii="宋体" w:hAnsi="宋体" w:cs="宋体"/>
          <w:sz w:val="24"/>
          <w:szCs w:val="24"/>
          <w:u w:val="single"/>
        </w:rPr>
        <w:t>中国重汽集团济南商用车有限公司 ：</w:t>
      </w:r>
    </w:p>
    <w:p>
      <w:pPr>
        <w:pStyle w:val="31"/>
        <w:spacing w:after="0" w:line="560" w:lineRule="exact"/>
        <w:ind w:firstLine="480"/>
        <w:rPr>
          <w:rFonts w:ascii="宋体" w:hAnsi="宋体"/>
          <w:sz w:val="24"/>
          <w:szCs w:val="24"/>
        </w:rPr>
      </w:pPr>
      <w:r>
        <w:rPr>
          <w:rFonts w:hint="eastAsia" w:ascii="宋体" w:hAnsi="宋体" w:cs="宋体"/>
          <w:sz w:val="24"/>
          <w:szCs w:val="24"/>
        </w:rPr>
        <w:t>（投标方名称）法定代表人授权我公司（职务或职称）（姓名）为我单位本次投标授权代理人，全权处理此次招标项目投标活动等一切事宜。</w:t>
      </w:r>
    </w:p>
    <w:p>
      <w:pPr>
        <w:adjustRightInd w:val="0"/>
        <w:snapToGrid w:val="0"/>
        <w:spacing w:before="72" w:beforeLines="30" w:line="360" w:lineRule="auto"/>
        <w:ind w:firstLine="480" w:firstLineChars="200"/>
        <w:rPr>
          <w:rFonts w:ascii="宋体" w:hAnsi="宋体"/>
          <w:sz w:val="24"/>
        </w:rPr>
      </w:pPr>
      <w:r>
        <w:rPr>
          <w:rFonts w:hint="eastAsia" w:ascii="宋体" w:hAnsi="宋体"/>
          <w:sz w:val="24"/>
        </w:rPr>
        <w:t>委托期限：</w:t>
      </w:r>
    </w:p>
    <w:p>
      <w:pPr>
        <w:adjustRightInd w:val="0"/>
        <w:snapToGrid w:val="0"/>
        <w:spacing w:before="72" w:beforeLines="30" w:line="312" w:lineRule="auto"/>
        <w:ind w:firstLine="480" w:firstLineChars="200"/>
        <w:rPr>
          <w:rFonts w:ascii="宋体" w:hAnsi="宋体"/>
          <w:sz w:val="24"/>
        </w:rPr>
      </w:pPr>
      <w:r>
        <w:rPr>
          <w:rFonts w:hint="eastAsia" w:ascii="宋体" w:hAnsi="宋体"/>
          <w:sz w:val="24"/>
        </w:rPr>
        <w:t>全权代表无转委权。特此委托。</w:t>
      </w:r>
      <w:r>
        <w:pict>
          <v:rect id="_x0000_s1026" o:spid="_x0000_s1026" o:spt="1" style="position:absolute;left:0pt;margin-left:25.45pt;margin-top:19.35pt;height:122.25pt;width:209.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1NAgIAAAoEAAAOAAAAZHJzL2Uyb0RvYy54bWysU82O0zAQviPxDpbvNG1FdyFqugdKuaxg&#10;pYUHmDpOYuE/PG6TPg0SNx6Cx0G8xo7dbOnuckCIHCyP58s3M99nL68Go9leBlTOVnw2mXImrXC1&#10;sm3FP33cvHjFGUawNWhnZcUPEvnV6vmzZe9LOXed07UMjEgslr2veBejL4sCRScN4MR5aSnZuGAg&#10;Uhjaog7QE7vRxXw6vSh6F2ofnJCIdLo+Jvkq8zeNFPFD06CMTFeceot5DXndprVYLaFsA/hOibEN&#10;+IcuDChLRU9Ua4jAdkE9oTJKBIeuiRPhTOGaRgmZZ6BpZtNH09x24GWehcRBf5IJ/x+teL+/CUzV&#10;5B1nFgxZ9Ovr958/vrF50qb3WBLk1t+ENB36ayc+IyWKB5kU4IgZmmASlmZjQxb6cBJaDpEJOpxf&#10;LC5fXi44E5SbLRbzBQWJFcr7333A+E46w9Km4oGczALD/hrjEXoPyZ05reqN0joHod2+0YHtgVzf&#10;5G9kx3OYtqyv+GuqTo0AXb5GQ6St8SQH2jbXe/AHnhNP8/cn4tTYGrA7NpAZEgxKo6IMeddJqN/a&#10;msWDJ8ktvQ2emjGy5kxLekppl5ERlP4bJGmn7WjM0YvkShy2w2gvsaWTrasPZHlPd56m/LKDQKV3&#10;Pqi2I51neZ6EowuXDRkfR7rR53Gu9PsJr+4AAAD//wMAUEsDBBQABgAIAAAAIQDkUuAx4gAAAAkB&#10;AAAPAAAAZHJzL2Rvd25yZXYueG1sTI/LTsMwFET3SPyDdZHYVNQh6SMNuakQEqqEhCht2bvxJYka&#10;28F2Hvw9ZgXL0YxmzuTbSbVsIOsaoxHu5xEw0qWRja4QTsfnuxSY80JL0RpNCN/kYFtcX+Uik2bU&#10;7zQcfMVCiXaZQKi97zLOXVmTEm5uOtLB+zRWCR+krbi0YgzlquVxFK24Eo0OC7Xo6Kmm8nLoFcLs&#10;tDv268t+92q/ko+Xt25cDrM94u3N9PgAzNPk/8Lwix/QoQhMZ9Nr6ViLsIw2IYmQpGtgwV+sNgtg&#10;Z4Q4TWLgRc7/Pyh+AAAA//8DAFBLAQItABQABgAIAAAAIQC2gziS/gAAAOEBAAATAAAAAAAAAAAA&#10;AAAAAAAAAABbQ29udGVudF9UeXBlc10ueG1sUEsBAi0AFAAGAAgAAAAhADj9If/WAAAAlAEAAAsA&#10;AAAAAAAAAAAAAAAALwEAAF9yZWxzLy5yZWxzUEsBAi0AFAAGAAgAAAAhAHRtrU0CAgAACgQAAA4A&#10;AAAAAAAAAAAAAAAALgIAAGRycy9lMm9Eb2MueG1sUEsBAi0AFAAGAAgAAAAhAORS4DHiAAAACQEA&#10;AA8AAAAAAAAAAAAAAAAAXAQAAGRycy9kb3ducmV2LnhtbFBLBQYAAAAABAAEAPMAAABrBQAAAAA=&#10;">
            <v:path arrowok="t"/>
            <v:fill focussize="0,0"/>
            <v:stroke/>
            <v:imagedata o:title=""/>
            <o:lock v:ext="edit"/>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w:r>
      <w:r>
        <w:pict>
          <v:rect id="矩形 4" o:spid="_x0000_s1027" o:spt="1" style="position:absolute;left:0pt;margin-left:25.45pt;margin-top:145.35pt;height:122.25pt;width:209.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J1AwIAAAoEAAAOAAAAZHJzL2Uyb0RvYy54bWysU0uOEzEQ3SNxB8t70kmYzEArnVkQwmYE&#10;Iw0coOJ2d1v4h8tJd06DxI5DcBw016Ds9IQMsEAILyyX6/m56j17eT0YzfYyoHK24rPJlDNphauV&#10;bSv+4f3m2QvOMIKtQTsrK36QyK9XT58se1/KueucrmVgRGKx7H3Fuxh9WRQoOmkAJ85LS8nGBQOR&#10;wtAWdYCe2I0u5tPpZdG7UPvghESk3fUxyVeZv2mkiO+aBmVkuuJUW8xzyPM2zcVqCWUbwHdKjGXA&#10;P1RhQFm69ES1hghsF9RvVEaJ4NA1cSKcKVzTKCFzD9TNbPpLN3cdeJl7IXHQn2TC/0cr3u5vA1N1&#10;xZ9zZsGQRfefv37/9oVdJG16jyVB7vxtSN2hv3HiI1KieJRJAY6YoQkmYak3NmShDyeh5RCZoM35&#10;5eLq4mrBmaDcbLGYLyhIrFA+HPcB4xvpDEuLigdyMgsM+xuMR+gDJFfmtKo3SuschHb7Sge2B3J9&#10;k8fIjucwbVlf8Zd0OxUC9PgaDZGWxpMcaNt836MTeE48zeNPxKmwNWB3LCAzJBiURkUZ8qqTUL+2&#10;NYsHT5Jb+hs8FWNkzZmW9JXSKiMjKP03SNJO29GYoxfJlThsh2zvPLGlna2rD2R5T2+euvy0g0BX&#10;73xQbUc6zxIsm0sPLhsyfo70os/jjPr5hVc/AAAA//8DAFBLAwQUAAYACAAAACEAZ0J/zuIAAAAK&#10;AQAADwAAAGRycy9kb3ducmV2LnhtbEyPXUvDMBSG7wX/QziCN8Mldutma9MhggyE4dzmfdYc27Lm&#10;pDbph//eeKWXh/fhfZ+TbSbTsAE7V1uScD8XwJAKq2sqJZyOL3cPwJxXpFVjCSV8o4NNfn2VqVTb&#10;kd5xOPiShRJyqZJQed+mnLuiQqPc3LZIIfu0nVE+nF3JdafGUG4aHgmx4kbVFBYq1eJzhcXl0BsJ&#10;s9P22K8v++2u+1p8vL61YzzM9lLe3kxPj8A8Tv4Phl/9oA55cDrbnrRjjYRYJIGUECViDSwAy1Wy&#10;BHYOySKOgOcZ//9C/gMAAP//AwBQSwECLQAUAAYACAAAACEAtoM4kv4AAADhAQAAEwAAAAAAAAAA&#10;AAAAAAAAAAAAW0NvbnRlbnRfVHlwZXNdLnhtbFBLAQItABQABgAIAAAAIQA4/SH/1gAAAJQBAAAL&#10;AAAAAAAAAAAAAAAAAC8BAABfcmVscy8ucmVsc1BLAQItABQABgAIAAAAIQAJrUJ1AwIAAAoEAAAO&#10;AAAAAAAAAAAAAAAAAC4CAABkcnMvZTJvRG9jLnhtbFBLAQItABQABgAIAAAAIQBnQn/O4gAAAAoB&#10;AAAPAAAAAAAAAAAAAAAAAF0EAABkcnMvZG93bnJldi54bWxQSwUGAAAAAAQABADzAAAAbAUAAAAA&#10;">
            <v:path arrowok="t"/>
            <v:fill focussize="0,0"/>
            <v:stroke/>
            <v:imagedata o:title=""/>
            <o:lock v:ext="edit"/>
            <v:textbox>
              <w:txbxContent>
                <w:p>
                  <w:pPr>
                    <w:jc w:val="center"/>
                  </w:pPr>
                  <w:r>
                    <w:rPr>
                      <w:rFonts w:hint="eastAsia"/>
                    </w:rPr>
                    <w:t>授权代理人身份证复印件（正面）</w:t>
                  </w:r>
                </w:p>
              </w:txbxContent>
            </v:textbox>
          </v:rect>
        </w:pict>
      </w:r>
      <w:r>
        <w:pict>
          <v:rect id="矩形 3" o:spid="_x0000_s1028" o:spt="1" style="position:absolute;left:0pt;margin-left:245.95pt;margin-top:19.35pt;height:122.25pt;width:19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DAgIAAAoEAAAOAAAAZHJzL2Uyb0RvYy54bWysU0uOEzEQ3SNxB8t70p1ABqaVziwIYTOC&#10;kQYOUHG7uy38w+WkO6dBYschOA6aa1B2MpkMsEAILyzb9fyq6j17cTUazXYyoHK25tNJyZm0wjXK&#10;djX/+GH97BVnGME2oJ2VNd9L5FfLp08Wg6/kzPVONzIwIrFYDb7mfYy+KgoUvTSAE+elpWDrgoFI&#10;29AVTYCB2I0uZmV5UQwuND44IRHpdHUI8mXmb1sp4vu2RRmZrjnVFvMc8rxJc7FcQNUF8L0SxzLg&#10;H6owoCwlPVGtIALbBvUblVEiOHRtnAhnCte2SsjcA3UzLX/p5rYHL3MvJA76k0z4/2jFu91NYKqp&#10;+YwzC4Ysuvvy7cf3r+x50mbwWBHk1t+E1B36ayc+IQWKR5G0wSNmbINJWOqNjVno/UloOUYm6HA2&#10;n764KMkPQbHpfD6bv5yndAVU99d9wPhWOsPSouaBnMwCw+4a4wF6D8mVOa2atdI6b0K3ea0D2wG5&#10;vs7jyI7nMG3ZUPNLyk6FAD2+VkOkpfEkB9ou53t0A8+Jyzz+RJwKWwH2hwIyQ4JBZVSUIa96Cc0b&#10;27C49yS5pb/BUzFGNpxpSV8prTIygtJ/gyTttD0ac/AiuRLHzZjtPdm5cc2eLB/ozVOXn7cQKPXW&#10;B9X1pPM095Nu0oPLhhw/R3rR5/uc6eELL38CAAD//wMAUEsDBBQABgAIAAAAIQDxB+kf4gAAAAoB&#10;AAAPAAAAZHJzL2Rvd25yZXYueG1sTI/LTsMwEEX3SPyDNUhsKuo0AeKGTCqEhCohIUpb9m48JFFj&#10;O8TOg7/HrGA5M0d3zs03s27ZSL1rrEFYLSNgZEqrGlMhHA/PNwKY89Io2VpDCN/kYFNcXuQyU3Yy&#10;7zTufcVCiHGZRKi97zLOXVmTlm5pOzLh9ml7LX0Y+4qrXk4hXLc8jqJ7rmVjwodadvRUU3neDxph&#10;cdwehvS82772X8nHy1s33Y2LHeL11fz4AMzT7P9g+NUP6lAEp5MdjHKsRbhdr9YBRUhECiwAQqRh&#10;cUKIRRIDL3L+v0LxAwAA//8DAFBLAQItABQABgAIAAAAIQC2gziS/gAAAOEBAAATAAAAAAAAAAAA&#10;AAAAAAAAAABbQ29udGVudF9UeXBlc10ueG1sUEsBAi0AFAAGAAgAAAAhADj9If/WAAAAlAEAAAsA&#10;AAAAAAAAAAAAAAAALwEAAF9yZWxzLy5yZWxzUEsBAi0AFAAGAAgAAAAhAGb/cUMCAgAACgQAAA4A&#10;AAAAAAAAAAAAAAAALgIAAGRycy9lMm9Eb2MueG1sUEsBAi0AFAAGAAgAAAAhAPEH6R/iAAAACgEA&#10;AA8AAAAAAAAAAAAAAAAAXAQAAGRycy9kb3ducmV2LnhtbFBLBQYAAAAABAAEAPMAAABrBQAAAAA=&#10;">
            <v:path arrowok="t"/>
            <v:fill focussize="0,0"/>
            <v:stroke/>
            <v:imagedata o:title=""/>
            <o:lock v:ext="edit"/>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w:r>
      <w:r>
        <w:pict>
          <v:rect id="_x0000_s1029" o:spid="_x0000_s1029" o:spt="1" style="position:absolute;left:0pt;margin-left:245.95pt;margin-top:144.6pt;height:122.25pt;width:19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qLBgIAAAoEAAAOAAAAZHJzL2Uyb0RvYy54bWysU0uOEzEQ3SNxB8t70p1oMkArnVkQwmYE&#10;Iw0coOJ2d1v4h8tJd06DxI5DcBzENabsZEJmhgVCeGHZrvKr917Zi6vRaLaTAZWzNZ9OSs6kFa5R&#10;tqv5p4/rF684wwi2Ae2srPleIr9aPn+2GHwlZ653upGBEYjFavA172P0VVGg6KUBnDgvLQVbFwxE&#10;2oauaAIMhG50MSvLy2JwofHBCYlIp6tDkC8zfttKET+0LcrIdM2JW8xzyPMmzcVyAVUXwPdKHGnA&#10;P7AwoCwVPUGtIALbBvUEyigRHLo2ToQzhWtbJWTWQGqm5SM1tz14mbWQOehPNuH/gxXvdzeBqabm&#10;F5xZMNSiX1+///zxjc2TN4PHilJu/U1I6tBfO/EZKVA8iKQNHnPGNpiUS9rYmI3en4yWY2SCDmfz&#10;6cVlSf0QFJvO57P5y1yugOr+ug8Y30lnWFrUPFAns8Gwu8aYCEB1n5KZOa2atdI6b0K3eaMD2wF1&#10;fZ1HEkNX8DxNWzbU/DVVJyJAj6/VEGlpPNmBtsv1HtzAc+Ayjz8BJ2IrwP5AICMcHppRUQZiAlUv&#10;oXlrGxb3niy39Dd4ImNkw5mW9JXSKmdGUPpvMkmdtsfGHHqRuhLHzXhsL6Glk41r9tTygd48qfyy&#10;hUCltz6oriefp1lPyqMHly07fo70os/3udLvL7y8AwAA//8DAFBLAwQUAAYACAAAACEA+odyo+MA&#10;AAALAQAADwAAAGRycy9kb3ducmV2LnhtbEyPy07DMBBF90j8gzVIbCrqNKHkQZwKIaFKSBWlLXs3&#10;NknUeBxi58HfM6xgOTNHd87NN7Np2ah711gUsFoGwDSWVjVYCTgdX+4SYM5LVLK1qAV8aweb4voq&#10;l5myE77r8eArRiHoMimg9r7LOHdlrY10S9tppNun7Y30NPYVV72cKNy0PAyCB25kg/Shlp1+rnV5&#10;OQxGwOK0PQ7xZb/d9V/Rx+tbN63HxV6I25v56RGY17P/g+FXn9ShIKezHVA51gq4T1cpoQLCJA2B&#10;EZEkMW3OAtZRFAMvcv6/Q/EDAAD//wMAUEsBAi0AFAAGAAgAAAAhALaDOJL+AAAA4QEAABMAAAAA&#10;AAAAAAAAAAAAAAAAAFtDb250ZW50X1R5cGVzXS54bWxQSwECLQAUAAYACAAAACEAOP0h/9YAAACU&#10;AQAACwAAAAAAAAAAAAAAAAAvAQAAX3JlbHMvLnJlbHNQSwECLQAUAAYACAAAACEA79D6iwYCAAAK&#10;BAAADgAAAAAAAAAAAAAAAAAuAgAAZHJzL2Uyb0RvYy54bWxQSwECLQAUAAYACAAAACEA+odyo+MA&#10;AAALAQAADwAAAAAAAAAAAAAAAABgBAAAZHJzL2Rvd25yZXYueG1sUEsFBgAAAAAEAAQA8wAAAHAF&#10;AAAAAA==&#10;">
            <v:path arrowok="t"/>
            <v:fill focussize="0,0"/>
            <v:stroke/>
            <v:imagedata o:title=""/>
            <o:lock v:ext="edit"/>
            <v:textbox>
              <w:txbxContent>
                <w:p>
                  <w:pPr>
                    <w:jc w:val="center"/>
                  </w:pPr>
                  <w:r>
                    <w:rPr>
                      <w:rFonts w:hint="eastAsia"/>
                    </w:rPr>
                    <w:t>授权代理人身份证复印件（反面）</w:t>
                  </w:r>
                </w:p>
              </w:txbxContent>
            </v:textbox>
          </v:rect>
        </w:pic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pStyle w:val="31"/>
        <w:spacing w:after="0" w:line="560" w:lineRule="exact"/>
        <w:rPr>
          <w:rFonts w:ascii="宋体" w:hAnsi="宋体"/>
          <w:sz w:val="24"/>
          <w:szCs w:val="24"/>
        </w:rPr>
      </w:pPr>
      <w:r>
        <w:rPr>
          <w:rFonts w:hint="eastAsia" w:ascii="宋体" w:hAnsi="宋体" w:cs="宋体"/>
          <w:sz w:val="24"/>
          <w:szCs w:val="24"/>
        </w:rPr>
        <w:t>单位名称（公章）：</w:t>
      </w:r>
    </w:p>
    <w:p>
      <w:pPr>
        <w:pStyle w:val="31"/>
        <w:spacing w:after="0" w:line="560" w:lineRule="exact"/>
        <w:rPr>
          <w:rFonts w:ascii="宋体" w:hAnsi="宋体"/>
          <w:sz w:val="24"/>
          <w:szCs w:val="24"/>
        </w:rPr>
      </w:pPr>
      <w:r>
        <w:rPr>
          <w:rFonts w:hint="eastAsia" w:ascii="宋体" w:hAnsi="宋体" w:cs="宋体"/>
          <w:sz w:val="24"/>
          <w:szCs w:val="24"/>
        </w:rPr>
        <w:t>法定代表人签字：</w:t>
      </w:r>
    </w:p>
    <w:p>
      <w:pPr>
        <w:pStyle w:val="31"/>
        <w:spacing w:after="0" w:line="560" w:lineRule="exact"/>
        <w:rPr>
          <w:rFonts w:ascii="宋体" w:hAnsi="宋体"/>
          <w:sz w:val="24"/>
          <w:szCs w:val="24"/>
        </w:rPr>
      </w:pPr>
      <w:r>
        <w:rPr>
          <w:rFonts w:hint="eastAsia" w:ascii="宋体" w:hAnsi="宋体" w:cs="宋体"/>
          <w:sz w:val="24"/>
          <w:szCs w:val="24"/>
        </w:rPr>
        <w:t>授权代理人签字：</w:t>
      </w:r>
    </w:p>
    <w:p>
      <w:pPr>
        <w:pStyle w:val="31"/>
        <w:spacing w:after="0" w:line="560" w:lineRule="exact"/>
        <w:rPr>
          <w:rFonts w:ascii="宋体" w:hAnsi="宋体"/>
          <w:sz w:val="24"/>
          <w:szCs w:val="24"/>
        </w:rPr>
      </w:pPr>
    </w:p>
    <w:p>
      <w:pPr>
        <w:pStyle w:val="31"/>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年月日</w:t>
      </w:r>
    </w:p>
    <w:p>
      <w:pPr>
        <w:pStyle w:val="31"/>
        <w:spacing w:after="0" w:line="560" w:lineRule="exact"/>
        <w:rPr>
          <w:rFonts w:ascii="宋体" w:hAnsi="宋体"/>
        </w:rPr>
      </w:pPr>
    </w:p>
    <w:p>
      <w:pPr>
        <w:pStyle w:val="31"/>
        <w:spacing w:after="0" w:line="560" w:lineRule="exact"/>
        <w:rPr>
          <w:rFonts w:ascii="宋体" w:hAnsi="宋体"/>
        </w:rPr>
      </w:pPr>
    </w:p>
    <w:p>
      <w:pPr>
        <w:pStyle w:val="5"/>
        <w:spacing w:before="120" w:after="120" w:line="360" w:lineRule="exact"/>
        <w:rPr>
          <w:rFonts w:ascii="宋体" w:hAnsi="宋体" w:cs="宋体"/>
          <w:b w:val="0"/>
          <w:bCs w:val="0"/>
          <w:sz w:val="24"/>
          <w:szCs w:val="24"/>
        </w:rPr>
      </w:pPr>
      <w:bookmarkStart w:id="196" w:name="_Toc518655806"/>
      <w:bookmarkStart w:id="197" w:name="_Toc14032"/>
      <w:bookmarkStart w:id="198" w:name="_Toc424118183"/>
      <w:bookmarkStart w:id="199" w:name="_Toc353881014"/>
      <w:bookmarkStart w:id="200" w:name="_Toc32246"/>
      <w:bookmarkStart w:id="201" w:name="_Toc12390"/>
      <w:r>
        <w:rPr>
          <w:rFonts w:hint="eastAsia" w:ascii="宋体" w:hAnsi="宋体" w:cs="宋体"/>
          <w:b w:val="0"/>
          <w:bCs w:val="0"/>
          <w:sz w:val="24"/>
          <w:szCs w:val="24"/>
        </w:rPr>
        <w:t>附件三、投标方基本情况表</w:t>
      </w:r>
      <w:bookmarkEnd w:id="196"/>
      <w:bookmarkEnd w:id="197"/>
      <w:bookmarkEnd w:id="198"/>
      <w:bookmarkEnd w:id="199"/>
      <w:bookmarkEnd w:id="200"/>
      <w:bookmarkEnd w:id="201"/>
    </w:p>
    <w:p>
      <w:pPr>
        <w:pStyle w:val="31"/>
        <w:spacing w:after="0" w:line="460" w:lineRule="exact"/>
        <w:jc w:val="center"/>
      </w:pPr>
      <w:r>
        <w:rPr>
          <w:rFonts w:hint="eastAsia" w:ascii="宋体" w:hAnsi="宋体" w:cs="宋体"/>
          <w:b/>
          <w:bCs/>
          <w:sz w:val="32"/>
          <w:szCs w:val="32"/>
        </w:rPr>
        <w:t>投标方基本情况表</w:t>
      </w:r>
    </w:p>
    <w:p>
      <w:pPr>
        <w:rPr>
          <w:rFonts w:ascii="宋体" w:hAnsi="宋体"/>
          <w:sz w:val="24"/>
        </w:rPr>
      </w:pPr>
    </w:p>
    <w:p>
      <w:pPr>
        <w:spacing w:line="60" w:lineRule="exact"/>
        <w:rPr>
          <w:rFonts w:ascii="宋体" w:hAnsi="宋体"/>
          <w:sz w:val="24"/>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25"/>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rPr>
          <w:rFonts w:ascii="宋体" w:hAnsi="宋体"/>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pStyle w:val="31"/>
        <w:spacing w:after="0" w:line="560" w:lineRule="exact"/>
        <w:rPr>
          <w:rFonts w:ascii="宋体" w:hAnsi="宋体"/>
        </w:rPr>
        <w:sectPr>
          <w:pgSz w:w="11907" w:h="16840"/>
          <w:pgMar w:top="1702" w:right="1418" w:bottom="1418" w:left="1418" w:header="851" w:footer="822" w:gutter="0"/>
          <w:cols w:space="720" w:num="1"/>
          <w:docGrid w:linePitch="290" w:charSpace="-3931"/>
        </w:sectPr>
      </w:pPr>
      <w:r>
        <w:rPr>
          <w:rFonts w:hint="eastAsia" w:ascii="宋体" w:hAnsi="宋体"/>
          <w:sz w:val="24"/>
        </w:rPr>
        <w:t>日  期：年月日</w:t>
      </w:r>
    </w:p>
    <w:p>
      <w:pPr>
        <w:pStyle w:val="5"/>
        <w:spacing w:before="120" w:after="120" w:line="360" w:lineRule="exact"/>
        <w:rPr>
          <w:rFonts w:ascii="宋体" w:hAnsi="宋体"/>
          <w:b w:val="0"/>
          <w:bCs w:val="0"/>
          <w:sz w:val="24"/>
          <w:szCs w:val="24"/>
        </w:rPr>
      </w:pPr>
      <w:bookmarkStart w:id="202" w:name="_Toc453709583"/>
      <w:bookmarkStart w:id="203" w:name="_Toc32626"/>
      <w:r>
        <w:rPr>
          <w:rFonts w:hint="eastAsia" w:ascii="宋体" w:hAnsi="宋体" w:cs="宋体"/>
          <w:b w:val="0"/>
          <w:bCs w:val="0"/>
          <w:sz w:val="24"/>
          <w:szCs w:val="24"/>
        </w:rPr>
        <w:t>附件四：开标一览表</w:t>
      </w:r>
      <w:bookmarkEnd w:id="202"/>
      <w:bookmarkEnd w:id="203"/>
    </w:p>
    <w:p>
      <w:pPr>
        <w:pStyle w:val="31"/>
        <w:spacing w:after="0" w:line="460" w:lineRule="exact"/>
        <w:jc w:val="center"/>
        <w:rPr>
          <w:rFonts w:ascii="宋体" w:hAnsi="宋体"/>
          <w:b/>
          <w:bCs/>
          <w:sz w:val="32"/>
          <w:szCs w:val="32"/>
        </w:rPr>
      </w:pPr>
      <w:r>
        <w:rPr>
          <w:rFonts w:hint="eastAsia" w:ascii="宋体" w:hAnsi="宋体" w:cs="宋体"/>
          <w:b/>
          <w:bCs/>
          <w:sz w:val="32"/>
          <w:szCs w:val="32"/>
        </w:rPr>
        <w:t>开标一览表</w:t>
      </w:r>
    </w:p>
    <w:p>
      <w:pPr>
        <w:pStyle w:val="32"/>
        <w:spacing w:line="360" w:lineRule="exact"/>
        <w:ind w:left="0" w:leftChars="0" w:firstLine="0" w:firstLineChars="0"/>
        <w:rPr>
          <w:rFonts w:ascii="宋体" w:hAnsi="宋体" w:cs="宋体"/>
          <w:sz w:val="24"/>
          <w:szCs w:val="24"/>
        </w:rPr>
      </w:pPr>
      <w:r>
        <w:rPr>
          <w:rFonts w:hint="eastAsia" w:ascii="宋体" w:hAnsi="宋体" w:cs="宋体"/>
          <w:sz w:val="24"/>
          <w:szCs w:val="24"/>
        </w:rPr>
        <w:t>项目编号</w:t>
      </w:r>
      <w:r>
        <w:rPr>
          <w:rFonts w:hint="eastAsia" w:ascii="宋体" w:hAnsi="宋体" w:cs="宋体"/>
          <w:b/>
          <w:bCs/>
          <w:sz w:val="24"/>
          <w:szCs w:val="24"/>
        </w:rPr>
        <w:t>：</w:t>
      </w:r>
    </w:p>
    <w:p>
      <w:pPr>
        <w:pStyle w:val="32"/>
        <w:spacing w:line="360" w:lineRule="exact"/>
        <w:ind w:left="0" w:leftChars="0" w:firstLine="0" w:firstLineChars="0"/>
        <w:rPr>
          <w:rFonts w:ascii="宋体" w:hAnsi="宋体"/>
        </w:rPr>
      </w:pPr>
      <w:r>
        <w:rPr>
          <w:rFonts w:hint="eastAsia" w:ascii="宋体" w:hAnsi="宋体" w:cs="宋体"/>
          <w:sz w:val="24"/>
          <w:szCs w:val="24"/>
        </w:rPr>
        <w:t>项目名称</w:t>
      </w:r>
      <w:r>
        <w:rPr>
          <w:rFonts w:hint="eastAsia" w:ascii="宋体" w:hAnsi="宋体" w:cs="宋体"/>
          <w:b/>
          <w:bCs/>
          <w:sz w:val="24"/>
          <w:szCs w:val="24"/>
        </w:rPr>
        <w:t>：</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
        <w:gridCol w:w="117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投标方名称</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交货期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自最终验收报告签署之日（以签署日期最晚者为准）起年。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spacing w:line="400" w:lineRule="exact"/>
        <w:rPr>
          <w:rFonts w:ascii="宋体" w:hAnsi="宋体"/>
          <w:b/>
          <w:bCs/>
        </w:rPr>
      </w:pPr>
    </w:p>
    <w:p>
      <w:pPr>
        <w:spacing w:line="40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00" w:lineRule="auto"/>
        <w:rPr>
          <w:rFonts w:ascii="宋体" w:hAnsi="宋体"/>
          <w:b/>
          <w:bCs/>
        </w:rPr>
      </w:pPr>
      <w:r>
        <w:rPr>
          <w:rFonts w:hint="eastAsia" w:ascii="宋体" w:hAnsi="宋体"/>
          <w:b/>
          <w:bCs/>
        </w:rPr>
        <w:t>2、本表除附在投标文件中外，还应一式三份单独密封，以便唱标。</w:t>
      </w:r>
    </w:p>
    <w:p>
      <w:pPr>
        <w:spacing w:line="66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400" w:lineRule="exact"/>
        <w:ind w:right="120" w:firstLine="720" w:firstLineChars="300"/>
        <w:jc w:val="right"/>
        <w:rPr>
          <w:rFonts w:ascii="宋体" w:hAnsi="宋体"/>
          <w:sz w:val="24"/>
          <w:szCs w:val="24"/>
        </w:rPr>
      </w:pPr>
    </w:p>
    <w:p>
      <w:pPr>
        <w:pStyle w:val="31"/>
        <w:spacing w:after="0"/>
        <w:jc w:val="right"/>
        <w:outlineLvl w:val="0"/>
        <w:rPr>
          <w:rFonts w:ascii="宋体" w:hAnsi="宋体"/>
        </w:rPr>
        <w:sectPr>
          <w:pgSz w:w="11907" w:h="16840"/>
          <w:pgMar w:top="1418" w:right="1418" w:bottom="1418" w:left="1418" w:header="851" w:footer="851" w:gutter="0"/>
          <w:cols w:space="720" w:num="1"/>
          <w:docGrid w:linePitch="290" w:charSpace="-3931"/>
        </w:sectPr>
      </w:pPr>
    </w:p>
    <w:p>
      <w:pPr>
        <w:pStyle w:val="5"/>
        <w:spacing w:before="120" w:after="120" w:line="360" w:lineRule="exact"/>
        <w:rPr>
          <w:rFonts w:ascii="宋体" w:hAnsi="宋体" w:cs="宋体"/>
          <w:b w:val="0"/>
          <w:bCs w:val="0"/>
          <w:sz w:val="24"/>
          <w:szCs w:val="24"/>
        </w:rPr>
      </w:pPr>
      <w:bookmarkStart w:id="204" w:name="_Toc424118185"/>
      <w:bookmarkStart w:id="205" w:name="_Toc10773"/>
      <w:bookmarkStart w:id="206" w:name="_Toc518655808"/>
      <w:bookmarkStart w:id="207" w:name="_Toc18551"/>
      <w:bookmarkStart w:id="208" w:name="_Toc353881016"/>
      <w:bookmarkStart w:id="209" w:name="_Toc8265"/>
      <w:r>
        <w:rPr>
          <w:rFonts w:hint="eastAsia" w:ascii="宋体" w:hAnsi="宋体" w:cs="宋体"/>
          <w:b w:val="0"/>
          <w:bCs w:val="0"/>
          <w:sz w:val="24"/>
          <w:szCs w:val="24"/>
        </w:rPr>
        <w:t>附件五、投标分项报价表</w:t>
      </w:r>
      <w:bookmarkEnd w:id="204"/>
      <w:bookmarkEnd w:id="205"/>
      <w:bookmarkEnd w:id="206"/>
      <w:bookmarkEnd w:id="207"/>
      <w:bookmarkEnd w:id="208"/>
      <w:bookmarkEnd w:id="209"/>
    </w:p>
    <w:p>
      <w:pPr>
        <w:pStyle w:val="31"/>
        <w:spacing w:after="0" w:line="460" w:lineRule="exact"/>
        <w:jc w:val="center"/>
        <w:rPr>
          <w:rFonts w:ascii="宋体" w:hAnsi="宋体" w:cs="宋体"/>
          <w:b/>
          <w:bCs/>
          <w:sz w:val="32"/>
          <w:szCs w:val="32"/>
        </w:rPr>
      </w:pPr>
      <w:r>
        <w:rPr>
          <w:rFonts w:hint="eastAsia" w:ascii="宋体" w:hAnsi="宋体" w:cs="宋体"/>
          <w:b/>
          <w:bCs/>
          <w:sz w:val="32"/>
          <w:szCs w:val="32"/>
        </w:rPr>
        <w:t>投标分项报价表</w:t>
      </w:r>
    </w:p>
    <w:p>
      <w:pPr>
        <w:pStyle w:val="31"/>
        <w:spacing w:after="0" w:line="460" w:lineRule="exact"/>
        <w:jc w:val="center"/>
        <w:rPr>
          <w:rFonts w:ascii="宋体" w:hAnsi="宋体" w:cs="宋体"/>
          <w:b/>
          <w:bCs/>
          <w:sz w:val="32"/>
          <w:szCs w:val="32"/>
        </w:rPr>
      </w:pPr>
      <w:r>
        <w:rPr>
          <w:rFonts w:hint="eastAsia" w:ascii="宋体" w:hAnsi="宋体" w:cs="宋体"/>
          <w:b/>
          <w:bCs/>
          <w:sz w:val="32"/>
          <w:szCs w:val="32"/>
        </w:rPr>
        <w:t>（具体格式件附件</w:t>
      </w:r>
      <w:r>
        <w:rPr>
          <w:rFonts w:hint="eastAsia" w:ascii="宋体" w:hAnsi="宋体" w:cs="宋体"/>
          <w:b/>
          <w:bCs/>
          <w:sz w:val="32"/>
          <w:szCs w:val="32"/>
          <w:lang w:val="en-US" w:eastAsia="zh-CN"/>
        </w:rPr>
        <w:t>4</w:t>
      </w:r>
      <w:r>
        <w:rPr>
          <w:rFonts w:hint="eastAsia" w:ascii="宋体" w:hAnsi="宋体" w:cs="宋体"/>
          <w:b/>
          <w:bCs/>
          <w:sz w:val="32"/>
          <w:szCs w:val="32"/>
        </w:rPr>
        <w:t>的模具分项报价表）</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注：</w:t>
      </w:r>
    </w:p>
    <w:p>
      <w:pPr>
        <w:numPr>
          <w:ilvl w:val="0"/>
          <w:numId w:val="7"/>
        </w:numPr>
        <w:rPr>
          <w:rFonts w:ascii="宋体" w:hAnsi="宋体"/>
          <w:sz w:val="24"/>
        </w:rPr>
      </w:pPr>
      <w:r>
        <w:rPr>
          <w:rFonts w:hint="eastAsia" w:ascii="宋体" w:hAnsi="宋体"/>
          <w:sz w:val="24"/>
        </w:rPr>
        <w:t>选购件不包括在本报价表内，应另附纸分项单报。</w:t>
      </w:r>
    </w:p>
    <w:p>
      <w:pPr>
        <w:numPr>
          <w:ilvl w:val="0"/>
          <w:numId w:val="7"/>
        </w:numPr>
        <w:rPr>
          <w:rFonts w:ascii="宋体" w:hAnsi="宋体"/>
          <w:sz w:val="24"/>
        </w:rPr>
      </w:pPr>
      <w:r>
        <w:rPr>
          <w:rFonts w:hint="eastAsia" w:ascii="宋体" w:hAnsi="宋体"/>
          <w:sz w:val="24"/>
        </w:rPr>
        <w:t>如上表中的有关费用投标方免费提供，请注明“免费”字样。</w:t>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660" w:lineRule="exact"/>
        <w:rPr>
          <w:rFonts w:ascii="宋体" w:hAnsi="宋体"/>
          <w:sz w:val="24"/>
        </w:rPr>
      </w:pPr>
    </w:p>
    <w:p>
      <w:pPr>
        <w:spacing w:line="660" w:lineRule="exact"/>
        <w:rPr>
          <w:rFonts w:ascii="宋体" w:hAnsi="宋体"/>
          <w:sz w:val="24"/>
        </w:rPr>
      </w:pPr>
    </w:p>
    <w:p>
      <w:pPr>
        <w:spacing w:line="660" w:lineRule="exact"/>
        <w:rPr>
          <w:rFonts w:ascii="宋体" w:hAnsi="宋体"/>
          <w:sz w:val="24"/>
        </w:rPr>
      </w:pPr>
    </w:p>
    <w:p>
      <w:pPr>
        <w:spacing w:line="660" w:lineRule="exact"/>
        <w:rPr>
          <w:rFonts w:ascii="宋体" w:hAnsi="宋体"/>
          <w:sz w:val="24"/>
        </w:rPr>
      </w:pPr>
    </w:p>
    <w:p>
      <w:pPr>
        <w:spacing w:line="660" w:lineRule="exact"/>
        <w:rPr>
          <w:rFonts w:ascii="宋体" w:hAnsi="宋体"/>
          <w:sz w:val="24"/>
        </w:rPr>
      </w:pPr>
    </w:p>
    <w:p>
      <w:pPr>
        <w:spacing w:line="660" w:lineRule="exact"/>
        <w:rPr>
          <w:rFonts w:ascii="宋体" w:hAnsi="宋体"/>
          <w:sz w:val="24"/>
        </w:rPr>
      </w:pPr>
    </w:p>
    <w:p>
      <w:pPr>
        <w:pStyle w:val="5"/>
        <w:spacing w:before="120" w:after="120" w:line="360" w:lineRule="exact"/>
        <w:rPr>
          <w:rFonts w:ascii="宋体" w:hAnsi="宋体" w:cs="宋体"/>
          <w:b w:val="0"/>
          <w:bCs w:val="0"/>
          <w:sz w:val="24"/>
          <w:szCs w:val="24"/>
        </w:rPr>
      </w:pPr>
      <w:bookmarkStart w:id="210" w:name="_Toc518655809"/>
      <w:bookmarkStart w:id="211" w:name="_Toc353881017"/>
      <w:bookmarkStart w:id="212" w:name="_Toc28588"/>
      <w:bookmarkStart w:id="213" w:name="_Toc424118186"/>
      <w:bookmarkStart w:id="214" w:name="_Toc26556"/>
      <w:bookmarkStart w:id="215" w:name="_Toc14336"/>
      <w:r>
        <w:rPr>
          <w:rFonts w:hint="eastAsia" w:ascii="宋体" w:hAnsi="宋体" w:cs="宋体"/>
          <w:b w:val="0"/>
          <w:bCs w:val="0"/>
          <w:sz w:val="24"/>
          <w:szCs w:val="24"/>
        </w:rPr>
        <w:t>附件六、设备投标报价分解表</w:t>
      </w:r>
      <w:bookmarkEnd w:id="210"/>
      <w:bookmarkEnd w:id="211"/>
      <w:bookmarkEnd w:id="212"/>
      <w:bookmarkEnd w:id="213"/>
      <w:bookmarkEnd w:id="214"/>
      <w:bookmarkEnd w:id="215"/>
    </w:p>
    <w:p>
      <w:pPr>
        <w:pStyle w:val="31"/>
        <w:spacing w:after="0" w:line="460" w:lineRule="exact"/>
        <w:jc w:val="center"/>
        <w:rPr>
          <w:rFonts w:ascii="宋体" w:hAnsi="宋体" w:cs="宋体"/>
          <w:b/>
          <w:bCs/>
          <w:sz w:val="32"/>
          <w:szCs w:val="32"/>
        </w:rPr>
      </w:pPr>
      <w:r>
        <w:rPr>
          <w:rFonts w:hint="eastAsia" w:ascii="宋体" w:hAnsi="宋体" w:cs="宋体"/>
          <w:b/>
          <w:bCs/>
          <w:sz w:val="32"/>
          <w:szCs w:val="32"/>
        </w:rPr>
        <w:t>设备投标报价分解表</w:t>
      </w:r>
    </w:p>
    <w:p>
      <w:pPr>
        <w:spacing w:line="520" w:lineRule="exact"/>
        <w:rPr>
          <w:rFonts w:ascii="宋体" w:hAnsi="宋体"/>
          <w:sz w:val="24"/>
          <w:u w:val="single"/>
        </w:rPr>
      </w:pPr>
      <w:r>
        <w:rPr>
          <w:rFonts w:hint="eastAsia" w:ascii="宋体" w:hAnsi="宋体"/>
          <w:sz w:val="24"/>
        </w:rPr>
        <w:t>项目名称：  招标编号：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40"/>
        <w:gridCol w:w="2283"/>
        <w:gridCol w:w="817"/>
        <w:gridCol w:w="736"/>
        <w:gridCol w:w="1337"/>
        <w:gridCol w:w="636"/>
        <w:gridCol w:w="75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48" w:hRule="atLeast"/>
          <w:jc w:val="center"/>
        </w:trPr>
        <w:tc>
          <w:tcPr>
            <w:tcW w:w="740" w:type="dxa"/>
            <w:vAlign w:val="center"/>
          </w:tcPr>
          <w:p>
            <w:pPr>
              <w:jc w:val="center"/>
              <w:rPr>
                <w:rFonts w:ascii="宋体" w:hAnsi="宋体"/>
                <w:b/>
                <w:sz w:val="24"/>
              </w:rPr>
            </w:pPr>
            <w:r>
              <w:rPr>
                <w:rFonts w:hint="eastAsia" w:ascii="宋体" w:hAnsi="宋体"/>
                <w:b/>
                <w:sz w:val="24"/>
              </w:rPr>
              <w:t>序 号</w:t>
            </w:r>
          </w:p>
        </w:tc>
        <w:tc>
          <w:tcPr>
            <w:tcW w:w="2283" w:type="dxa"/>
            <w:vAlign w:val="center"/>
          </w:tcPr>
          <w:p>
            <w:pPr>
              <w:jc w:val="center"/>
              <w:rPr>
                <w:rFonts w:ascii="宋体" w:hAnsi="宋体"/>
                <w:b/>
                <w:sz w:val="24"/>
              </w:rPr>
            </w:pPr>
            <w:r>
              <w:rPr>
                <w:rFonts w:hint="eastAsia" w:ascii="宋体" w:hAnsi="宋体"/>
                <w:b/>
                <w:sz w:val="24"/>
              </w:rPr>
              <w:t>货物或主</w:t>
            </w:r>
          </w:p>
          <w:p>
            <w:pPr>
              <w:jc w:val="center"/>
              <w:rPr>
                <w:rFonts w:ascii="宋体" w:hAnsi="宋体"/>
                <w:b/>
                <w:sz w:val="24"/>
              </w:rPr>
            </w:pPr>
            <w:r>
              <w:rPr>
                <w:rFonts w:hint="eastAsia" w:ascii="宋体" w:hAnsi="宋体"/>
                <w:b/>
                <w:sz w:val="24"/>
              </w:rPr>
              <w:t>部件名称</w:t>
            </w:r>
          </w:p>
        </w:tc>
        <w:tc>
          <w:tcPr>
            <w:tcW w:w="817" w:type="dxa"/>
            <w:vAlign w:val="center"/>
          </w:tcPr>
          <w:p>
            <w:pPr>
              <w:jc w:val="center"/>
              <w:rPr>
                <w:rFonts w:ascii="宋体" w:hAnsi="宋体"/>
                <w:b/>
                <w:sz w:val="24"/>
              </w:rPr>
            </w:pPr>
            <w:r>
              <w:rPr>
                <w:rFonts w:hint="eastAsia" w:ascii="宋体" w:hAnsi="宋体"/>
                <w:b/>
                <w:sz w:val="24"/>
              </w:rPr>
              <w:t>规 格</w:t>
            </w:r>
          </w:p>
        </w:tc>
        <w:tc>
          <w:tcPr>
            <w:tcW w:w="736" w:type="dxa"/>
            <w:vAlign w:val="center"/>
          </w:tcPr>
          <w:p>
            <w:pPr>
              <w:jc w:val="center"/>
              <w:rPr>
                <w:rFonts w:ascii="宋体" w:hAnsi="宋体"/>
                <w:b/>
                <w:sz w:val="24"/>
              </w:rPr>
            </w:pPr>
            <w:r>
              <w:rPr>
                <w:rFonts w:hint="eastAsia" w:ascii="宋体" w:hAnsi="宋体"/>
                <w:b/>
                <w:sz w:val="24"/>
              </w:rPr>
              <w:t>单 位</w:t>
            </w:r>
          </w:p>
        </w:tc>
        <w:tc>
          <w:tcPr>
            <w:tcW w:w="1337" w:type="dxa"/>
            <w:vAlign w:val="center"/>
          </w:tcPr>
          <w:p>
            <w:pPr>
              <w:jc w:val="center"/>
              <w:rPr>
                <w:rFonts w:ascii="宋体" w:hAnsi="宋体"/>
                <w:b/>
                <w:sz w:val="24"/>
              </w:rPr>
            </w:pPr>
            <w:r>
              <w:rPr>
                <w:rFonts w:hint="eastAsia" w:ascii="宋体" w:hAnsi="宋体"/>
                <w:b/>
                <w:sz w:val="24"/>
              </w:rPr>
              <w:t>制造商名称</w:t>
            </w:r>
          </w:p>
        </w:tc>
        <w:tc>
          <w:tcPr>
            <w:tcW w:w="636" w:type="dxa"/>
            <w:vAlign w:val="center"/>
          </w:tcPr>
          <w:p>
            <w:pPr>
              <w:jc w:val="center"/>
              <w:rPr>
                <w:rFonts w:ascii="宋体" w:hAnsi="宋体"/>
                <w:b/>
                <w:sz w:val="24"/>
              </w:rPr>
            </w:pPr>
            <w:r>
              <w:rPr>
                <w:rFonts w:hint="eastAsia" w:ascii="宋体" w:hAnsi="宋体"/>
                <w:b/>
                <w:sz w:val="24"/>
              </w:rPr>
              <w:t>数  量</w:t>
            </w:r>
          </w:p>
        </w:tc>
        <w:tc>
          <w:tcPr>
            <w:tcW w:w="756" w:type="dxa"/>
            <w:vAlign w:val="center"/>
          </w:tcPr>
          <w:p>
            <w:pPr>
              <w:jc w:val="center"/>
              <w:rPr>
                <w:rFonts w:ascii="宋体" w:hAnsi="宋体"/>
                <w:b/>
                <w:sz w:val="24"/>
              </w:rPr>
            </w:pPr>
            <w:r>
              <w:rPr>
                <w:rFonts w:hint="eastAsia" w:ascii="宋体" w:hAnsi="宋体"/>
                <w:b/>
                <w:sz w:val="24"/>
              </w:rPr>
              <w:t>单价</w:t>
            </w:r>
          </w:p>
        </w:tc>
        <w:tc>
          <w:tcPr>
            <w:tcW w:w="1135" w:type="dxa"/>
            <w:vAlign w:val="center"/>
          </w:tcPr>
          <w:p>
            <w:pPr>
              <w:jc w:val="center"/>
              <w:rPr>
                <w:rFonts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restart"/>
            <w:vAlign w:val="center"/>
          </w:tcPr>
          <w:p>
            <w:pPr>
              <w:jc w:val="center"/>
              <w:rPr>
                <w:rFonts w:ascii="宋体" w:hAnsi="宋体"/>
              </w:rPr>
            </w:pPr>
            <w:r>
              <w:rPr>
                <w:rFonts w:hint="eastAsia" w:ascii="宋体" w:hAnsi="宋体"/>
              </w:rPr>
              <w:t>1</w:t>
            </w:r>
          </w:p>
        </w:tc>
        <w:tc>
          <w:tcPr>
            <w:tcW w:w="7700" w:type="dxa"/>
            <w:gridSpan w:val="7"/>
            <w:vAlign w:val="center"/>
          </w:tcPr>
          <w:p>
            <w:pPr>
              <w:jc w:val="center"/>
              <w:rPr>
                <w:rFonts w:ascii="宋体" w:hAnsi="宋体"/>
              </w:rPr>
            </w:pPr>
            <w:r>
              <w:rPr>
                <w:rFonts w:hint="eastAsia" w:ascii="宋体" w:hAnsi="宋体"/>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主要部件1</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主要部件2</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主要部件3</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77" w:hRule="atLeast"/>
          <w:jc w:val="center"/>
        </w:trPr>
        <w:tc>
          <w:tcPr>
            <w:tcW w:w="740" w:type="dxa"/>
          </w:tcPr>
          <w:p>
            <w:pPr>
              <w:rPr>
                <w:rFonts w:ascii="宋体" w:hAnsi="宋体"/>
              </w:rPr>
            </w:pPr>
          </w:p>
        </w:tc>
        <w:tc>
          <w:tcPr>
            <w:tcW w:w="2283" w:type="dxa"/>
            <w:vAlign w:val="center"/>
          </w:tcPr>
          <w:p>
            <w:pPr>
              <w:jc w:val="center"/>
              <w:rPr>
                <w:rFonts w:ascii="宋体" w:hAnsi="宋体"/>
              </w:rPr>
            </w:pPr>
            <w:r>
              <w:rPr>
                <w:rFonts w:hint="eastAsia" w:ascii="宋体" w:hAnsi="宋体"/>
              </w:rPr>
              <w:t>合计</w:t>
            </w:r>
          </w:p>
        </w:tc>
        <w:tc>
          <w:tcPr>
            <w:tcW w:w="5417" w:type="dxa"/>
            <w:gridSpan w:val="6"/>
            <w:vAlign w:val="center"/>
          </w:tcPr>
          <w:p>
            <w:pPr>
              <w:jc w:val="center"/>
              <w:rPr>
                <w:rFonts w:ascii="宋体" w:hAnsi="宋体"/>
              </w:rPr>
            </w:pPr>
          </w:p>
        </w:tc>
      </w:tr>
    </w:tbl>
    <w:p>
      <w:pPr>
        <w:rPr>
          <w:rFonts w:ascii="宋体" w:hAnsi="宋体"/>
          <w:sz w:val="24"/>
        </w:rPr>
      </w:pPr>
    </w:p>
    <w:p>
      <w:pPr>
        <w:ind w:firstLine="600"/>
        <w:rPr>
          <w:rFonts w:ascii="宋体" w:hAnsi="宋体"/>
          <w:sz w:val="24"/>
        </w:rPr>
      </w:pPr>
      <w:r>
        <w:rPr>
          <w:rFonts w:hint="eastAsia" w:ascii="宋体" w:hAnsi="宋体"/>
          <w:sz w:val="24"/>
        </w:rPr>
        <w:t>除填写本表外，投标方还应提供以下附件</w:t>
      </w:r>
      <w:r>
        <w:rPr>
          <w:rFonts w:ascii="宋体" w:hAnsi="宋体"/>
          <w:sz w:val="24"/>
        </w:rPr>
        <w:t xml:space="preserve"> :</w:t>
      </w:r>
    </w:p>
    <w:p>
      <w:pPr>
        <w:ind w:firstLine="6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特殊工具清单及价目表</w:t>
      </w:r>
    </w:p>
    <w:p>
      <w:pPr>
        <w:ind w:firstLine="6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备品、备件清单及价目表</w:t>
      </w:r>
    </w:p>
    <w:p>
      <w:pPr>
        <w:ind w:firstLine="600"/>
        <w:rPr>
          <w:rFonts w:ascii="宋体" w:hAnsi="宋体"/>
          <w:sz w:val="24"/>
        </w:rPr>
      </w:pPr>
      <w:r>
        <w:rPr>
          <w:rFonts w:hint="eastAsia" w:ascii="宋体" w:hAnsi="宋体"/>
          <w:sz w:val="24"/>
        </w:rPr>
        <w:t>3)  专用耗材清单及价目表</w:t>
      </w:r>
    </w:p>
    <w:p>
      <w:pPr>
        <w:ind w:firstLine="600"/>
        <w:rPr>
          <w:rFonts w:ascii="宋体" w:hAnsi="宋体"/>
          <w:sz w:val="24"/>
        </w:rPr>
      </w:pPr>
      <w:r>
        <w:rPr>
          <w:rFonts w:hint="eastAsia" w:ascii="宋体" w:hAnsi="宋体"/>
          <w:sz w:val="24"/>
        </w:rPr>
        <w:t>4）所需进口关键元器件、原材料清单及价目表</w:t>
      </w:r>
      <w:r>
        <w:rPr>
          <w:rFonts w:ascii="宋体" w:hAnsi="宋体"/>
          <w:sz w:val="24"/>
        </w:rPr>
        <w:tab/>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660" w:lineRule="exact"/>
        <w:rPr>
          <w:rFonts w:ascii="宋体" w:hAnsi="宋体"/>
          <w:sz w:val="24"/>
        </w:rPr>
      </w:pPr>
    </w:p>
    <w:p>
      <w:pPr>
        <w:spacing w:line="660" w:lineRule="exact"/>
        <w:rPr>
          <w:rFonts w:ascii="宋体" w:hAnsi="宋体"/>
          <w:sz w:val="24"/>
        </w:rPr>
      </w:pPr>
    </w:p>
    <w:p>
      <w:pPr>
        <w:pStyle w:val="5"/>
        <w:spacing w:before="120" w:after="120" w:line="360" w:lineRule="exact"/>
        <w:rPr>
          <w:rFonts w:ascii="宋体" w:hAnsi="宋体" w:cs="宋体"/>
          <w:b w:val="0"/>
          <w:bCs w:val="0"/>
          <w:sz w:val="24"/>
          <w:szCs w:val="24"/>
        </w:rPr>
      </w:pPr>
      <w:bookmarkStart w:id="216" w:name="_Toc21644"/>
      <w:bookmarkStart w:id="217" w:name="_Toc424118187"/>
      <w:bookmarkStart w:id="218" w:name="_Toc29489"/>
      <w:bookmarkStart w:id="219" w:name="_Toc353881018"/>
      <w:bookmarkStart w:id="220" w:name="_Toc518655810"/>
      <w:bookmarkStart w:id="221" w:name="_Toc21906"/>
      <w:r>
        <w:rPr>
          <w:rFonts w:hint="eastAsia" w:ascii="宋体" w:hAnsi="宋体" w:cs="宋体"/>
          <w:b w:val="0"/>
          <w:bCs w:val="0"/>
          <w:sz w:val="24"/>
          <w:szCs w:val="24"/>
        </w:rPr>
        <w:t>附件七、技术规格偏离表</w:t>
      </w:r>
      <w:bookmarkEnd w:id="216"/>
      <w:bookmarkEnd w:id="217"/>
      <w:bookmarkEnd w:id="218"/>
      <w:bookmarkEnd w:id="219"/>
      <w:bookmarkEnd w:id="220"/>
      <w:bookmarkEnd w:id="221"/>
    </w:p>
    <w:p>
      <w:pPr>
        <w:pStyle w:val="31"/>
        <w:spacing w:after="0" w:line="460" w:lineRule="exact"/>
        <w:jc w:val="center"/>
        <w:rPr>
          <w:rFonts w:ascii="宋体" w:hAnsi="宋体" w:cs="宋体"/>
          <w:b/>
          <w:bCs/>
          <w:sz w:val="32"/>
          <w:szCs w:val="32"/>
        </w:rPr>
      </w:pPr>
      <w:r>
        <w:rPr>
          <w:rFonts w:hint="eastAsia" w:ascii="宋体" w:hAnsi="宋体" w:cs="宋体"/>
          <w:b/>
          <w:bCs/>
          <w:sz w:val="32"/>
          <w:szCs w:val="32"/>
        </w:rPr>
        <w:t>技术规格偏离表</w:t>
      </w:r>
    </w:p>
    <w:p>
      <w:pPr>
        <w:spacing w:line="520" w:lineRule="exact"/>
        <w:rPr>
          <w:rFonts w:ascii="宋体" w:hAnsi="宋体"/>
          <w:sz w:val="24"/>
          <w:u w:val="single"/>
        </w:rPr>
      </w:pPr>
      <w:r>
        <w:rPr>
          <w:rFonts w:hint="eastAsia" w:ascii="宋体" w:hAnsi="宋体"/>
          <w:sz w:val="24"/>
        </w:rPr>
        <w:t>项目名称：      招标编号：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66"/>
        <w:gridCol w:w="2062"/>
        <w:gridCol w:w="2233"/>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vAlign w:val="center"/>
          </w:tcPr>
          <w:p>
            <w:pPr>
              <w:jc w:val="center"/>
              <w:rPr>
                <w:rFonts w:ascii="宋体" w:hAnsi="宋体"/>
                <w:b/>
                <w:sz w:val="24"/>
              </w:rPr>
            </w:pPr>
            <w:r>
              <w:rPr>
                <w:rFonts w:hint="eastAsia" w:ascii="宋体" w:hAnsi="宋体"/>
                <w:b/>
                <w:sz w:val="24"/>
              </w:rPr>
              <w:t>序号</w:t>
            </w:r>
          </w:p>
        </w:tc>
        <w:tc>
          <w:tcPr>
            <w:tcW w:w="1866" w:type="dxa"/>
            <w:vAlign w:val="center"/>
          </w:tcPr>
          <w:p>
            <w:pPr>
              <w:jc w:val="center"/>
              <w:rPr>
                <w:rFonts w:ascii="宋体" w:hAnsi="宋体"/>
                <w:b/>
                <w:sz w:val="24"/>
              </w:rPr>
            </w:pPr>
            <w:r>
              <w:rPr>
                <w:rFonts w:hint="eastAsia" w:ascii="宋体" w:hAnsi="宋体"/>
                <w:b/>
                <w:sz w:val="24"/>
              </w:rPr>
              <w:t>货物名称</w:t>
            </w:r>
          </w:p>
        </w:tc>
        <w:tc>
          <w:tcPr>
            <w:tcW w:w="2062" w:type="dxa"/>
            <w:vAlign w:val="center"/>
          </w:tcPr>
          <w:p>
            <w:pPr>
              <w:jc w:val="center"/>
              <w:rPr>
                <w:rFonts w:ascii="宋体" w:hAnsi="宋体"/>
                <w:b/>
                <w:sz w:val="24"/>
              </w:rPr>
            </w:pPr>
            <w:r>
              <w:rPr>
                <w:rFonts w:hint="eastAsia" w:ascii="宋体" w:hAnsi="宋体"/>
                <w:b/>
                <w:sz w:val="24"/>
              </w:rPr>
              <w:t>招标文件条款号</w:t>
            </w:r>
          </w:p>
        </w:tc>
        <w:tc>
          <w:tcPr>
            <w:tcW w:w="2233" w:type="dxa"/>
            <w:vAlign w:val="center"/>
          </w:tcPr>
          <w:p>
            <w:pPr>
              <w:jc w:val="center"/>
              <w:rPr>
                <w:rFonts w:ascii="宋体" w:hAnsi="宋体"/>
                <w:b/>
                <w:sz w:val="24"/>
              </w:rPr>
            </w:pPr>
            <w:r>
              <w:rPr>
                <w:rFonts w:hint="eastAsia" w:ascii="宋体" w:hAnsi="宋体"/>
                <w:b/>
                <w:sz w:val="24"/>
              </w:rPr>
              <w:t>招标文件条款内容</w:t>
            </w:r>
          </w:p>
        </w:tc>
        <w:tc>
          <w:tcPr>
            <w:tcW w:w="878" w:type="dxa"/>
            <w:vAlign w:val="center"/>
          </w:tcPr>
          <w:p>
            <w:pPr>
              <w:jc w:val="center"/>
              <w:rPr>
                <w:rFonts w:ascii="宋体" w:hAnsi="宋体"/>
                <w:b/>
                <w:sz w:val="24"/>
              </w:rPr>
            </w:pPr>
            <w:r>
              <w:rPr>
                <w:rFonts w:hint="eastAsia" w:ascii="宋体" w:hAnsi="宋体"/>
                <w:b/>
                <w:sz w:val="24"/>
              </w:rPr>
              <w:t>偏离</w:t>
            </w:r>
          </w:p>
        </w:tc>
        <w:tc>
          <w:tcPr>
            <w:tcW w:w="878"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rPr>
      </w:pPr>
    </w:p>
    <w:p>
      <w:pPr>
        <w:pStyle w:val="5"/>
        <w:spacing w:before="120" w:after="120" w:line="360" w:lineRule="exact"/>
        <w:rPr>
          <w:rFonts w:ascii="宋体" w:hAnsi="宋体" w:cs="宋体"/>
          <w:b w:val="0"/>
          <w:bCs w:val="0"/>
          <w:sz w:val="24"/>
          <w:szCs w:val="24"/>
        </w:rPr>
      </w:pPr>
      <w:bookmarkStart w:id="222" w:name="_Toc28134"/>
      <w:bookmarkStart w:id="223" w:name="_Toc424118188"/>
      <w:bookmarkStart w:id="224" w:name="_Toc353881019"/>
      <w:bookmarkStart w:id="225" w:name="_Toc518655811"/>
      <w:bookmarkStart w:id="226" w:name="_Toc19517"/>
      <w:bookmarkStart w:id="227" w:name="_Toc5226"/>
      <w:r>
        <w:rPr>
          <w:rFonts w:hint="eastAsia" w:ascii="宋体" w:hAnsi="宋体" w:cs="宋体"/>
          <w:b w:val="0"/>
          <w:bCs w:val="0"/>
          <w:sz w:val="24"/>
          <w:szCs w:val="24"/>
        </w:rPr>
        <w:t>附件八、商务条款偏离表</w:t>
      </w:r>
      <w:bookmarkEnd w:id="222"/>
      <w:bookmarkEnd w:id="223"/>
      <w:bookmarkEnd w:id="224"/>
      <w:bookmarkEnd w:id="225"/>
      <w:bookmarkEnd w:id="226"/>
      <w:bookmarkEnd w:id="227"/>
    </w:p>
    <w:p>
      <w:pPr>
        <w:pStyle w:val="31"/>
        <w:spacing w:after="0" w:line="460" w:lineRule="exact"/>
        <w:jc w:val="center"/>
      </w:pPr>
      <w:r>
        <w:rPr>
          <w:rFonts w:hint="eastAsia" w:ascii="宋体" w:hAnsi="宋体" w:cs="宋体"/>
          <w:b/>
          <w:bCs/>
          <w:sz w:val="32"/>
          <w:szCs w:val="32"/>
        </w:rPr>
        <w:t>商务条款偏离表</w:t>
      </w:r>
    </w:p>
    <w:p>
      <w:pPr>
        <w:spacing w:line="240" w:lineRule="exact"/>
        <w:rPr>
          <w:rFonts w:ascii="宋体" w:hAnsi="宋体"/>
          <w:sz w:val="24"/>
        </w:rPr>
      </w:pPr>
    </w:p>
    <w:p>
      <w:pPr>
        <w:spacing w:line="520" w:lineRule="exact"/>
        <w:rPr>
          <w:rFonts w:ascii="宋体" w:hAnsi="宋体"/>
          <w:sz w:val="24"/>
          <w:u w:val="single"/>
        </w:rPr>
      </w:pPr>
      <w:r>
        <w:rPr>
          <w:rFonts w:hint="eastAsia" w:ascii="宋体" w:hAnsi="宋体"/>
          <w:sz w:val="24"/>
        </w:rPr>
        <w:t>项目名称：       招标编号：</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vAlign w:val="center"/>
          </w:tcPr>
          <w:p>
            <w:pPr>
              <w:rPr>
                <w:rFonts w:ascii="宋体" w:hAnsi="宋体"/>
                <w:b/>
                <w:sz w:val="24"/>
              </w:rPr>
            </w:pPr>
            <w:r>
              <w:rPr>
                <w:rFonts w:hint="eastAsia" w:ascii="宋体" w:hAnsi="宋体"/>
                <w:b/>
                <w:sz w:val="24"/>
              </w:rPr>
              <w:t>序号</w:t>
            </w:r>
          </w:p>
        </w:tc>
        <w:tc>
          <w:tcPr>
            <w:tcW w:w="3108" w:type="dxa"/>
            <w:vAlign w:val="center"/>
          </w:tcPr>
          <w:p>
            <w:pPr>
              <w:jc w:val="center"/>
              <w:rPr>
                <w:rFonts w:ascii="宋体" w:hAnsi="宋体"/>
                <w:b/>
                <w:sz w:val="24"/>
              </w:rPr>
            </w:pPr>
            <w:r>
              <w:rPr>
                <w:rFonts w:hint="eastAsia" w:ascii="宋体" w:hAnsi="宋体"/>
                <w:b/>
                <w:sz w:val="24"/>
              </w:rPr>
              <w:t>招标文件条款号</w:t>
            </w:r>
          </w:p>
        </w:tc>
        <w:tc>
          <w:tcPr>
            <w:tcW w:w="3260" w:type="dxa"/>
            <w:vAlign w:val="center"/>
          </w:tcPr>
          <w:p>
            <w:pPr>
              <w:jc w:val="center"/>
              <w:rPr>
                <w:rFonts w:ascii="宋体" w:hAnsi="宋体"/>
                <w:b/>
                <w:sz w:val="24"/>
              </w:rPr>
            </w:pPr>
            <w:r>
              <w:rPr>
                <w:rFonts w:hint="eastAsia" w:ascii="宋体" w:hAnsi="宋体"/>
                <w:b/>
                <w:sz w:val="24"/>
              </w:rPr>
              <w:t>招标文件条款内容</w:t>
            </w:r>
          </w:p>
        </w:tc>
        <w:tc>
          <w:tcPr>
            <w:tcW w:w="1843"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sz w:val="24"/>
        </w:rPr>
      </w:pPr>
    </w:p>
    <w:p>
      <w:pPr>
        <w:rPr>
          <w:rFonts w:ascii="宋体" w:hAnsi="宋体"/>
          <w:sz w:val="24"/>
        </w:rPr>
      </w:pPr>
    </w:p>
    <w:p>
      <w:pPr>
        <w:pStyle w:val="5"/>
        <w:spacing w:before="120" w:after="120" w:line="360" w:lineRule="exact"/>
        <w:rPr>
          <w:rFonts w:ascii="宋体" w:hAnsi="宋体" w:cs="宋体"/>
          <w:b w:val="0"/>
          <w:bCs w:val="0"/>
          <w:sz w:val="24"/>
          <w:szCs w:val="24"/>
        </w:rPr>
      </w:pPr>
      <w:bookmarkStart w:id="228" w:name="_Toc23535"/>
      <w:bookmarkStart w:id="229" w:name="_Toc23672"/>
      <w:bookmarkStart w:id="230" w:name="_Toc353881020"/>
      <w:bookmarkStart w:id="231" w:name="_Toc424118189"/>
      <w:bookmarkStart w:id="232" w:name="_Toc518655812"/>
      <w:bookmarkStart w:id="233" w:name="_Toc37"/>
      <w:r>
        <w:rPr>
          <w:rFonts w:hint="eastAsia" w:ascii="宋体" w:hAnsi="宋体" w:cs="宋体"/>
          <w:b w:val="0"/>
          <w:bCs w:val="0"/>
          <w:sz w:val="24"/>
          <w:szCs w:val="24"/>
        </w:rPr>
        <w:t>附件九、经营业绩一览表</w:t>
      </w:r>
      <w:bookmarkEnd w:id="228"/>
      <w:bookmarkEnd w:id="229"/>
      <w:bookmarkEnd w:id="230"/>
      <w:bookmarkEnd w:id="231"/>
      <w:bookmarkEnd w:id="232"/>
      <w:bookmarkEnd w:id="233"/>
    </w:p>
    <w:p>
      <w:pPr>
        <w:pStyle w:val="31"/>
        <w:spacing w:after="0" w:line="460" w:lineRule="exact"/>
        <w:jc w:val="center"/>
        <w:rPr>
          <w:rFonts w:ascii="宋体" w:hAnsi="宋体" w:cs="宋体"/>
          <w:b/>
          <w:bCs/>
          <w:sz w:val="32"/>
          <w:szCs w:val="32"/>
        </w:rPr>
      </w:pPr>
      <w:r>
        <w:rPr>
          <w:rFonts w:hint="eastAsia" w:ascii="宋体" w:hAnsi="宋体" w:cs="宋体"/>
          <w:b/>
          <w:bCs/>
          <w:sz w:val="32"/>
          <w:szCs w:val="32"/>
        </w:rPr>
        <w:t>经营业绩一览表</w:t>
      </w:r>
    </w:p>
    <w:p>
      <w:pPr>
        <w:spacing w:line="240" w:lineRule="exact"/>
        <w:jc w:val="center"/>
        <w:rPr>
          <w:rFonts w:ascii="宋体" w:hAnsi="宋体"/>
          <w:b/>
          <w:bCs/>
          <w:sz w:val="36"/>
        </w:rPr>
      </w:pPr>
    </w:p>
    <w:p>
      <w:pPr>
        <w:spacing w:line="520" w:lineRule="exact"/>
        <w:rPr>
          <w:rFonts w:ascii="宋体" w:hAnsi="宋体"/>
          <w:sz w:val="24"/>
          <w:u w:val="single"/>
        </w:rPr>
      </w:pPr>
      <w:r>
        <w:rPr>
          <w:rFonts w:hint="eastAsia" w:ascii="宋体" w:hAnsi="宋体"/>
          <w:sz w:val="24"/>
        </w:rPr>
        <w:t>项目名称：         招标编号：</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pPr>
              <w:pStyle w:val="57"/>
              <w:ind w:left="482" w:hanging="482"/>
              <w:jc w:val="center"/>
              <w:rPr>
                <w:rFonts w:ascii="宋体" w:hAnsi="宋体"/>
                <w:b/>
                <w:sz w:val="24"/>
              </w:rPr>
            </w:pPr>
            <w:r>
              <w:rPr>
                <w:rFonts w:hint="eastAsia" w:ascii="宋体" w:hAnsi="宋体"/>
                <w:b/>
                <w:sz w:val="24"/>
              </w:rPr>
              <w:t>序号</w:t>
            </w:r>
          </w:p>
        </w:tc>
        <w:tc>
          <w:tcPr>
            <w:tcW w:w="1785" w:type="dxa"/>
            <w:vAlign w:val="center"/>
          </w:tcPr>
          <w:p>
            <w:pPr>
              <w:pStyle w:val="57"/>
              <w:ind w:left="482" w:hanging="482"/>
              <w:jc w:val="center"/>
              <w:rPr>
                <w:rFonts w:ascii="宋体" w:hAnsi="宋体"/>
                <w:b/>
                <w:sz w:val="24"/>
              </w:rPr>
            </w:pPr>
            <w:r>
              <w:rPr>
                <w:rFonts w:hint="eastAsia" w:ascii="宋体" w:hAnsi="宋体"/>
                <w:b/>
                <w:sz w:val="24"/>
              </w:rPr>
              <w:t>名称</w:t>
            </w:r>
          </w:p>
        </w:tc>
        <w:tc>
          <w:tcPr>
            <w:tcW w:w="735" w:type="dxa"/>
            <w:vAlign w:val="center"/>
          </w:tcPr>
          <w:p>
            <w:pPr>
              <w:pStyle w:val="57"/>
              <w:ind w:left="482" w:hanging="482"/>
              <w:jc w:val="center"/>
              <w:rPr>
                <w:rFonts w:ascii="宋体" w:hAnsi="宋体"/>
                <w:b/>
                <w:sz w:val="24"/>
              </w:rPr>
            </w:pPr>
            <w:r>
              <w:rPr>
                <w:rFonts w:hint="eastAsia" w:ascii="宋体" w:hAnsi="宋体"/>
                <w:b/>
                <w:sz w:val="24"/>
              </w:rPr>
              <w:t>数量</w:t>
            </w:r>
          </w:p>
        </w:tc>
        <w:tc>
          <w:tcPr>
            <w:tcW w:w="840" w:type="dxa"/>
            <w:vAlign w:val="center"/>
          </w:tcPr>
          <w:p>
            <w:pPr>
              <w:pStyle w:val="57"/>
              <w:ind w:left="34" w:hanging="34" w:hangingChars="14"/>
              <w:jc w:val="center"/>
              <w:rPr>
                <w:rFonts w:ascii="宋体" w:hAnsi="宋体"/>
                <w:b/>
                <w:sz w:val="24"/>
              </w:rPr>
            </w:pPr>
            <w:r>
              <w:rPr>
                <w:rFonts w:hint="eastAsia" w:ascii="宋体" w:hAnsi="宋体"/>
                <w:b/>
                <w:sz w:val="24"/>
              </w:rPr>
              <w:t>规格型号</w:t>
            </w:r>
          </w:p>
        </w:tc>
        <w:tc>
          <w:tcPr>
            <w:tcW w:w="945" w:type="dxa"/>
            <w:vAlign w:val="center"/>
          </w:tcPr>
          <w:p>
            <w:pPr>
              <w:pStyle w:val="57"/>
              <w:ind w:left="482" w:hanging="482"/>
              <w:jc w:val="center"/>
              <w:rPr>
                <w:rFonts w:ascii="宋体" w:hAnsi="宋体"/>
                <w:b/>
                <w:sz w:val="24"/>
              </w:rPr>
            </w:pPr>
            <w:r>
              <w:rPr>
                <w:rFonts w:hint="eastAsia" w:ascii="宋体" w:hAnsi="宋体"/>
                <w:b/>
                <w:sz w:val="24"/>
              </w:rPr>
              <w:t>金额</w:t>
            </w:r>
          </w:p>
        </w:tc>
        <w:tc>
          <w:tcPr>
            <w:tcW w:w="1365" w:type="dxa"/>
            <w:vAlign w:val="center"/>
          </w:tcPr>
          <w:p>
            <w:pPr>
              <w:pStyle w:val="57"/>
              <w:ind w:left="482" w:hanging="482"/>
              <w:jc w:val="center"/>
              <w:rPr>
                <w:rFonts w:ascii="宋体" w:hAnsi="宋体"/>
                <w:b/>
                <w:sz w:val="24"/>
              </w:rPr>
            </w:pPr>
            <w:r>
              <w:rPr>
                <w:rFonts w:hint="eastAsia" w:ascii="宋体" w:hAnsi="宋体"/>
                <w:b/>
                <w:sz w:val="24"/>
              </w:rPr>
              <w:t>用户名称</w:t>
            </w:r>
          </w:p>
        </w:tc>
        <w:tc>
          <w:tcPr>
            <w:tcW w:w="1365" w:type="dxa"/>
            <w:vAlign w:val="center"/>
          </w:tcPr>
          <w:p>
            <w:pPr>
              <w:pStyle w:val="57"/>
              <w:ind w:left="482" w:hanging="482"/>
              <w:jc w:val="center"/>
              <w:rPr>
                <w:rFonts w:ascii="宋体" w:hAnsi="宋体"/>
                <w:b/>
                <w:sz w:val="24"/>
              </w:rPr>
            </w:pPr>
            <w:r>
              <w:rPr>
                <w:rFonts w:hint="eastAsia" w:ascii="宋体" w:hAnsi="宋体"/>
                <w:b/>
                <w:sz w:val="24"/>
              </w:rPr>
              <w:t>联系人及</w:t>
            </w:r>
          </w:p>
          <w:p>
            <w:pPr>
              <w:pStyle w:val="57"/>
              <w:ind w:left="482" w:hanging="482"/>
              <w:jc w:val="center"/>
              <w:rPr>
                <w:rFonts w:ascii="宋体" w:hAnsi="宋体"/>
                <w:b/>
                <w:sz w:val="24"/>
              </w:rPr>
            </w:pPr>
            <w:r>
              <w:rPr>
                <w:rFonts w:hint="eastAsia" w:ascii="宋体" w:hAnsi="宋体"/>
                <w:b/>
                <w:sz w:val="24"/>
              </w:rPr>
              <w:t>联系电话</w:t>
            </w:r>
          </w:p>
        </w:tc>
        <w:tc>
          <w:tcPr>
            <w:tcW w:w="1407" w:type="dxa"/>
            <w:vAlign w:val="center"/>
          </w:tcPr>
          <w:p>
            <w:pPr>
              <w:pStyle w:val="57"/>
              <w:ind w:left="482" w:hanging="482"/>
              <w:jc w:val="center"/>
              <w:rPr>
                <w:rFonts w:ascii="宋体" w:hAnsi="宋体"/>
                <w:b/>
                <w:sz w:val="24"/>
              </w:rPr>
            </w:pPr>
            <w:r>
              <w:rPr>
                <w:rFonts w:hint="eastAsia" w:ascii="宋体" w:hAnsi="宋体"/>
                <w:b/>
                <w:sz w:val="24"/>
              </w:rPr>
              <w:t>投产日期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360" w:lineRule="auto"/>
        <w:rPr>
          <w:rFonts w:ascii="宋体" w:hAnsi="宋体"/>
          <w:b/>
          <w:sz w:val="24"/>
          <w:szCs w:val="24"/>
        </w:rPr>
      </w:pPr>
      <w:r>
        <w:rPr>
          <w:rFonts w:hint="eastAsia" w:ascii="宋体" w:hAnsi="宋体"/>
          <w:sz w:val="24"/>
        </w:rPr>
        <w:t>日  期：年月日</w:t>
      </w:r>
      <w:r>
        <w:rPr>
          <w:rFonts w:hint="eastAsia" w:ascii="宋体" w:hAnsi="宋体"/>
          <w:b/>
          <w:sz w:val="24"/>
          <w:szCs w:val="24"/>
        </w:rPr>
        <w:t>。</w:t>
      </w:r>
    </w:p>
    <w:p/>
    <w:p/>
    <w:p>
      <w:pPr>
        <w:pStyle w:val="5"/>
        <w:spacing w:before="120" w:after="120" w:line="360" w:lineRule="exact"/>
        <w:rPr>
          <w:rFonts w:ascii="宋体" w:hAnsi="宋体" w:cs="宋体"/>
          <w:b w:val="0"/>
          <w:bCs w:val="0"/>
          <w:sz w:val="24"/>
          <w:szCs w:val="24"/>
        </w:rPr>
      </w:pPr>
      <w:bookmarkStart w:id="234" w:name="_Toc28878"/>
      <w:bookmarkStart w:id="235" w:name="_Toc424118190"/>
      <w:bookmarkStart w:id="236" w:name="_Toc28044"/>
      <w:bookmarkStart w:id="237" w:name="_Toc518655813"/>
      <w:bookmarkStart w:id="238" w:name="_Toc353881021"/>
      <w:bookmarkStart w:id="239" w:name="_Toc14173"/>
      <w:r>
        <w:rPr>
          <w:rFonts w:hint="eastAsia" w:ascii="宋体" w:hAnsi="宋体" w:cs="宋体"/>
          <w:b w:val="0"/>
          <w:bCs w:val="0"/>
          <w:sz w:val="24"/>
          <w:szCs w:val="24"/>
        </w:rPr>
        <w:t>附件十、服务承诺函</w:t>
      </w:r>
      <w:bookmarkEnd w:id="234"/>
      <w:bookmarkEnd w:id="235"/>
      <w:bookmarkEnd w:id="236"/>
      <w:bookmarkEnd w:id="237"/>
      <w:bookmarkEnd w:id="238"/>
      <w:bookmarkEnd w:id="239"/>
    </w:p>
    <w:p>
      <w:pPr>
        <w:pStyle w:val="31"/>
        <w:spacing w:after="0" w:line="460" w:lineRule="exact"/>
        <w:jc w:val="center"/>
        <w:rPr>
          <w:rFonts w:ascii="宋体" w:hAnsi="宋体" w:cs="宋体"/>
          <w:b/>
          <w:bCs/>
          <w:sz w:val="32"/>
          <w:szCs w:val="32"/>
        </w:rPr>
      </w:pPr>
      <w:r>
        <w:rPr>
          <w:rFonts w:hint="eastAsia" w:ascii="宋体" w:hAnsi="宋体" w:cs="宋体"/>
          <w:b/>
          <w:bCs/>
          <w:sz w:val="32"/>
          <w:szCs w:val="32"/>
        </w:rPr>
        <w:t>服务承诺函</w:t>
      </w:r>
    </w:p>
    <w:p>
      <w:pPr>
        <w:spacing w:line="240" w:lineRule="exact"/>
        <w:jc w:val="center"/>
        <w:rPr>
          <w:rFonts w:ascii="宋体" w:hAnsi="宋体"/>
          <w:b/>
          <w:bCs/>
          <w:sz w:val="36"/>
        </w:rPr>
      </w:pPr>
    </w:p>
    <w:p>
      <w:pPr>
        <w:spacing w:line="360" w:lineRule="auto"/>
        <w:rPr>
          <w:rFonts w:ascii="宋体" w:hAnsi="宋体"/>
          <w:sz w:val="24"/>
          <w:u w:val="single"/>
        </w:rPr>
      </w:pPr>
      <w:r>
        <w:rPr>
          <w:rFonts w:hint="eastAsia" w:ascii="宋体" w:hAnsi="宋体"/>
          <w:sz w:val="24"/>
        </w:rPr>
        <w:t>项目名称：</w:t>
      </w:r>
    </w:p>
    <w:p>
      <w:pPr>
        <w:pStyle w:val="44"/>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rPr>
          <w:rFonts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5"/>
        <w:spacing w:before="120" w:after="120" w:line="360" w:lineRule="exact"/>
        <w:rPr>
          <w:rFonts w:ascii="宋体" w:hAnsi="宋体" w:cs="宋体"/>
          <w:b w:val="0"/>
          <w:bCs w:val="0"/>
          <w:sz w:val="24"/>
          <w:szCs w:val="24"/>
        </w:rPr>
      </w:pPr>
      <w:bookmarkStart w:id="240" w:name="_Toc762"/>
      <w:bookmarkStart w:id="241" w:name="_Toc353881022"/>
      <w:bookmarkStart w:id="242" w:name="_Toc518655814"/>
      <w:bookmarkStart w:id="243" w:name="_Toc9193"/>
      <w:bookmarkStart w:id="244" w:name="_Toc424118191"/>
      <w:bookmarkStart w:id="245" w:name="_Toc2288"/>
      <w:r>
        <w:rPr>
          <w:rFonts w:hint="eastAsia" w:ascii="宋体" w:hAnsi="宋体" w:cs="宋体"/>
          <w:b w:val="0"/>
          <w:bCs w:val="0"/>
          <w:sz w:val="24"/>
          <w:szCs w:val="24"/>
        </w:rPr>
        <w:t>附件十一、设备质量承诺函</w:t>
      </w:r>
      <w:bookmarkEnd w:id="240"/>
      <w:bookmarkEnd w:id="241"/>
      <w:bookmarkEnd w:id="242"/>
      <w:bookmarkEnd w:id="243"/>
      <w:bookmarkEnd w:id="244"/>
      <w:bookmarkEnd w:id="245"/>
    </w:p>
    <w:p>
      <w:pPr>
        <w:pStyle w:val="31"/>
        <w:spacing w:after="0" w:line="460" w:lineRule="exact"/>
        <w:jc w:val="center"/>
        <w:rPr>
          <w:rFonts w:ascii="宋体" w:hAnsi="宋体" w:cs="宋体"/>
          <w:b/>
          <w:bCs/>
          <w:sz w:val="32"/>
          <w:szCs w:val="32"/>
        </w:rPr>
      </w:pPr>
      <w:r>
        <w:rPr>
          <w:rFonts w:hint="eastAsia" w:ascii="宋体" w:hAnsi="宋体" w:cs="宋体"/>
          <w:b/>
          <w:bCs/>
          <w:sz w:val="32"/>
          <w:szCs w:val="32"/>
        </w:rPr>
        <w:t>设备质量承诺函</w:t>
      </w:r>
    </w:p>
    <w:p>
      <w:pPr>
        <w:spacing w:line="240" w:lineRule="exact"/>
        <w:rPr>
          <w:rFonts w:ascii="宋体" w:hAnsi="宋体"/>
        </w:rPr>
      </w:pPr>
    </w:p>
    <w:p>
      <w:pPr>
        <w:spacing w:line="360" w:lineRule="auto"/>
        <w:rPr>
          <w:rFonts w:ascii="宋体" w:hAnsi="宋体"/>
          <w:sz w:val="24"/>
          <w:u w:val="single"/>
        </w:rPr>
      </w:pPr>
      <w:r>
        <w:rPr>
          <w:rFonts w:hint="eastAsia" w:ascii="宋体" w:hAnsi="宋体"/>
          <w:sz w:val="24"/>
        </w:rPr>
        <w:t xml:space="preserve">项目名称: </w:t>
      </w:r>
    </w:p>
    <w:p>
      <w:pPr>
        <w:pStyle w:val="44"/>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left="480"/>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5"/>
        <w:spacing w:before="120" w:after="120" w:line="560" w:lineRule="exact"/>
        <w:rPr>
          <w:rFonts w:ascii="宋体" w:hAnsi="宋体" w:cs="宋体"/>
          <w:b w:val="0"/>
          <w:bCs w:val="0"/>
          <w:sz w:val="24"/>
          <w:szCs w:val="24"/>
        </w:rPr>
        <w:sectPr>
          <w:pgSz w:w="11907" w:h="16840"/>
          <w:pgMar w:top="1785" w:right="1418" w:bottom="1418" w:left="1418" w:header="724" w:footer="851" w:gutter="0"/>
          <w:cols w:space="720" w:num="1"/>
          <w:docGrid w:linePitch="290" w:charSpace="-3931"/>
        </w:sectPr>
      </w:pPr>
    </w:p>
    <w:p>
      <w:pPr>
        <w:pStyle w:val="5"/>
        <w:spacing w:before="120" w:after="120" w:line="560" w:lineRule="exact"/>
        <w:rPr>
          <w:rFonts w:ascii="宋体" w:hAnsi="宋体"/>
          <w:b w:val="0"/>
          <w:bCs w:val="0"/>
          <w:sz w:val="24"/>
          <w:szCs w:val="24"/>
        </w:rPr>
      </w:pPr>
      <w:bookmarkStart w:id="246" w:name="_Toc15155"/>
      <w:r>
        <w:rPr>
          <w:rFonts w:hint="eastAsia" w:ascii="宋体" w:hAnsi="宋体" w:cs="宋体"/>
          <w:b w:val="0"/>
          <w:bCs w:val="0"/>
          <w:sz w:val="24"/>
          <w:szCs w:val="24"/>
        </w:rPr>
        <w:t>附件十二</w:t>
      </w:r>
      <w:r>
        <w:rPr>
          <w:rFonts w:ascii="宋体" w:hAnsi="宋体" w:cs="宋体"/>
          <w:b w:val="0"/>
          <w:bCs w:val="0"/>
          <w:sz w:val="24"/>
          <w:szCs w:val="24"/>
        </w:rPr>
        <w:t xml:space="preserve">: </w:t>
      </w:r>
      <w:r>
        <w:rPr>
          <w:rFonts w:hint="eastAsia" w:ascii="宋体" w:hAnsi="宋体" w:cs="宋体"/>
          <w:b w:val="0"/>
          <w:bCs w:val="0"/>
          <w:sz w:val="24"/>
          <w:szCs w:val="24"/>
        </w:rPr>
        <w:t>封面格式（参考）</w:t>
      </w:r>
      <w:bookmarkEnd w:id="246"/>
    </w:p>
    <w:p>
      <w:pPr>
        <w:pStyle w:val="32"/>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pStyle w:val="32"/>
              <w:spacing w:line="240" w:lineRule="auto"/>
              <w:ind w:left="1747" w:firstLine="470"/>
              <w:jc w:val="left"/>
              <w:rPr>
                <w:rFonts w:ascii="宋体" w:hAnsi="宋体"/>
                <w:kern w:val="2"/>
                <w:sz w:val="24"/>
                <w:szCs w:val="24"/>
              </w:rPr>
            </w:pPr>
          </w:p>
          <w:p>
            <w:pPr>
              <w:pStyle w:val="32"/>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2"/>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pPr>
              <w:pStyle w:val="32"/>
              <w:spacing w:line="240" w:lineRule="auto"/>
              <w:ind w:left="1747" w:firstLine="353"/>
              <w:jc w:val="left"/>
              <w:rPr>
                <w:rFonts w:ascii="宋体" w:hAnsi="宋体"/>
                <w:kern w:val="2"/>
                <w:sz w:val="18"/>
                <w:szCs w:val="18"/>
              </w:rPr>
            </w:pP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c>
          <w:tcPr>
            <w:tcW w:w="4775" w:type="dxa"/>
          </w:tcPr>
          <w:p>
            <w:pPr>
              <w:pStyle w:val="32"/>
              <w:spacing w:line="240" w:lineRule="auto"/>
              <w:ind w:left="1747" w:firstLine="470"/>
              <w:jc w:val="left"/>
              <w:rPr>
                <w:rFonts w:ascii="宋体" w:hAnsi="宋体"/>
                <w:kern w:val="2"/>
                <w:sz w:val="24"/>
                <w:szCs w:val="24"/>
              </w:rPr>
            </w:pPr>
          </w:p>
          <w:p>
            <w:pPr>
              <w:pStyle w:val="32"/>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2"/>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pPr>
              <w:pStyle w:val="32"/>
              <w:spacing w:line="240" w:lineRule="auto"/>
              <w:ind w:left="1747" w:firstLine="353"/>
              <w:jc w:val="left"/>
              <w:rPr>
                <w:rFonts w:ascii="宋体" w:hAnsi="宋体"/>
                <w:kern w:val="2"/>
                <w:sz w:val="18"/>
                <w:szCs w:val="18"/>
              </w:rPr>
            </w:pP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2"/>
        <w:spacing w:line="240" w:lineRule="auto"/>
        <w:ind w:left="1747" w:firstLine="412"/>
        <w:rPr>
          <w:rFonts w:ascii="宋体" w:hAnsi="宋体"/>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32"/>
              <w:spacing w:line="400" w:lineRule="exact"/>
              <w:ind w:left="0" w:leftChars="0" w:firstLine="0" w:firstLineChars="0"/>
              <w:jc w:val="left"/>
              <w:rPr>
                <w:rFonts w:ascii="宋体" w:hAnsi="宋体"/>
                <w:kern w:val="2"/>
                <w:sz w:val="24"/>
                <w:szCs w:val="24"/>
              </w:rPr>
            </w:pPr>
          </w:p>
          <w:p>
            <w:pPr>
              <w:pStyle w:val="32"/>
              <w:spacing w:line="240" w:lineRule="auto"/>
              <w:ind w:left="0" w:leftChars="0" w:firstLine="0" w:firstLineChars="0"/>
              <w:jc w:val="left"/>
              <w:rPr>
                <w:rFonts w:ascii="宋体" w:hAnsi="宋体"/>
                <w:kern w:val="2"/>
                <w:sz w:val="24"/>
                <w:szCs w:val="24"/>
              </w:rPr>
            </w:pPr>
            <w:r>
              <w:rPr>
                <w:rFonts w:hint="eastAsia" w:ascii="宋体" w:hAnsi="宋体" w:cs="宋体"/>
                <w:b/>
                <w:bCs/>
                <w:kern w:val="2"/>
                <w:sz w:val="30"/>
                <w:szCs w:val="30"/>
              </w:rPr>
              <w:t>开标一览表</w:t>
            </w:r>
          </w:p>
          <w:p>
            <w:pPr>
              <w:pStyle w:val="32"/>
              <w:spacing w:line="400" w:lineRule="exact"/>
              <w:ind w:left="0" w:leftChars="0" w:firstLine="0" w:firstLineChars="0"/>
              <w:jc w:val="left"/>
              <w:rPr>
                <w:rFonts w:ascii="宋体" w:hAnsi="宋体"/>
                <w:kern w:val="2"/>
                <w:sz w:val="24"/>
                <w:szCs w:val="24"/>
              </w:rPr>
            </w:pP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p>
            <w:pPr>
              <w:pStyle w:val="32"/>
              <w:spacing w:line="400" w:lineRule="exact"/>
              <w:ind w:left="0" w:leftChars="0" w:firstLine="0" w:firstLineChars="0"/>
              <w:jc w:val="left"/>
              <w:rPr>
                <w:rFonts w:ascii="宋体" w:hAnsi="宋体"/>
                <w:kern w:val="2"/>
                <w:sz w:val="24"/>
                <w:szCs w:val="24"/>
              </w:rPr>
            </w:pPr>
          </w:p>
        </w:tc>
        <w:tc>
          <w:tcPr>
            <w:tcW w:w="4775" w:type="dxa"/>
          </w:tcPr>
          <w:p>
            <w:pPr>
              <w:pStyle w:val="32"/>
              <w:spacing w:line="400" w:lineRule="exact"/>
              <w:ind w:left="0" w:leftChars="0" w:firstLine="0" w:firstLineChars="0"/>
              <w:jc w:val="left"/>
              <w:rPr>
                <w:rFonts w:ascii="宋体" w:hAnsi="宋体"/>
                <w:kern w:val="2"/>
                <w:sz w:val="24"/>
                <w:szCs w:val="24"/>
              </w:rPr>
            </w:pPr>
          </w:p>
          <w:p>
            <w:pPr>
              <w:pStyle w:val="32"/>
              <w:spacing w:line="240" w:lineRule="auto"/>
              <w:ind w:left="0" w:leftChars="0" w:firstLine="0" w:firstLineChars="0"/>
              <w:jc w:val="left"/>
              <w:rPr>
                <w:rFonts w:ascii="宋体" w:hAnsi="宋体" w:cs="宋体"/>
                <w:b/>
                <w:bCs/>
                <w:kern w:val="2"/>
                <w:sz w:val="30"/>
                <w:szCs w:val="30"/>
              </w:rPr>
            </w:pPr>
            <w:r>
              <w:rPr>
                <w:rFonts w:hint="eastAsia" w:ascii="宋体" w:hAnsi="宋体" w:cs="宋体"/>
                <w:b/>
                <w:bCs/>
                <w:kern w:val="2"/>
                <w:sz w:val="30"/>
                <w:szCs w:val="30"/>
              </w:rPr>
              <w:t>电子版投标文件</w:t>
            </w:r>
          </w:p>
          <w:p>
            <w:pPr>
              <w:pStyle w:val="32"/>
              <w:spacing w:line="240" w:lineRule="auto"/>
              <w:ind w:left="0" w:leftChars="0" w:firstLine="0" w:firstLineChars="0"/>
              <w:jc w:val="left"/>
              <w:rPr>
                <w:rFonts w:ascii="宋体" w:hAnsi="宋体" w:cs="宋体"/>
                <w:b/>
                <w:bCs/>
                <w:kern w:val="2"/>
                <w:sz w:val="30"/>
                <w:szCs w:val="30"/>
              </w:rPr>
            </w:pP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2"/>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2"/>
              <w:spacing w:line="240" w:lineRule="auto"/>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2"/>
        <w:spacing w:line="240" w:lineRule="auto"/>
        <w:ind w:left="1747" w:firstLine="412"/>
        <w:rPr>
          <w:rFonts w:ascii="宋体" w:hAnsi="宋体"/>
        </w:rPr>
      </w:pPr>
    </w:p>
    <w:p>
      <w:pPr>
        <w:pStyle w:val="32"/>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32"/>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ascii="宋体" w:hAnsi="宋体" w:cs="宋体"/>
                <w:kern w:val="2"/>
                <w:sz w:val="24"/>
                <w:szCs w:val="24"/>
              </w:rPr>
              <w:t>年</w:t>
            </w:r>
            <w:r>
              <w:rPr>
                <w:rFonts w:hint="eastAsia" w:ascii="宋体" w:hAnsi="宋体" w:cs="宋体"/>
                <w:kern w:val="2"/>
                <w:sz w:val="24"/>
                <w:szCs w:val="24"/>
              </w:rPr>
              <w:t>月日时之前不准启封（公章）…………………</w:t>
            </w:r>
          </w:p>
        </w:tc>
      </w:tr>
    </w:tbl>
    <w:p>
      <w:pPr>
        <w:pStyle w:val="32"/>
        <w:spacing w:line="240" w:lineRule="auto"/>
        <w:ind w:left="0" w:leftChars="0" w:firstLine="0" w:firstLineChars="0"/>
        <w:rPr>
          <w:rFonts w:ascii="宋体" w:hAnsi="宋体"/>
        </w:rPr>
      </w:pPr>
    </w:p>
    <w:p/>
    <w:p>
      <w:pPr>
        <w:pStyle w:val="5"/>
        <w:spacing w:before="120" w:after="120" w:line="360" w:lineRule="exact"/>
        <w:rPr>
          <w:rFonts w:ascii="宋体" w:hAnsi="宋体"/>
          <w:sz w:val="24"/>
          <w:szCs w:val="24"/>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55</w:t>
    </w:r>
    <w:r>
      <w:rPr>
        <w:lang w:val="zh-CN"/>
      </w:rPr>
      <w:fldChar w:fldCharType="end"/>
    </w: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53208E"/>
    <w:multiLevelType w:val="multilevel"/>
    <w:tmpl w:val="0053208E"/>
    <w:lvl w:ilvl="0" w:tentative="0">
      <w:start w:val="1"/>
      <w:numFmt w:val="bullet"/>
      <w:pStyle w:val="15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234"/>
      <w:lvlText w:val="%2)"/>
      <w:lvlJc w:val="left"/>
      <w:pPr>
        <w:tabs>
          <w:tab w:val="left" w:pos="840"/>
        </w:tabs>
        <w:ind w:left="840" w:hanging="420"/>
      </w:pPr>
      <w:rPr>
        <w:rFonts w:cs="Times New Roman"/>
      </w:rPr>
    </w:lvl>
    <w:lvl w:ilvl="2" w:tentative="0">
      <w:start w:val="1"/>
      <w:numFmt w:val="lowerRoman"/>
      <w:pStyle w:val="237"/>
      <w:lvlText w:val="%3."/>
      <w:lvlJc w:val="right"/>
      <w:pPr>
        <w:tabs>
          <w:tab w:val="left" w:pos="1260"/>
        </w:tabs>
        <w:ind w:left="1260" w:hanging="420"/>
      </w:pPr>
      <w:rPr>
        <w:rFonts w:cs="Times New Roman"/>
      </w:rPr>
    </w:lvl>
    <w:lvl w:ilvl="3" w:tentative="0">
      <w:start w:val="1"/>
      <w:numFmt w:val="decimal"/>
      <w:pStyle w:val="16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166"/>
      <w:lvlText w:val="%6."/>
      <w:lvlJc w:val="right"/>
      <w:pPr>
        <w:tabs>
          <w:tab w:val="left" w:pos="2520"/>
        </w:tabs>
        <w:ind w:left="2520" w:hanging="420"/>
      </w:pPr>
      <w:rPr>
        <w:rFonts w:cs="Times New Roman"/>
      </w:rPr>
    </w:lvl>
    <w:lvl w:ilvl="6" w:tentative="0">
      <w:start w:val="1"/>
      <w:numFmt w:val="decimal"/>
      <w:pStyle w:val="141"/>
      <w:lvlText w:val="%7."/>
      <w:lvlJc w:val="left"/>
      <w:pPr>
        <w:tabs>
          <w:tab w:val="left" w:pos="2940"/>
        </w:tabs>
        <w:ind w:left="2940" w:hanging="420"/>
      </w:pPr>
      <w:rPr>
        <w:rFonts w:cs="Times New Roman"/>
      </w:rPr>
    </w:lvl>
    <w:lvl w:ilvl="7" w:tentative="0">
      <w:start w:val="1"/>
      <w:numFmt w:val="lowerLetter"/>
      <w:pStyle w:val="239"/>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3F7654C"/>
    <w:multiLevelType w:val="multilevel"/>
    <w:tmpl w:val="53F7654C"/>
    <w:lvl w:ilvl="0" w:tentative="0">
      <w:start w:val="1"/>
      <w:numFmt w:val="decimal"/>
      <w:lvlText w:val="%1、"/>
      <w:lvlJc w:val="left"/>
      <w:pPr>
        <w:tabs>
          <w:tab w:val="left" w:pos="360"/>
        </w:tabs>
        <w:ind w:left="360" w:hanging="360"/>
      </w:pPr>
      <w:rPr>
        <w:rFonts w:hint="default" w:cs="Times New Roman"/>
      </w:rPr>
    </w:lvl>
    <w:lvl w:ilvl="1" w:tentative="0">
      <w:start w:val="1"/>
      <w:numFmt w:val="lowerLetter"/>
      <w:pStyle w:val="151"/>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CBF4B38"/>
    <w:multiLevelType w:val="singleLevel"/>
    <w:tmpl w:val="5CBF4B38"/>
    <w:lvl w:ilvl="0" w:tentative="0">
      <w:start w:val="1"/>
      <w:numFmt w:val="bullet"/>
      <w:pStyle w:val="165"/>
      <w:lvlText w:val="-"/>
      <w:lvlJc w:val="left"/>
      <w:pPr>
        <w:tabs>
          <w:tab w:val="left" w:pos="360"/>
        </w:tabs>
        <w:ind w:left="360" w:hanging="360"/>
      </w:pPr>
      <w:rPr>
        <w:sz w:val="16"/>
      </w:rPr>
    </w:lvl>
  </w:abstractNum>
  <w:abstractNum w:abstractNumId="5">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249"/>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cs="Times New Roman"/>
      </w:rPr>
    </w:lvl>
    <w:lvl w:ilvl="1" w:tentative="0">
      <w:start w:val="1"/>
      <w:numFmt w:val="decimal"/>
      <w:lvlText w:val="%2."/>
      <w:lvlJc w:val="left"/>
      <w:pPr>
        <w:tabs>
          <w:tab w:val="left" w:pos="1605"/>
        </w:tabs>
        <w:ind w:left="1605" w:hanging="765"/>
      </w:pPr>
      <w:rPr>
        <w:rFonts w:hint="eastAsia" w:cs="Times New Roman"/>
      </w:rPr>
    </w:lvl>
    <w:lvl w:ilvl="2" w:tentative="0">
      <w:start w:val="1"/>
      <w:numFmt w:val="decimal"/>
      <w:lvlText w:val="%3．"/>
      <w:lvlJc w:val="left"/>
      <w:pPr>
        <w:tabs>
          <w:tab w:val="left" w:pos="1980"/>
        </w:tabs>
        <w:ind w:left="1980" w:hanging="720"/>
      </w:pPr>
      <w:rPr>
        <w:rFonts w:hint="eastAsia" w:cs="Times New Roman"/>
      </w:rPr>
    </w:lvl>
    <w:lvl w:ilvl="3" w:tentative="0">
      <w:start w:val="1"/>
      <w:numFmt w:val="upperLetter"/>
      <w:lvlText w:val="%4、"/>
      <w:lvlJc w:val="left"/>
      <w:pPr>
        <w:tabs>
          <w:tab w:val="left" w:pos="2400"/>
        </w:tabs>
        <w:ind w:left="2400" w:hanging="720"/>
      </w:pPr>
      <w:rPr>
        <w:rFonts w:hint="eastAsia"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2"/>
  </w:num>
  <w:num w:numId="2">
    <w:abstractNumId w:val="3"/>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A3MjRkZTcwNjVhMmUwMDJjMWUwZGM1M2I0MzhjMzgifQ=="/>
  </w:docVars>
  <w:rsids>
    <w:rsidRoot w:val="00B9162F"/>
    <w:rsid w:val="000009EA"/>
    <w:rsid w:val="00002009"/>
    <w:rsid w:val="00002033"/>
    <w:rsid w:val="00002350"/>
    <w:rsid w:val="000027CE"/>
    <w:rsid w:val="00003140"/>
    <w:rsid w:val="00003C74"/>
    <w:rsid w:val="00003D85"/>
    <w:rsid w:val="00006123"/>
    <w:rsid w:val="000066A8"/>
    <w:rsid w:val="00007080"/>
    <w:rsid w:val="000070BA"/>
    <w:rsid w:val="00007373"/>
    <w:rsid w:val="00007867"/>
    <w:rsid w:val="00007958"/>
    <w:rsid w:val="00007C4C"/>
    <w:rsid w:val="00007F75"/>
    <w:rsid w:val="0001010F"/>
    <w:rsid w:val="000107DF"/>
    <w:rsid w:val="00010AF1"/>
    <w:rsid w:val="00010B83"/>
    <w:rsid w:val="00010C65"/>
    <w:rsid w:val="000110E0"/>
    <w:rsid w:val="00012350"/>
    <w:rsid w:val="00012AD5"/>
    <w:rsid w:val="00012D90"/>
    <w:rsid w:val="00012F69"/>
    <w:rsid w:val="0001316F"/>
    <w:rsid w:val="000132D4"/>
    <w:rsid w:val="00013F12"/>
    <w:rsid w:val="00013F6C"/>
    <w:rsid w:val="00014205"/>
    <w:rsid w:val="000146C2"/>
    <w:rsid w:val="00015085"/>
    <w:rsid w:val="00015188"/>
    <w:rsid w:val="000154D7"/>
    <w:rsid w:val="00015F0B"/>
    <w:rsid w:val="00016B7F"/>
    <w:rsid w:val="00016FFA"/>
    <w:rsid w:val="00017221"/>
    <w:rsid w:val="0001728C"/>
    <w:rsid w:val="000175BE"/>
    <w:rsid w:val="00017880"/>
    <w:rsid w:val="00020067"/>
    <w:rsid w:val="0002130D"/>
    <w:rsid w:val="0002169C"/>
    <w:rsid w:val="000216B9"/>
    <w:rsid w:val="000222C4"/>
    <w:rsid w:val="00022410"/>
    <w:rsid w:val="00022462"/>
    <w:rsid w:val="000230FC"/>
    <w:rsid w:val="00023291"/>
    <w:rsid w:val="000233AD"/>
    <w:rsid w:val="0002350F"/>
    <w:rsid w:val="00023610"/>
    <w:rsid w:val="00023ED5"/>
    <w:rsid w:val="00024366"/>
    <w:rsid w:val="0002456C"/>
    <w:rsid w:val="0002479A"/>
    <w:rsid w:val="00024840"/>
    <w:rsid w:val="00024854"/>
    <w:rsid w:val="00024AB5"/>
    <w:rsid w:val="00024EE4"/>
    <w:rsid w:val="0002506A"/>
    <w:rsid w:val="00025CF8"/>
    <w:rsid w:val="00026173"/>
    <w:rsid w:val="00026290"/>
    <w:rsid w:val="000267E1"/>
    <w:rsid w:val="00026871"/>
    <w:rsid w:val="000279A8"/>
    <w:rsid w:val="00027BB0"/>
    <w:rsid w:val="00031311"/>
    <w:rsid w:val="00031679"/>
    <w:rsid w:val="000318B5"/>
    <w:rsid w:val="000319A9"/>
    <w:rsid w:val="00031F00"/>
    <w:rsid w:val="000329A4"/>
    <w:rsid w:val="00032B55"/>
    <w:rsid w:val="00032BAF"/>
    <w:rsid w:val="00033020"/>
    <w:rsid w:val="00033562"/>
    <w:rsid w:val="00034281"/>
    <w:rsid w:val="000345A3"/>
    <w:rsid w:val="00034C7F"/>
    <w:rsid w:val="00034D65"/>
    <w:rsid w:val="00034DD1"/>
    <w:rsid w:val="00034DE1"/>
    <w:rsid w:val="00034DFD"/>
    <w:rsid w:val="000350C2"/>
    <w:rsid w:val="000352BA"/>
    <w:rsid w:val="0003571A"/>
    <w:rsid w:val="00035833"/>
    <w:rsid w:val="00035CEB"/>
    <w:rsid w:val="0003624D"/>
    <w:rsid w:val="00036624"/>
    <w:rsid w:val="00036707"/>
    <w:rsid w:val="0003772C"/>
    <w:rsid w:val="00037A2B"/>
    <w:rsid w:val="00037B8E"/>
    <w:rsid w:val="00040C8C"/>
    <w:rsid w:val="00040F52"/>
    <w:rsid w:val="00041204"/>
    <w:rsid w:val="00041249"/>
    <w:rsid w:val="00041C7D"/>
    <w:rsid w:val="000426F9"/>
    <w:rsid w:val="00042716"/>
    <w:rsid w:val="00042F7C"/>
    <w:rsid w:val="000434AA"/>
    <w:rsid w:val="000435A1"/>
    <w:rsid w:val="00043EA2"/>
    <w:rsid w:val="00043F53"/>
    <w:rsid w:val="0004438B"/>
    <w:rsid w:val="000448E4"/>
    <w:rsid w:val="00045404"/>
    <w:rsid w:val="000455C4"/>
    <w:rsid w:val="00045774"/>
    <w:rsid w:val="00046208"/>
    <w:rsid w:val="00046A50"/>
    <w:rsid w:val="00046D8A"/>
    <w:rsid w:val="00046F00"/>
    <w:rsid w:val="00046F1B"/>
    <w:rsid w:val="00047180"/>
    <w:rsid w:val="0004719A"/>
    <w:rsid w:val="000471EC"/>
    <w:rsid w:val="00047582"/>
    <w:rsid w:val="000478F5"/>
    <w:rsid w:val="000503C1"/>
    <w:rsid w:val="000508F9"/>
    <w:rsid w:val="0005095A"/>
    <w:rsid w:val="00050C78"/>
    <w:rsid w:val="00050D52"/>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A2F"/>
    <w:rsid w:val="00055BF8"/>
    <w:rsid w:val="00056BAC"/>
    <w:rsid w:val="00056C57"/>
    <w:rsid w:val="00056D9E"/>
    <w:rsid w:val="00060555"/>
    <w:rsid w:val="00060975"/>
    <w:rsid w:val="0006100D"/>
    <w:rsid w:val="0006144D"/>
    <w:rsid w:val="00061477"/>
    <w:rsid w:val="00061AB5"/>
    <w:rsid w:val="00062007"/>
    <w:rsid w:val="0006264A"/>
    <w:rsid w:val="00062ADB"/>
    <w:rsid w:val="00064C64"/>
    <w:rsid w:val="000650E5"/>
    <w:rsid w:val="000651F7"/>
    <w:rsid w:val="00065ED1"/>
    <w:rsid w:val="00066261"/>
    <w:rsid w:val="0006648F"/>
    <w:rsid w:val="000668CA"/>
    <w:rsid w:val="00066DEF"/>
    <w:rsid w:val="0006738C"/>
    <w:rsid w:val="00067493"/>
    <w:rsid w:val="00067AEC"/>
    <w:rsid w:val="00070205"/>
    <w:rsid w:val="000703B4"/>
    <w:rsid w:val="00070D6B"/>
    <w:rsid w:val="00071163"/>
    <w:rsid w:val="000716E2"/>
    <w:rsid w:val="0007186A"/>
    <w:rsid w:val="000719ED"/>
    <w:rsid w:val="00071A6C"/>
    <w:rsid w:val="00072497"/>
    <w:rsid w:val="0007255D"/>
    <w:rsid w:val="00072965"/>
    <w:rsid w:val="00073178"/>
    <w:rsid w:val="000731EE"/>
    <w:rsid w:val="0007345D"/>
    <w:rsid w:val="000737CF"/>
    <w:rsid w:val="0007576A"/>
    <w:rsid w:val="0007590B"/>
    <w:rsid w:val="00075D21"/>
    <w:rsid w:val="0007642E"/>
    <w:rsid w:val="0007697F"/>
    <w:rsid w:val="000769BA"/>
    <w:rsid w:val="00076C5A"/>
    <w:rsid w:val="00077566"/>
    <w:rsid w:val="0007764A"/>
    <w:rsid w:val="00077754"/>
    <w:rsid w:val="0007775E"/>
    <w:rsid w:val="00077888"/>
    <w:rsid w:val="0008005E"/>
    <w:rsid w:val="00080965"/>
    <w:rsid w:val="00081462"/>
    <w:rsid w:val="00081F56"/>
    <w:rsid w:val="00081FE6"/>
    <w:rsid w:val="00082191"/>
    <w:rsid w:val="000822B6"/>
    <w:rsid w:val="000823C8"/>
    <w:rsid w:val="00082719"/>
    <w:rsid w:val="000827EC"/>
    <w:rsid w:val="00082A06"/>
    <w:rsid w:val="0008312C"/>
    <w:rsid w:val="000835DC"/>
    <w:rsid w:val="00083B66"/>
    <w:rsid w:val="00083C98"/>
    <w:rsid w:val="00083E13"/>
    <w:rsid w:val="00084395"/>
    <w:rsid w:val="0008495C"/>
    <w:rsid w:val="00084C50"/>
    <w:rsid w:val="0008520E"/>
    <w:rsid w:val="00085895"/>
    <w:rsid w:val="0008607A"/>
    <w:rsid w:val="00086409"/>
    <w:rsid w:val="00086F32"/>
    <w:rsid w:val="00087790"/>
    <w:rsid w:val="00087A0D"/>
    <w:rsid w:val="00087EDB"/>
    <w:rsid w:val="0009000E"/>
    <w:rsid w:val="0009162A"/>
    <w:rsid w:val="00091E02"/>
    <w:rsid w:val="00092581"/>
    <w:rsid w:val="00093A61"/>
    <w:rsid w:val="00093CAE"/>
    <w:rsid w:val="000943A0"/>
    <w:rsid w:val="0009481E"/>
    <w:rsid w:val="00094F8C"/>
    <w:rsid w:val="000955F3"/>
    <w:rsid w:val="0009573C"/>
    <w:rsid w:val="000963D3"/>
    <w:rsid w:val="000974FB"/>
    <w:rsid w:val="00097F0C"/>
    <w:rsid w:val="000A01B4"/>
    <w:rsid w:val="000A054E"/>
    <w:rsid w:val="000A0933"/>
    <w:rsid w:val="000A0AC8"/>
    <w:rsid w:val="000A0EDF"/>
    <w:rsid w:val="000A1162"/>
    <w:rsid w:val="000A11F7"/>
    <w:rsid w:val="000A123A"/>
    <w:rsid w:val="000A153B"/>
    <w:rsid w:val="000A1957"/>
    <w:rsid w:val="000A1D61"/>
    <w:rsid w:val="000A22DD"/>
    <w:rsid w:val="000A3066"/>
    <w:rsid w:val="000A30DF"/>
    <w:rsid w:val="000A33F3"/>
    <w:rsid w:val="000A4279"/>
    <w:rsid w:val="000A43CC"/>
    <w:rsid w:val="000A446B"/>
    <w:rsid w:val="000A4E21"/>
    <w:rsid w:val="000A501B"/>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C69"/>
    <w:rsid w:val="000B403D"/>
    <w:rsid w:val="000B4653"/>
    <w:rsid w:val="000B46A8"/>
    <w:rsid w:val="000B47E5"/>
    <w:rsid w:val="000B499E"/>
    <w:rsid w:val="000B5380"/>
    <w:rsid w:val="000B5F78"/>
    <w:rsid w:val="000B68A8"/>
    <w:rsid w:val="000B6CFE"/>
    <w:rsid w:val="000B6F17"/>
    <w:rsid w:val="000B74F9"/>
    <w:rsid w:val="000B796D"/>
    <w:rsid w:val="000C0035"/>
    <w:rsid w:val="000C013C"/>
    <w:rsid w:val="000C02B3"/>
    <w:rsid w:val="000C0C09"/>
    <w:rsid w:val="000C147E"/>
    <w:rsid w:val="000C1482"/>
    <w:rsid w:val="000C176E"/>
    <w:rsid w:val="000C2810"/>
    <w:rsid w:val="000C290D"/>
    <w:rsid w:val="000C29D9"/>
    <w:rsid w:val="000C2C3A"/>
    <w:rsid w:val="000C321A"/>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CCE"/>
    <w:rsid w:val="000D2D73"/>
    <w:rsid w:val="000D3C96"/>
    <w:rsid w:val="000D568C"/>
    <w:rsid w:val="000D58DE"/>
    <w:rsid w:val="000D59D3"/>
    <w:rsid w:val="000D688A"/>
    <w:rsid w:val="000D6999"/>
    <w:rsid w:val="000D78F9"/>
    <w:rsid w:val="000D7987"/>
    <w:rsid w:val="000E0831"/>
    <w:rsid w:val="000E0C5A"/>
    <w:rsid w:val="000E1280"/>
    <w:rsid w:val="000E1772"/>
    <w:rsid w:val="000E1775"/>
    <w:rsid w:val="000E1A51"/>
    <w:rsid w:val="000E1B8E"/>
    <w:rsid w:val="000E2110"/>
    <w:rsid w:val="000E2215"/>
    <w:rsid w:val="000E2509"/>
    <w:rsid w:val="000E2F0D"/>
    <w:rsid w:val="000E3179"/>
    <w:rsid w:val="000E32FD"/>
    <w:rsid w:val="000E3DCB"/>
    <w:rsid w:val="000E402C"/>
    <w:rsid w:val="000E41B2"/>
    <w:rsid w:val="000E446E"/>
    <w:rsid w:val="000E4631"/>
    <w:rsid w:val="000E4698"/>
    <w:rsid w:val="000E4BEC"/>
    <w:rsid w:val="000E4F3D"/>
    <w:rsid w:val="000E512D"/>
    <w:rsid w:val="000E5658"/>
    <w:rsid w:val="000E5982"/>
    <w:rsid w:val="000E5E86"/>
    <w:rsid w:val="000E60B9"/>
    <w:rsid w:val="000E62A5"/>
    <w:rsid w:val="000E6470"/>
    <w:rsid w:val="000E6715"/>
    <w:rsid w:val="000E6BA2"/>
    <w:rsid w:val="000E6C2C"/>
    <w:rsid w:val="000E72F4"/>
    <w:rsid w:val="000F0B7A"/>
    <w:rsid w:val="000F0DF8"/>
    <w:rsid w:val="000F0E1F"/>
    <w:rsid w:val="000F12D9"/>
    <w:rsid w:val="000F168C"/>
    <w:rsid w:val="000F2474"/>
    <w:rsid w:val="000F2A9B"/>
    <w:rsid w:val="000F2C66"/>
    <w:rsid w:val="000F2E7D"/>
    <w:rsid w:val="000F329D"/>
    <w:rsid w:val="000F35ED"/>
    <w:rsid w:val="000F3602"/>
    <w:rsid w:val="000F3A6A"/>
    <w:rsid w:val="000F4A24"/>
    <w:rsid w:val="000F4FD5"/>
    <w:rsid w:val="000F5110"/>
    <w:rsid w:val="000F5767"/>
    <w:rsid w:val="000F5887"/>
    <w:rsid w:val="000F678D"/>
    <w:rsid w:val="000F6B95"/>
    <w:rsid w:val="000F6DDB"/>
    <w:rsid w:val="000F6E4D"/>
    <w:rsid w:val="000F70F6"/>
    <w:rsid w:val="000F761F"/>
    <w:rsid w:val="000F7931"/>
    <w:rsid w:val="000F7936"/>
    <w:rsid w:val="000F7AF9"/>
    <w:rsid w:val="000F7D31"/>
    <w:rsid w:val="000F7E96"/>
    <w:rsid w:val="00100197"/>
    <w:rsid w:val="001001DD"/>
    <w:rsid w:val="0010073F"/>
    <w:rsid w:val="00100B8B"/>
    <w:rsid w:val="00100C4E"/>
    <w:rsid w:val="001010D2"/>
    <w:rsid w:val="0010134B"/>
    <w:rsid w:val="0010249F"/>
    <w:rsid w:val="00102DD1"/>
    <w:rsid w:val="0010375E"/>
    <w:rsid w:val="00103822"/>
    <w:rsid w:val="0010473F"/>
    <w:rsid w:val="001049A4"/>
    <w:rsid w:val="00104C7A"/>
    <w:rsid w:val="00105030"/>
    <w:rsid w:val="00105095"/>
    <w:rsid w:val="001056B1"/>
    <w:rsid w:val="001057FF"/>
    <w:rsid w:val="00105D64"/>
    <w:rsid w:val="00105DFD"/>
    <w:rsid w:val="00106B63"/>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854"/>
    <w:rsid w:val="001139C1"/>
    <w:rsid w:val="00113B8A"/>
    <w:rsid w:val="00113F6B"/>
    <w:rsid w:val="00114FD4"/>
    <w:rsid w:val="001152B2"/>
    <w:rsid w:val="001157D9"/>
    <w:rsid w:val="00115FCD"/>
    <w:rsid w:val="00116101"/>
    <w:rsid w:val="00116BA9"/>
    <w:rsid w:val="00116CA9"/>
    <w:rsid w:val="0011731A"/>
    <w:rsid w:val="0011740B"/>
    <w:rsid w:val="00117875"/>
    <w:rsid w:val="00117982"/>
    <w:rsid w:val="00117DC0"/>
    <w:rsid w:val="00120692"/>
    <w:rsid w:val="00120B4D"/>
    <w:rsid w:val="00120D04"/>
    <w:rsid w:val="00120FD8"/>
    <w:rsid w:val="001213E1"/>
    <w:rsid w:val="001218A2"/>
    <w:rsid w:val="001221B5"/>
    <w:rsid w:val="00122D7E"/>
    <w:rsid w:val="001233F4"/>
    <w:rsid w:val="00123640"/>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8FC"/>
    <w:rsid w:val="00131AA2"/>
    <w:rsid w:val="00131B54"/>
    <w:rsid w:val="00131DD7"/>
    <w:rsid w:val="0013224E"/>
    <w:rsid w:val="001322AA"/>
    <w:rsid w:val="00132491"/>
    <w:rsid w:val="00132A51"/>
    <w:rsid w:val="00132ACC"/>
    <w:rsid w:val="00133114"/>
    <w:rsid w:val="00134044"/>
    <w:rsid w:val="00134C7A"/>
    <w:rsid w:val="001351CB"/>
    <w:rsid w:val="001352DE"/>
    <w:rsid w:val="0013549A"/>
    <w:rsid w:val="00135B5E"/>
    <w:rsid w:val="001362D5"/>
    <w:rsid w:val="00136877"/>
    <w:rsid w:val="00137DB6"/>
    <w:rsid w:val="00137F42"/>
    <w:rsid w:val="00140A46"/>
    <w:rsid w:val="00140C6D"/>
    <w:rsid w:val="00140E98"/>
    <w:rsid w:val="001413D7"/>
    <w:rsid w:val="00141888"/>
    <w:rsid w:val="00141C46"/>
    <w:rsid w:val="00142789"/>
    <w:rsid w:val="0014283F"/>
    <w:rsid w:val="00142A40"/>
    <w:rsid w:val="0014340C"/>
    <w:rsid w:val="001435FA"/>
    <w:rsid w:val="00143881"/>
    <w:rsid w:val="001438CA"/>
    <w:rsid w:val="001449BD"/>
    <w:rsid w:val="001450D8"/>
    <w:rsid w:val="0014535E"/>
    <w:rsid w:val="00145481"/>
    <w:rsid w:val="001455A5"/>
    <w:rsid w:val="00145D2C"/>
    <w:rsid w:val="00145F32"/>
    <w:rsid w:val="0014619D"/>
    <w:rsid w:val="0014628E"/>
    <w:rsid w:val="00146504"/>
    <w:rsid w:val="00146C64"/>
    <w:rsid w:val="00146F63"/>
    <w:rsid w:val="00147B93"/>
    <w:rsid w:val="00147FDB"/>
    <w:rsid w:val="00150106"/>
    <w:rsid w:val="00150206"/>
    <w:rsid w:val="001513CC"/>
    <w:rsid w:val="00151F11"/>
    <w:rsid w:val="0015252B"/>
    <w:rsid w:val="00152AF2"/>
    <w:rsid w:val="00152E30"/>
    <w:rsid w:val="00154064"/>
    <w:rsid w:val="00154084"/>
    <w:rsid w:val="00154195"/>
    <w:rsid w:val="001547FE"/>
    <w:rsid w:val="00156E9B"/>
    <w:rsid w:val="00156FE4"/>
    <w:rsid w:val="00157AFB"/>
    <w:rsid w:val="001602A4"/>
    <w:rsid w:val="00160808"/>
    <w:rsid w:val="00160C5D"/>
    <w:rsid w:val="00160E55"/>
    <w:rsid w:val="0016100E"/>
    <w:rsid w:val="001622AC"/>
    <w:rsid w:val="00162772"/>
    <w:rsid w:val="0016303B"/>
    <w:rsid w:val="00163172"/>
    <w:rsid w:val="00163628"/>
    <w:rsid w:val="00163B49"/>
    <w:rsid w:val="00163C04"/>
    <w:rsid w:val="00163D37"/>
    <w:rsid w:val="00163E90"/>
    <w:rsid w:val="001644C7"/>
    <w:rsid w:val="00164554"/>
    <w:rsid w:val="00164A47"/>
    <w:rsid w:val="00164EDE"/>
    <w:rsid w:val="00164F10"/>
    <w:rsid w:val="001655A3"/>
    <w:rsid w:val="0016641A"/>
    <w:rsid w:val="001665C5"/>
    <w:rsid w:val="001666F2"/>
    <w:rsid w:val="001667A8"/>
    <w:rsid w:val="001669F3"/>
    <w:rsid w:val="00167550"/>
    <w:rsid w:val="00167B95"/>
    <w:rsid w:val="00167F50"/>
    <w:rsid w:val="00170A57"/>
    <w:rsid w:val="00170C08"/>
    <w:rsid w:val="00170EF6"/>
    <w:rsid w:val="00171326"/>
    <w:rsid w:val="0017209C"/>
    <w:rsid w:val="0017242E"/>
    <w:rsid w:val="00172C8F"/>
    <w:rsid w:val="00172FC7"/>
    <w:rsid w:val="00173066"/>
    <w:rsid w:val="00173077"/>
    <w:rsid w:val="001737E0"/>
    <w:rsid w:val="00173EB7"/>
    <w:rsid w:val="00174270"/>
    <w:rsid w:val="0017531D"/>
    <w:rsid w:val="00175D31"/>
    <w:rsid w:val="001766EE"/>
    <w:rsid w:val="00176E34"/>
    <w:rsid w:val="00177455"/>
    <w:rsid w:val="001774CA"/>
    <w:rsid w:val="001776E3"/>
    <w:rsid w:val="00180F32"/>
    <w:rsid w:val="0018150E"/>
    <w:rsid w:val="001822BB"/>
    <w:rsid w:val="00182A99"/>
    <w:rsid w:val="00182CEF"/>
    <w:rsid w:val="00183099"/>
    <w:rsid w:val="001833E2"/>
    <w:rsid w:val="00183ED5"/>
    <w:rsid w:val="00183F47"/>
    <w:rsid w:val="00184D0F"/>
    <w:rsid w:val="00185BF7"/>
    <w:rsid w:val="00185C3F"/>
    <w:rsid w:val="00185D32"/>
    <w:rsid w:val="00185E6A"/>
    <w:rsid w:val="001860FD"/>
    <w:rsid w:val="00186A6E"/>
    <w:rsid w:val="0018747B"/>
    <w:rsid w:val="00187547"/>
    <w:rsid w:val="00187783"/>
    <w:rsid w:val="00190987"/>
    <w:rsid w:val="00190AFD"/>
    <w:rsid w:val="00190C6A"/>
    <w:rsid w:val="001913C7"/>
    <w:rsid w:val="00191858"/>
    <w:rsid w:val="0019264F"/>
    <w:rsid w:val="00192745"/>
    <w:rsid w:val="001932E2"/>
    <w:rsid w:val="00193F95"/>
    <w:rsid w:val="00194199"/>
    <w:rsid w:val="001949C5"/>
    <w:rsid w:val="00194A8C"/>
    <w:rsid w:val="001952DE"/>
    <w:rsid w:val="001961D2"/>
    <w:rsid w:val="001963DF"/>
    <w:rsid w:val="001968D0"/>
    <w:rsid w:val="00196BEF"/>
    <w:rsid w:val="0019702D"/>
    <w:rsid w:val="00197062"/>
    <w:rsid w:val="0019762E"/>
    <w:rsid w:val="001977E1"/>
    <w:rsid w:val="001978C1"/>
    <w:rsid w:val="0019799C"/>
    <w:rsid w:val="00197D63"/>
    <w:rsid w:val="00197DF9"/>
    <w:rsid w:val="00197F5B"/>
    <w:rsid w:val="001A073F"/>
    <w:rsid w:val="001A081B"/>
    <w:rsid w:val="001A1268"/>
    <w:rsid w:val="001A12CC"/>
    <w:rsid w:val="001A161E"/>
    <w:rsid w:val="001A17DB"/>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A7328"/>
    <w:rsid w:val="001A78F6"/>
    <w:rsid w:val="001B06A9"/>
    <w:rsid w:val="001B0A67"/>
    <w:rsid w:val="001B0CD1"/>
    <w:rsid w:val="001B0EF8"/>
    <w:rsid w:val="001B10BC"/>
    <w:rsid w:val="001B14B7"/>
    <w:rsid w:val="001B1BF3"/>
    <w:rsid w:val="001B1C7D"/>
    <w:rsid w:val="001B20B1"/>
    <w:rsid w:val="001B2220"/>
    <w:rsid w:val="001B2659"/>
    <w:rsid w:val="001B29EC"/>
    <w:rsid w:val="001B2A48"/>
    <w:rsid w:val="001B33D2"/>
    <w:rsid w:val="001B3E92"/>
    <w:rsid w:val="001B3F1E"/>
    <w:rsid w:val="001B43F4"/>
    <w:rsid w:val="001B4407"/>
    <w:rsid w:val="001B47AE"/>
    <w:rsid w:val="001B49D5"/>
    <w:rsid w:val="001B50E3"/>
    <w:rsid w:val="001B50E7"/>
    <w:rsid w:val="001B53D4"/>
    <w:rsid w:val="001B5536"/>
    <w:rsid w:val="001B5AF3"/>
    <w:rsid w:val="001B5E0B"/>
    <w:rsid w:val="001B65B8"/>
    <w:rsid w:val="001B6B9E"/>
    <w:rsid w:val="001B7537"/>
    <w:rsid w:val="001B7DE3"/>
    <w:rsid w:val="001C035C"/>
    <w:rsid w:val="001C0403"/>
    <w:rsid w:val="001C08ED"/>
    <w:rsid w:val="001C0ED3"/>
    <w:rsid w:val="001C0F5D"/>
    <w:rsid w:val="001C1050"/>
    <w:rsid w:val="001C1689"/>
    <w:rsid w:val="001C253E"/>
    <w:rsid w:val="001C2565"/>
    <w:rsid w:val="001C2F7A"/>
    <w:rsid w:val="001C3E1F"/>
    <w:rsid w:val="001C3F85"/>
    <w:rsid w:val="001C3FC6"/>
    <w:rsid w:val="001C4120"/>
    <w:rsid w:val="001C44AC"/>
    <w:rsid w:val="001C457E"/>
    <w:rsid w:val="001C4BA9"/>
    <w:rsid w:val="001C4C0C"/>
    <w:rsid w:val="001C4E33"/>
    <w:rsid w:val="001C5EA1"/>
    <w:rsid w:val="001C5F68"/>
    <w:rsid w:val="001C62C3"/>
    <w:rsid w:val="001C6606"/>
    <w:rsid w:val="001C7789"/>
    <w:rsid w:val="001C782A"/>
    <w:rsid w:val="001C7A11"/>
    <w:rsid w:val="001C7C53"/>
    <w:rsid w:val="001C7F81"/>
    <w:rsid w:val="001D051A"/>
    <w:rsid w:val="001D082C"/>
    <w:rsid w:val="001D0EFE"/>
    <w:rsid w:val="001D0FCC"/>
    <w:rsid w:val="001D11C3"/>
    <w:rsid w:val="001D15AA"/>
    <w:rsid w:val="001D1746"/>
    <w:rsid w:val="001D1A9F"/>
    <w:rsid w:val="001D1B0C"/>
    <w:rsid w:val="001D1E1E"/>
    <w:rsid w:val="001D29B4"/>
    <w:rsid w:val="001D2B40"/>
    <w:rsid w:val="001D31FC"/>
    <w:rsid w:val="001D34E4"/>
    <w:rsid w:val="001D3C19"/>
    <w:rsid w:val="001D411C"/>
    <w:rsid w:val="001D4198"/>
    <w:rsid w:val="001D4994"/>
    <w:rsid w:val="001D537F"/>
    <w:rsid w:val="001D5448"/>
    <w:rsid w:val="001D5948"/>
    <w:rsid w:val="001D5AF2"/>
    <w:rsid w:val="001D61E8"/>
    <w:rsid w:val="001D664D"/>
    <w:rsid w:val="001D6EF1"/>
    <w:rsid w:val="001D757E"/>
    <w:rsid w:val="001D7C10"/>
    <w:rsid w:val="001D7FBA"/>
    <w:rsid w:val="001E052A"/>
    <w:rsid w:val="001E0800"/>
    <w:rsid w:val="001E151A"/>
    <w:rsid w:val="001E1909"/>
    <w:rsid w:val="001E1918"/>
    <w:rsid w:val="001E2183"/>
    <w:rsid w:val="001E24E9"/>
    <w:rsid w:val="001E27E9"/>
    <w:rsid w:val="001E312A"/>
    <w:rsid w:val="001E332D"/>
    <w:rsid w:val="001E3550"/>
    <w:rsid w:val="001E37E0"/>
    <w:rsid w:val="001E37E2"/>
    <w:rsid w:val="001E383E"/>
    <w:rsid w:val="001E3C69"/>
    <w:rsid w:val="001E44B8"/>
    <w:rsid w:val="001E4A64"/>
    <w:rsid w:val="001E5366"/>
    <w:rsid w:val="001E5590"/>
    <w:rsid w:val="001E6265"/>
    <w:rsid w:val="001E656B"/>
    <w:rsid w:val="001E6707"/>
    <w:rsid w:val="001E6816"/>
    <w:rsid w:val="001E6AB5"/>
    <w:rsid w:val="001E753D"/>
    <w:rsid w:val="001E77F5"/>
    <w:rsid w:val="001E78C2"/>
    <w:rsid w:val="001F0120"/>
    <w:rsid w:val="001F0C63"/>
    <w:rsid w:val="001F1267"/>
    <w:rsid w:val="001F1369"/>
    <w:rsid w:val="001F1496"/>
    <w:rsid w:val="001F1EF0"/>
    <w:rsid w:val="001F2659"/>
    <w:rsid w:val="001F2996"/>
    <w:rsid w:val="001F2FC0"/>
    <w:rsid w:val="001F35EA"/>
    <w:rsid w:val="001F38E5"/>
    <w:rsid w:val="001F39B8"/>
    <w:rsid w:val="001F434C"/>
    <w:rsid w:val="001F4B19"/>
    <w:rsid w:val="001F4D41"/>
    <w:rsid w:val="001F4F3D"/>
    <w:rsid w:val="001F4FBD"/>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92"/>
    <w:rsid w:val="00201876"/>
    <w:rsid w:val="00201B14"/>
    <w:rsid w:val="00201F59"/>
    <w:rsid w:val="00202071"/>
    <w:rsid w:val="0020226E"/>
    <w:rsid w:val="002024C2"/>
    <w:rsid w:val="002026EF"/>
    <w:rsid w:val="002028F3"/>
    <w:rsid w:val="00202B6F"/>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20C"/>
    <w:rsid w:val="00210305"/>
    <w:rsid w:val="002107C3"/>
    <w:rsid w:val="00210E33"/>
    <w:rsid w:val="00211327"/>
    <w:rsid w:val="00211418"/>
    <w:rsid w:val="0021144A"/>
    <w:rsid w:val="00211FA2"/>
    <w:rsid w:val="0021232A"/>
    <w:rsid w:val="00213274"/>
    <w:rsid w:val="002134B5"/>
    <w:rsid w:val="00213A15"/>
    <w:rsid w:val="00213D9C"/>
    <w:rsid w:val="00213DBB"/>
    <w:rsid w:val="00213DF5"/>
    <w:rsid w:val="00213E5D"/>
    <w:rsid w:val="002154A6"/>
    <w:rsid w:val="0021578F"/>
    <w:rsid w:val="00216087"/>
    <w:rsid w:val="0021639D"/>
    <w:rsid w:val="0021642D"/>
    <w:rsid w:val="00216C80"/>
    <w:rsid w:val="00216F39"/>
    <w:rsid w:val="00217483"/>
    <w:rsid w:val="002176D7"/>
    <w:rsid w:val="00217B40"/>
    <w:rsid w:val="00217BBC"/>
    <w:rsid w:val="00220680"/>
    <w:rsid w:val="00220AEE"/>
    <w:rsid w:val="00220B53"/>
    <w:rsid w:val="00220ECE"/>
    <w:rsid w:val="0022102D"/>
    <w:rsid w:val="0022269B"/>
    <w:rsid w:val="002235C1"/>
    <w:rsid w:val="002236BA"/>
    <w:rsid w:val="00223A59"/>
    <w:rsid w:val="0022424E"/>
    <w:rsid w:val="00224F0D"/>
    <w:rsid w:val="0022503A"/>
    <w:rsid w:val="00225628"/>
    <w:rsid w:val="00226485"/>
    <w:rsid w:val="0022662A"/>
    <w:rsid w:val="002266A4"/>
    <w:rsid w:val="00226EAF"/>
    <w:rsid w:val="00226F6F"/>
    <w:rsid w:val="0022719F"/>
    <w:rsid w:val="002271A9"/>
    <w:rsid w:val="002273C2"/>
    <w:rsid w:val="0022769C"/>
    <w:rsid w:val="00227EB6"/>
    <w:rsid w:val="002300D5"/>
    <w:rsid w:val="002302C1"/>
    <w:rsid w:val="002311F8"/>
    <w:rsid w:val="00231D4F"/>
    <w:rsid w:val="00232E5A"/>
    <w:rsid w:val="002331F8"/>
    <w:rsid w:val="002331FE"/>
    <w:rsid w:val="002336E3"/>
    <w:rsid w:val="00233D86"/>
    <w:rsid w:val="00233ED4"/>
    <w:rsid w:val="00234096"/>
    <w:rsid w:val="00234180"/>
    <w:rsid w:val="002343FE"/>
    <w:rsid w:val="00234AC7"/>
    <w:rsid w:val="00234BFC"/>
    <w:rsid w:val="00234E2B"/>
    <w:rsid w:val="00234F47"/>
    <w:rsid w:val="00235B45"/>
    <w:rsid w:val="00235F99"/>
    <w:rsid w:val="002363CD"/>
    <w:rsid w:val="00236A00"/>
    <w:rsid w:val="0023724C"/>
    <w:rsid w:val="00237336"/>
    <w:rsid w:val="0023788A"/>
    <w:rsid w:val="00237B4C"/>
    <w:rsid w:val="0024004B"/>
    <w:rsid w:val="002403B0"/>
    <w:rsid w:val="0024042D"/>
    <w:rsid w:val="0024043A"/>
    <w:rsid w:val="00240CAE"/>
    <w:rsid w:val="00240D0D"/>
    <w:rsid w:val="002431F3"/>
    <w:rsid w:val="00243AD9"/>
    <w:rsid w:val="00243AE4"/>
    <w:rsid w:val="00243C46"/>
    <w:rsid w:val="00243CC4"/>
    <w:rsid w:val="002442F1"/>
    <w:rsid w:val="002447E4"/>
    <w:rsid w:val="00244DB5"/>
    <w:rsid w:val="00245AD7"/>
    <w:rsid w:val="00246B7E"/>
    <w:rsid w:val="00246C87"/>
    <w:rsid w:val="00246C91"/>
    <w:rsid w:val="00246CB7"/>
    <w:rsid w:val="00246FA6"/>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3E99"/>
    <w:rsid w:val="00254292"/>
    <w:rsid w:val="00254949"/>
    <w:rsid w:val="00254BA1"/>
    <w:rsid w:val="00255136"/>
    <w:rsid w:val="00255506"/>
    <w:rsid w:val="00255845"/>
    <w:rsid w:val="00255C87"/>
    <w:rsid w:val="002561E7"/>
    <w:rsid w:val="002562D8"/>
    <w:rsid w:val="00256CC4"/>
    <w:rsid w:val="00256DA2"/>
    <w:rsid w:val="00257194"/>
    <w:rsid w:val="0025744E"/>
    <w:rsid w:val="002575A0"/>
    <w:rsid w:val="00257631"/>
    <w:rsid w:val="00257EE1"/>
    <w:rsid w:val="0026065A"/>
    <w:rsid w:val="00260A68"/>
    <w:rsid w:val="00260DD3"/>
    <w:rsid w:val="00260E32"/>
    <w:rsid w:val="00261181"/>
    <w:rsid w:val="00261219"/>
    <w:rsid w:val="00261596"/>
    <w:rsid w:val="0026167A"/>
    <w:rsid w:val="00261C91"/>
    <w:rsid w:val="00261E19"/>
    <w:rsid w:val="002627A4"/>
    <w:rsid w:val="002628F2"/>
    <w:rsid w:val="00262D3B"/>
    <w:rsid w:val="00262D52"/>
    <w:rsid w:val="00262E1D"/>
    <w:rsid w:val="00262F07"/>
    <w:rsid w:val="0026318A"/>
    <w:rsid w:val="00263232"/>
    <w:rsid w:val="0026437A"/>
    <w:rsid w:val="0026517C"/>
    <w:rsid w:val="00265738"/>
    <w:rsid w:val="00265B94"/>
    <w:rsid w:val="00266318"/>
    <w:rsid w:val="0026679A"/>
    <w:rsid w:val="00270141"/>
    <w:rsid w:val="0027042A"/>
    <w:rsid w:val="002706CE"/>
    <w:rsid w:val="00270EC3"/>
    <w:rsid w:val="002714DE"/>
    <w:rsid w:val="0027155E"/>
    <w:rsid w:val="002715D4"/>
    <w:rsid w:val="00271688"/>
    <w:rsid w:val="0027301B"/>
    <w:rsid w:val="0027378A"/>
    <w:rsid w:val="0027382D"/>
    <w:rsid w:val="00273B74"/>
    <w:rsid w:val="00273D5F"/>
    <w:rsid w:val="00273DDE"/>
    <w:rsid w:val="00273EA1"/>
    <w:rsid w:val="00273FD8"/>
    <w:rsid w:val="002744D1"/>
    <w:rsid w:val="00274552"/>
    <w:rsid w:val="00274FB7"/>
    <w:rsid w:val="00275D73"/>
    <w:rsid w:val="00275F0B"/>
    <w:rsid w:val="00275FF0"/>
    <w:rsid w:val="00276186"/>
    <w:rsid w:val="00277585"/>
    <w:rsid w:val="002800B2"/>
    <w:rsid w:val="002800FD"/>
    <w:rsid w:val="002804F5"/>
    <w:rsid w:val="002805E8"/>
    <w:rsid w:val="0028119E"/>
    <w:rsid w:val="002817EC"/>
    <w:rsid w:val="00281842"/>
    <w:rsid w:val="00281B95"/>
    <w:rsid w:val="00281E03"/>
    <w:rsid w:val="00282C40"/>
    <w:rsid w:val="00283598"/>
    <w:rsid w:val="00283AEB"/>
    <w:rsid w:val="00283ECE"/>
    <w:rsid w:val="00284142"/>
    <w:rsid w:val="00284199"/>
    <w:rsid w:val="0028427C"/>
    <w:rsid w:val="00285703"/>
    <w:rsid w:val="00286F40"/>
    <w:rsid w:val="0028702F"/>
    <w:rsid w:val="00287408"/>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2F0C"/>
    <w:rsid w:val="00294244"/>
    <w:rsid w:val="00294522"/>
    <w:rsid w:val="00295DCA"/>
    <w:rsid w:val="00295E1B"/>
    <w:rsid w:val="0029788B"/>
    <w:rsid w:val="002979AC"/>
    <w:rsid w:val="00297B35"/>
    <w:rsid w:val="00297D12"/>
    <w:rsid w:val="002A06A6"/>
    <w:rsid w:val="002A120F"/>
    <w:rsid w:val="002A13A3"/>
    <w:rsid w:val="002A186D"/>
    <w:rsid w:val="002A1BA8"/>
    <w:rsid w:val="002A2135"/>
    <w:rsid w:val="002A2C00"/>
    <w:rsid w:val="002A41BF"/>
    <w:rsid w:val="002A4226"/>
    <w:rsid w:val="002A4670"/>
    <w:rsid w:val="002A47CB"/>
    <w:rsid w:val="002A48D3"/>
    <w:rsid w:val="002A4995"/>
    <w:rsid w:val="002A49BD"/>
    <w:rsid w:val="002A4B9E"/>
    <w:rsid w:val="002A4F22"/>
    <w:rsid w:val="002A55FD"/>
    <w:rsid w:val="002A5D00"/>
    <w:rsid w:val="002A6D30"/>
    <w:rsid w:val="002A6E12"/>
    <w:rsid w:val="002A72D4"/>
    <w:rsid w:val="002A7783"/>
    <w:rsid w:val="002A7A48"/>
    <w:rsid w:val="002B0015"/>
    <w:rsid w:val="002B1052"/>
    <w:rsid w:val="002B1D5B"/>
    <w:rsid w:val="002B2087"/>
    <w:rsid w:val="002B2257"/>
    <w:rsid w:val="002B27FB"/>
    <w:rsid w:val="002B2D1D"/>
    <w:rsid w:val="002B44DB"/>
    <w:rsid w:val="002B47BD"/>
    <w:rsid w:val="002B4852"/>
    <w:rsid w:val="002B51F3"/>
    <w:rsid w:val="002B58E4"/>
    <w:rsid w:val="002B5CC6"/>
    <w:rsid w:val="002B5DD9"/>
    <w:rsid w:val="002B6244"/>
    <w:rsid w:val="002B643B"/>
    <w:rsid w:val="002B6567"/>
    <w:rsid w:val="002B68E3"/>
    <w:rsid w:val="002B6A09"/>
    <w:rsid w:val="002B6BB2"/>
    <w:rsid w:val="002B71BA"/>
    <w:rsid w:val="002B78E5"/>
    <w:rsid w:val="002C02A8"/>
    <w:rsid w:val="002C157D"/>
    <w:rsid w:val="002C15A3"/>
    <w:rsid w:val="002C1BB2"/>
    <w:rsid w:val="002C1CB9"/>
    <w:rsid w:val="002C2074"/>
    <w:rsid w:val="002C2157"/>
    <w:rsid w:val="002C21D2"/>
    <w:rsid w:val="002C22CF"/>
    <w:rsid w:val="002C265D"/>
    <w:rsid w:val="002C2896"/>
    <w:rsid w:val="002C2AA3"/>
    <w:rsid w:val="002C3739"/>
    <w:rsid w:val="002C3D0B"/>
    <w:rsid w:val="002C3F37"/>
    <w:rsid w:val="002C4143"/>
    <w:rsid w:val="002C4344"/>
    <w:rsid w:val="002C4376"/>
    <w:rsid w:val="002C4C6C"/>
    <w:rsid w:val="002C4E23"/>
    <w:rsid w:val="002C504E"/>
    <w:rsid w:val="002C5A87"/>
    <w:rsid w:val="002C5BFA"/>
    <w:rsid w:val="002C5D1C"/>
    <w:rsid w:val="002C64C0"/>
    <w:rsid w:val="002C68E7"/>
    <w:rsid w:val="002C6921"/>
    <w:rsid w:val="002C6937"/>
    <w:rsid w:val="002C70D9"/>
    <w:rsid w:val="002C7BA6"/>
    <w:rsid w:val="002C7FC4"/>
    <w:rsid w:val="002D016F"/>
    <w:rsid w:val="002D03EE"/>
    <w:rsid w:val="002D0F97"/>
    <w:rsid w:val="002D105A"/>
    <w:rsid w:val="002D1692"/>
    <w:rsid w:val="002D1720"/>
    <w:rsid w:val="002D23B8"/>
    <w:rsid w:val="002D29FB"/>
    <w:rsid w:val="002D370A"/>
    <w:rsid w:val="002D3D57"/>
    <w:rsid w:val="002D3E14"/>
    <w:rsid w:val="002D43B5"/>
    <w:rsid w:val="002D4F03"/>
    <w:rsid w:val="002D5DE9"/>
    <w:rsid w:val="002D6005"/>
    <w:rsid w:val="002D606F"/>
    <w:rsid w:val="002D61F6"/>
    <w:rsid w:val="002D652C"/>
    <w:rsid w:val="002D6719"/>
    <w:rsid w:val="002D6A5B"/>
    <w:rsid w:val="002D6CE6"/>
    <w:rsid w:val="002D7084"/>
    <w:rsid w:val="002D745E"/>
    <w:rsid w:val="002D7668"/>
    <w:rsid w:val="002D779E"/>
    <w:rsid w:val="002E0291"/>
    <w:rsid w:val="002E10C5"/>
    <w:rsid w:val="002E1159"/>
    <w:rsid w:val="002E1435"/>
    <w:rsid w:val="002E1C97"/>
    <w:rsid w:val="002E26B8"/>
    <w:rsid w:val="002E3027"/>
    <w:rsid w:val="002E356E"/>
    <w:rsid w:val="002E36A4"/>
    <w:rsid w:val="002E3D2C"/>
    <w:rsid w:val="002E444A"/>
    <w:rsid w:val="002E4D5E"/>
    <w:rsid w:val="002E5119"/>
    <w:rsid w:val="002E52DE"/>
    <w:rsid w:val="002E54CF"/>
    <w:rsid w:val="002E55F7"/>
    <w:rsid w:val="002E583E"/>
    <w:rsid w:val="002E5A27"/>
    <w:rsid w:val="002E6F45"/>
    <w:rsid w:val="002E714A"/>
    <w:rsid w:val="002E79F8"/>
    <w:rsid w:val="002E7BC9"/>
    <w:rsid w:val="002F1133"/>
    <w:rsid w:val="002F1330"/>
    <w:rsid w:val="002F1736"/>
    <w:rsid w:val="002F1F02"/>
    <w:rsid w:val="002F21AD"/>
    <w:rsid w:val="002F2E2B"/>
    <w:rsid w:val="002F33EF"/>
    <w:rsid w:val="002F355C"/>
    <w:rsid w:val="002F3E02"/>
    <w:rsid w:val="002F42C9"/>
    <w:rsid w:val="002F4446"/>
    <w:rsid w:val="002F50F0"/>
    <w:rsid w:val="002F5200"/>
    <w:rsid w:val="002F5557"/>
    <w:rsid w:val="002F578B"/>
    <w:rsid w:val="002F61A9"/>
    <w:rsid w:val="002F6314"/>
    <w:rsid w:val="002F712D"/>
    <w:rsid w:val="002F72BC"/>
    <w:rsid w:val="002F799F"/>
    <w:rsid w:val="002F7E71"/>
    <w:rsid w:val="0030018E"/>
    <w:rsid w:val="00300579"/>
    <w:rsid w:val="003009A3"/>
    <w:rsid w:val="00300ABE"/>
    <w:rsid w:val="00300CB9"/>
    <w:rsid w:val="0030160C"/>
    <w:rsid w:val="003016F4"/>
    <w:rsid w:val="0030190D"/>
    <w:rsid w:val="00301D91"/>
    <w:rsid w:val="00302258"/>
    <w:rsid w:val="00302848"/>
    <w:rsid w:val="00302BDA"/>
    <w:rsid w:val="00302E6C"/>
    <w:rsid w:val="00303CE0"/>
    <w:rsid w:val="00304578"/>
    <w:rsid w:val="00304B27"/>
    <w:rsid w:val="00304F46"/>
    <w:rsid w:val="00305193"/>
    <w:rsid w:val="00306069"/>
    <w:rsid w:val="00306171"/>
    <w:rsid w:val="00307130"/>
    <w:rsid w:val="00307DF2"/>
    <w:rsid w:val="0031079E"/>
    <w:rsid w:val="00310969"/>
    <w:rsid w:val="00310EB7"/>
    <w:rsid w:val="00311055"/>
    <w:rsid w:val="003114A7"/>
    <w:rsid w:val="00311698"/>
    <w:rsid w:val="003116FE"/>
    <w:rsid w:val="00311A57"/>
    <w:rsid w:val="003125BF"/>
    <w:rsid w:val="0031280D"/>
    <w:rsid w:val="00312F4A"/>
    <w:rsid w:val="0031347A"/>
    <w:rsid w:val="00313907"/>
    <w:rsid w:val="00313E0D"/>
    <w:rsid w:val="00313F08"/>
    <w:rsid w:val="00314255"/>
    <w:rsid w:val="003147DA"/>
    <w:rsid w:val="003159D9"/>
    <w:rsid w:val="00315B3A"/>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4DF"/>
    <w:rsid w:val="0032154E"/>
    <w:rsid w:val="00321641"/>
    <w:rsid w:val="00321FAB"/>
    <w:rsid w:val="003227B7"/>
    <w:rsid w:val="00322A0E"/>
    <w:rsid w:val="0032346F"/>
    <w:rsid w:val="003243D2"/>
    <w:rsid w:val="003243FF"/>
    <w:rsid w:val="0032467F"/>
    <w:rsid w:val="00324A44"/>
    <w:rsid w:val="00324C4F"/>
    <w:rsid w:val="00324D82"/>
    <w:rsid w:val="00324F3A"/>
    <w:rsid w:val="003252B2"/>
    <w:rsid w:val="00325400"/>
    <w:rsid w:val="003256B1"/>
    <w:rsid w:val="00325939"/>
    <w:rsid w:val="00325ED7"/>
    <w:rsid w:val="00326258"/>
    <w:rsid w:val="00327A6B"/>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37BCB"/>
    <w:rsid w:val="003409F2"/>
    <w:rsid w:val="003416F4"/>
    <w:rsid w:val="00341831"/>
    <w:rsid w:val="00341CE1"/>
    <w:rsid w:val="00341E6F"/>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7B2"/>
    <w:rsid w:val="00350E65"/>
    <w:rsid w:val="00350F71"/>
    <w:rsid w:val="00350F8F"/>
    <w:rsid w:val="003512BF"/>
    <w:rsid w:val="00352250"/>
    <w:rsid w:val="003526B4"/>
    <w:rsid w:val="0035297A"/>
    <w:rsid w:val="003531E6"/>
    <w:rsid w:val="00353A9F"/>
    <w:rsid w:val="00353B64"/>
    <w:rsid w:val="00353E41"/>
    <w:rsid w:val="003541A8"/>
    <w:rsid w:val="00354539"/>
    <w:rsid w:val="00355029"/>
    <w:rsid w:val="00355331"/>
    <w:rsid w:val="003558A2"/>
    <w:rsid w:val="003558CB"/>
    <w:rsid w:val="00355A8D"/>
    <w:rsid w:val="00355D8B"/>
    <w:rsid w:val="00355FAD"/>
    <w:rsid w:val="0035622D"/>
    <w:rsid w:val="0035639A"/>
    <w:rsid w:val="003563BF"/>
    <w:rsid w:val="0035665E"/>
    <w:rsid w:val="00356C67"/>
    <w:rsid w:val="00356F36"/>
    <w:rsid w:val="00357A41"/>
    <w:rsid w:val="00357B85"/>
    <w:rsid w:val="00357EE5"/>
    <w:rsid w:val="00360678"/>
    <w:rsid w:val="0036122E"/>
    <w:rsid w:val="0036157F"/>
    <w:rsid w:val="00361765"/>
    <w:rsid w:val="003620FA"/>
    <w:rsid w:val="00362115"/>
    <w:rsid w:val="00362D65"/>
    <w:rsid w:val="00363075"/>
    <w:rsid w:val="00363499"/>
    <w:rsid w:val="0036381F"/>
    <w:rsid w:val="0036391E"/>
    <w:rsid w:val="00363A9B"/>
    <w:rsid w:val="00363BF5"/>
    <w:rsid w:val="00363DDC"/>
    <w:rsid w:val="00363E14"/>
    <w:rsid w:val="00364655"/>
    <w:rsid w:val="00364783"/>
    <w:rsid w:val="00364D0E"/>
    <w:rsid w:val="00364DEC"/>
    <w:rsid w:val="00364E97"/>
    <w:rsid w:val="00365553"/>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3770"/>
    <w:rsid w:val="00373D5A"/>
    <w:rsid w:val="00374131"/>
    <w:rsid w:val="00374343"/>
    <w:rsid w:val="00374445"/>
    <w:rsid w:val="00374584"/>
    <w:rsid w:val="00374629"/>
    <w:rsid w:val="00374657"/>
    <w:rsid w:val="00374827"/>
    <w:rsid w:val="003748E5"/>
    <w:rsid w:val="00374D51"/>
    <w:rsid w:val="00374EB6"/>
    <w:rsid w:val="00375A6E"/>
    <w:rsid w:val="00375DB4"/>
    <w:rsid w:val="003762A6"/>
    <w:rsid w:val="00376984"/>
    <w:rsid w:val="003769EA"/>
    <w:rsid w:val="00376AAC"/>
    <w:rsid w:val="00376B13"/>
    <w:rsid w:val="003775FC"/>
    <w:rsid w:val="0037786C"/>
    <w:rsid w:val="003779FF"/>
    <w:rsid w:val="00377D56"/>
    <w:rsid w:val="003807B9"/>
    <w:rsid w:val="00380928"/>
    <w:rsid w:val="00380CAC"/>
    <w:rsid w:val="003819C0"/>
    <w:rsid w:val="00381B8A"/>
    <w:rsid w:val="00381C7E"/>
    <w:rsid w:val="00381DCF"/>
    <w:rsid w:val="00381FAF"/>
    <w:rsid w:val="0038214B"/>
    <w:rsid w:val="00382192"/>
    <w:rsid w:val="003832BC"/>
    <w:rsid w:val="0038337A"/>
    <w:rsid w:val="003839A2"/>
    <w:rsid w:val="00384D83"/>
    <w:rsid w:val="00384DFB"/>
    <w:rsid w:val="00385DF1"/>
    <w:rsid w:val="00386464"/>
    <w:rsid w:val="003866A0"/>
    <w:rsid w:val="00386A77"/>
    <w:rsid w:val="00386B56"/>
    <w:rsid w:val="00386D17"/>
    <w:rsid w:val="00387003"/>
    <w:rsid w:val="0038705F"/>
    <w:rsid w:val="00387A8C"/>
    <w:rsid w:val="00387B23"/>
    <w:rsid w:val="00387F8D"/>
    <w:rsid w:val="003905E5"/>
    <w:rsid w:val="003906C3"/>
    <w:rsid w:val="00390746"/>
    <w:rsid w:val="00390B46"/>
    <w:rsid w:val="00390B81"/>
    <w:rsid w:val="00390E2A"/>
    <w:rsid w:val="0039148A"/>
    <w:rsid w:val="00391593"/>
    <w:rsid w:val="003923B0"/>
    <w:rsid w:val="0039241D"/>
    <w:rsid w:val="0039268E"/>
    <w:rsid w:val="00392D7A"/>
    <w:rsid w:val="00392FAE"/>
    <w:rsid w:val="0039324F"/>
    <w:rsid w:val="003938FF"/>
    <w:rsid w:val="00393C99"/>
    <w:rsid w:val="00393D21"/>
    <w:rsid w:val="00394371"/>
    <w:rsid w:val="003947BD"/>
    <w:rsid w:val="00394C6D"/>
    <w:rsid w:val="00394C8F"/>
    <w:rsid w:val="00395A73"/>
    <w:rsid w:val="00395B63"/>
    <w:rsid w:val="00395B84"/>
    <w:rsid w:val="00396237"/>
    <w:rsid w:val="00396309"/>
    <w:rsid w:val="00396F1B"/>
    <w:rsid w:val="003A0D68"/>
    <w:rsid w:val="003A0FFE"/>
    <w:rsid w:val="003A15D2"/>
    <w:rsid w:val="003A1758"/>
    <w:rsid w:val="003A2527"/>
    <w:rsid w:val="003A257C"/>
    <w:rsid w:val="003A2725"/>
    <w:rsid w:val="003A2E90"/>
    <w:rsid w:val="003A44D7"/>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3B5"/>
    <w:rsid w:val="003B1411"/>
    <w:rsid w:val="003B1E0E"/>
    <w:rsid w:val="003B21E0"/>
    <w:rsid w:val="003B2ACA"/>
    <w:rsid w:val="003B2D97"/>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CB0"/>
    <w:rsid w:val="003C0DC0"/>
    <w:rsid w:val="003C0FD0"/>
    <w:rsid w:val="003C1037"/>
    <w:rsid w:val="003C14FF"/>
    <w:rsid w:val="003C1F8B"/>
    <w:rsid w:val="003C2440"/>
    <w:rsid w:val="003C2AAE"/>
    <w:rsid w:val="003C3028"/>
    <w:rsid w:val="003C3488"/>
    <w:rsid w:val="003C3698"/>
    <w:rsid w:val="003C3AE5"/>
    <w:rsid w:val="003C4199"/>
    <w:rsid w:val="003C41D3"/>
    <w:rsid w:val="003C41EC"/>
    <w:rsid w:val="003C448D"/>
    <w:rsid w:val="003C44A1"/>
    <w:rsid w:val="003C45E7"/>
    <w:rsid w:val="003C48C0"/>
    <w:rsid w:val="003C5690"/>
    <w:rsid w:val="003C674F"/>
    <w:rsid w:val="003C6E06"/>
    <w:rsid w:val="003C7A25"/>
    <w:rsid w:val="003D01AD"/>
    <w:rsid w:val="003D08D2"/>
    <w:rsid w:val="003D18D2"/>
    <w:rsid w:val="003D233D"/>
    <w:rsid w:val="003D2785"/>
    <w:rsid w:val="003D2BFD"/>
    <w:rsid w:val="003D3C1B"/>
    <w:rsid w:val="003D3E40"/>
    <w:rsid w:val="003D41CF"/>
    <w:rsid w:val="003D44B8"/>
    <w:rsid w:val="003D4DE3"/>
    <w:rsid w:val="003D5199"/>
    <w:rsid w:val="003D54E0"/>
    <w:rsid w:val="003D56BC"/>
    <w:rsid w:val="003D5753"/>
    <w:rsid w:val="003D5756"/>
    <w:rsid w:val="003D6599"/>
    <w:rsid w:val="003D6C0B"/>
    <w:rsid w:val="003D71B3"/>
    <w:rsid w:val="003D76B5"/>
    <w:rsid w:val="003D795B"/>
    <w:rsid w:val="003E0015"/>
    <w:rsid w:val="003E054E"/>
    <w:rsid w:val="003E0574"/>
    <w:rsid w:val="003E06A9"/>
    <w:rsid w:val="003E0873"/>
    <w:rsid w:val="003E0974"/>
    <w:rsid w:val="003E15EE"/>
    <w:rsid w:val="003E1674"/>
    <w:rsid w:val="003E1710"/>
    <w:rsid w:val="003E25F3"/>
    <w:rsid w:val="003E27BC"/>
    <w:rsid w:val="003E2A00"/>
    <w:rsid w:val="003E3355"/>
    <w:rsid w:val="003E339F"/>
    <w:rsid w:val="003E3504"/>
    <w:rsid w:val="003E43DD"/>
    <w:rsid w:val="003E477E"/>
    <w:rsid w:val="003E4DDE"/>
    <w:rsid w:val="003E50B6"/>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05B"/>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0F27"/>
    <w:rsid w:val="004025C2"/>
    <w:rsid w:val="004026DE"/>
    <w:rsid w:val="00402B7B"/>
    <w:rsid w:val="00403645"/>
    <w:rsid w:val="0040412A"/>
    <w:rsid w:val="00404428"/>
    <w:rsid w:val="004044DE"/>
    <w:rsid w:val="004046F8"/>
    <w:rsid w:val="00404994"/>
    <w:rsid w:val="00405930"/>
    <w:rsid w:val="00405A2D"/>
    <w:rsid w:val="00405FE3"/>
    <w:rsid w:val="00406994"/>
    <w:rsid w:val="00407072"/>
    <w:rsid w:val="004071C0"/>
    <w:rsid w:val="00407874"/>
    <w:rsid w:val="0040797B"/>
    <w:rsid w:val="00407B07"/>
    <w:rsid w:val="00407CCA"/>
    <w:rsid w:val="004108E5"/>
    <w:rsid w:val="00411A0F"/>
    <w:rsid w:val="00411CE0"/>
    <w:rsid w:val="00411F80"/>
    <w:rsid w:val="00412036"/>
    <w:rsid w:val="004132E2"/>
    <w:rsid w:val="004146E2"/>
    <w:rsid w:val="00414B01"/>
    <w:rsid w:val="00414F1F"/>
    <w:rsid w:val="00415BEA"/>
    <w:rsid w:val="00415CE5"/>
    <w:rsid w:val="00416A0B"/>
    <w:rsid w:val="00417C44"/>
    <w:rsid w:val="00417CD7"/>
    <w:rsid w:val="00417EB7"/>
    <w:rsid w:val="00420230"/>
    <w:rsid w:val="004205F1"/>
    <w:rsid w:val="00420A2E"/>
    <w:rsid w:val="00421232"/>
    <w:rsid w:val="004217E0"/>
    <w:rsid w:val="004219F2"/>
    <w:rsid w:val="00421D5E"/>
    <w:rsid w:val="00422208"/>
    <w:rsid w:val="00422907"/>
    <w:rsid w:val="00422DBF"/>
    <w:rsid w:val="004231CC"/>
    <w:rsid w:val="004234EF"/>
    <w:rsid w:val="0042382E"/>
    <w:rsid w:val="00423F6C"/>
    <w:rsid w:val="00424AC9"/>
    <w:rsid w:val="0042513A"/>
    <w:rsid w:val="004251CF"/>
    <w:rsid w:val="004258D9"/>
    <w:rsid w:val="00425B14"/>
    <w:rsid w:val="00425EAC"/>
    <w:rsid w:val="0042608B"/>
    <w:rsid w:val="00427553"/>
    <w:rsid w:val="004277BB"/>
    <w:rsid w:val="0043035C"/>
    <w:rsid w:val="00430398"/>
    <w:rsid w:val="00431439"/>
    <w:rsid w:val="004317C8"/>
    <w:rsid w:val="00431EB5"/>
    <w:rsid w:val="004321C3"/>
    <w:rsid w:val="004325E4"/>
    <w:rsid w:val="0043267E"/>
    <w:rsid w:val="004326B3"/>
    <w:rsid w:val="00432E69"/>
    <w:rsid w:val="00433581"/>
    <w:rsid w:val="00433AA5"/>
    <w:rsid w:val="00433F10"/>
    <w:rsid w:val="00434427"/>
    <w:rsid w:val="00434C7B"/>
    <w:rsid w:val="00434E65"/>
    <w:rsid w:val="00434FC5"/>
    <w:rsid w:val="004356E4"/>
    <w:rsid w:val="00435D7A"/>
    <w:rsid w:val="00436011"/>
    <w:rsid w:val="004367E1"/>
    <w:rsid w:val="004376FC"/>
    <w:rsid w:val="0043797E"/>
    <w:rsid w:val="00437D15"/>
    <w:rsid w:val="00440399"/>
    <w:rsid w:val="00440739"/>
    <w:rsid w:val="004409AC"/>
    <w:rsid w:val="00440A45"/>
    <w:rsid w:val="00440D89"/>
    <w:rsid w:val="00440ED6"/>
    <w:rsid w:val="0044162C"/>
    <w:rsid w:val="00441826"/>
    <w:rsid w:val="0044195F"/>
    <w:rsid w:val="00441E1E"/>
    <w:rsid w:val="00441FBF"/>
    <w:rsid w:val="0044289D"/>
    <w:rsid w:val="00442AE6"/>
    <w:rsid w:val="00443149"/>
    <w:rsid w:val="004434A5"/>
    <w:rsid w:val="004436BD"/>
    <w:rsid w:val="004437F9"/>
    <w:rsid w:val="0044386E"/>
    <w:rsid w:val="004438B2"/>
    <w:rsid w:val="00443A0B"/>
    <w:rsid w:val="00443A0F"/>
    <w:rsid w:val="00443FA9"/>
    <w:rsid w:val="0044490C"/>
    <w:rsid w:val="00445D2D"/>
    <w:rsid w:val="00446D17"/>
    <w:rsid w:val="00446E24"/>
    <w:rsid w:val="00447597"/>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FD0"/>
    <w:rsid w:val="004534A0"/>
    <w:rsid w:val="0045414C"/>
    <w:rsid w:val="00454D86"/>
    <w:rsid w:val="00454E6A"/>
    <w:rsid w:val="004551A2"/>
    <w:rsid w:val="004559C7"/>
    <w:rsid w:val="00456796"/>
    <w:rsid w:val="00456BB6"/>
    <w:rsid w:val="00456C53"/>
    <w:rsid w:val="0045715A"/>
    <w:rsid w:val="00457513"/>
    <w:rsid w:val="00457B45"/>
    <w:rsid w:val="00457C0E"/>
    <w:rsid w:val="004608B2"/>
    <w:rsid w:val="00460AC4"/>
    <w:rsid w:val="00461A07"/>
    <w:rsid w:val="00461E88"/>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4A1"/>
    <w:rsid w:val="0047160E"/>
    <w:rsid w:val="0047212E"/>
    <w:rsid w:val="00472862"/>
    <w:rsid w:val="00472BAF"/>
    <w:rsid w:val="004736A2"/>
    <w:rsid w:val="00473888"/>
    <w:rsid w:val="00473A59"/>
    <w:rsid w:val="00473B49"/>
    <w:rsid w:val="00473D8E"/>
    <w:rsid w:val="00474157"/>
    <w:rsid w:val="00474EB2"/>
    <w:rsid w:val="00475401"/>
    <w:rsid w:val="00475D65"/>
    <w:rsid w:val="00476090"/>
    <w:rsid w:val="0047694A"/>
    <w:rsid w:val="00476AD7"/>
    <w:rsid w:val="00476DB6"/>
    <w:rsid w:val="0047709B"/>
    <w:rsid w:val="00477434"/>
    <w:rsid w:val="00477C56"/>
    <w:rsid w:val="00480472"/>
    <w:rsid w:val="00480A0A"/>
    <w:rsid w:val="00480A45"/>
    <w:rsid w:val="004816F4"/>
    <w:rsid w:val="00482738"/>
    <w:rsid w:val="00482CF0"/>
    <w:rsid w:val="00482F81"/>
    <w:rsid w:val="0048398A"/>
    <w:rsid w:val="00483C4A"/>
    <w:rsid w:val="00483EEE"/>
    <w:rsid w:val="004846D4"/>
    <w:rsid w:val="00484EAE"/>
    <w:rsid w:val="00484FA1"/>
    <w:rsid w:val="004857FB"/>
    <w:rsid w:val="00486204"/>
    <w:rsid w:val="00486890"/>
    <w:rsid w:val="00486B40"/>
    <w:rsid w:val="00486DE5"/>
    <w:rsid w:val="004871FB"/>
    <w:rsid w:val="00487595"/>
    <w:rsid w:val="004879CD"/>
    <w:rsid w:val="00487CF8"/>
    <w:rsid w:val="00487E5B"/>
    <w:rsid w:val="00490703"/>
    <w:rsid w:val="004908EC"/>
    <w:rsid w:val="004913CA"/>
    <w:rsid w:val="004916B1"/>
    <w:rsid w:val="004918A0"/>
    <w:rsid w:val="00492109"/>
    <w:rsid w:val="00492608"/>
    <w:rsid w:val="00493149"/>
    <w:rsid w:val="004931AB"/>
    <w:rsid w:val="00493B0A"/>
    <w:rsid w:val="00494B70"/>
    <w:rsid w:val="00495226"/>
    <w:rsid w:val="004953FA"/>
    <w:rsid w:val="004955CA"/>
    <w:rsid w:val="00496275"/>
    <w:rsid w:val="004965D6"/>
    <w:rsid w:val="00496ABF"/>
    <w:rsid w:val="00497481"/>
    <w:rsid w:val="004974E2"/>
    <w:rsid w:val="004978DD"/>
    <w:rsid w:val="0049793F"/>
    <w:rsid w:val="00497945"/>
    <w:rsid w:val="004A10FF"/>
    <w:rsid w:val="004A1315"/>
    <w:rsid w:val="004A1319"/>
    <w:rsid w:val="004A1472"/>
    <w:rsid w:val="004A167F"/>
    <w:rsid w:val="004A16A3"/>
    <w:rsid w:val="004A1853"/>
    <w:rsid w:val="004A1B63"/>
    <w:rsid w:val="004A1D42"/>
    <w:rsid w:val="004A1F15"/>
    <w:rsid w:val="004A2024"/>
    <w:rsid w:val="004A205E"/>
    <w:rsid w:val="004A23CC"/>
    <w:rsid w:val="004A25CB"/>
    <w:rsid w:val="004A2F96"/>
    <w:rsid w:val="004A3030"/>
    <w:rsid w:val="004A3277"/>
    <w:rsid w:val="004A3637"/>
    <w:rsid w:val="004A3768"/>
    <w:rsid w:val="004A3AF8"/>
    <w:rsid w:val="004A3B24"/>
    <w:rsid w:val="004A3CF0"/>
    <w:rsid w:val="004A3D2F"/>
    <w:rsid w:val="004A4337"/>
    <w:rsid w:val="004A44E1"/>
    <w:rsid w:val="004A450E"/>
    <w:rsid w:val="004A5015"/>
    <w:rsid w:val="004A5286"/>
    <w:rsid w:val="004A5A37"/>
    <w:rsid w:val="004A745D"/>
    <w:rsid w:val="004A7744"/>
    <w:rsid w:val="004A784B"/>
    <w:rsid w:val="004B00C8"/>
    <w:rsid w:val="004B011E"/>
    <w:rsid w:val="004B0411"/>
    <w:rsid w:val="004B0F39"/>
    <w:rsid w:val="004B1092"/>
    <w:rsid w:val="004B22BA"/>
    <w:rsid w:val="004B299F"/>
    <w:rsid w:val="004B2AE7"/>
    <w:rsid w:val="004B2F2F"/>
    <w:rsid w:val="004B327B"/>
    <w:rsid w:val="004B3A77"/>
    <w:rsid w:val="004B3B52"/>
    <w:rsid w:val="004B3EB7"/>
    <w:rsid w:val="004B40F6"/>
    <w:rsid w:val="004B411F"/>
    <w:rsid w:val="004B4135"/>
    <w:rsid w:val="004B475D"/>
    <w:rsid w:val="004B4BD8"/>
    <w:rsid w:val="004B4CFF"/>
    <w:rsid w:val="004B4D80"/>
    <w:rsid w:val="004B4E24"/>
    <w:rsid w:val="004B5172"/>
    <w:rsid w:val="004B53CE"/>
    <w:rsid w:val="004B5EA1"/>
    <w:rsid w:val="004B5F5D"/>
    <w:rsid w:val="004B6094"/>
    <w:rsid w:val="004B6355"/>
    <w:rsid w:val="004B7127"/>
    <w:rsid w:val="004B732D"/>
    <w:rsid w:val="004B7A79"/>
    <w:rsid w:val="004B7B48"/>
    <w:rsid w:val="004B7B65"/>
    <w:rsid w:val="004C01A4"/>
    <w:rsid w:val="004C0A91"/>
    <w:rsid w:val="004C0D30"/>
    <w:rsid w:val="004C0D36"/>
    <w:rsid w:val="004C1A5C"/>
    <w:rsid w:val="004C2553"/>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E35"/>
    <w:rsid w:val="004C6FCF"/>
    <w:rsid w:val="004C70DA"/>
    <w:rsid w:val="004C7FAC"/>
    <w:rsid w:val="004D03EA"/>
    <w:rsid w:val="004D1645"/>
    <w:rsid w:val="004D1744"/>
    <w:rsid w:val="004D22B1"/>
    <w:rsid w:val="004D3A1F"/>
    <w:rsid w:val="004D4160"/>
    <w:rsid w:val="004D5332"/>
    <w:rsid w:val="004D63D6"/>
    <w:rsid w:val="004D6587"/>
    <w:rsid w:val="004D6A5C"/>
    <w:rsid w:val="004D6EB4"/>
    <w:rsid w:val="004D776F"/>
    <w:rsid w:val="004D783F"/>
    <w:rsid w:val="004E0BA3"/>
    <w:rsid w:val="004E0E1A"/>
    <w:rsid w:val="004E0F86"/>
    <w:rsid w:val="004E10BE"/>
    <w:rsid w:val="004E136B"/>
    <w:rsid w:val="004E20D2"/>
    <w:rsid w:val="004E2181"/>
    <w:rsid w:val="004E258F"/>
    <w:rsid w:val="004E2827"/>
    <w:rsid w:val="004E2ACC"/>
    <w:rsid w:val="004E30F8"/>
    <w:rsid w:val="004E3771"/>
    <w:rsid w:val="004E3CF9"/>
    <w:rsid w:val="004E470A"/>
    <w:rsid w:val="004E4B28"/>
    <w:rsid w:val="004E53BB"/>
    <w:rsid w:val="004E5538"/>
    <w:rsid w:val="004E5739"/>
    <w:rsid w:val="004E5A10"/>
    <w:rsid w:val="004E5C0F"/>
    <w:rsid w:val="004E6C72"/>
    <w:rsid w:val="004E6E7C"/>
    <w:rsid w:val="004E7058"/>
    <w:rsid w:val="004E77BE"/>
    <w:rsid w:val="004E7A9D"/>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137"/>
    <w:rsid w:val="004F567A"/>
    <w:rsid w:val="004F5BC4"/>
    <w:rsid w:val="004F61C6"/>
    <w:rsid w:val="004F66F1"/>
    <w:rsid w:val="004F677B"/>
    <w:rsid w:val="004F7B30"/>
    <w:rsid w:val="004F7CF8"/>
    <w:rsid w:val="005001B1"/>
    <w:rsid w:val="005004A5"/>
    <w:rsid w:val="00500623"/>
    <w:rsid w:val="00500675"/>
    <w:rsid w:val="00500AB6"/>
    <w:rsid w:val="005018A5"/>
    <w:rsid w:val="00501AB0"/>
    <w:rsid w:val="005026D3"/>
    <w:rsid w:val="005027A9"/>
    <w:rsid w:val="0050311A"/>
    <w:rsid w:val="00503840"/>
    <w:rsid w:val="00503BE5"/>
    <w:rsid w:val="00503D05"/>
    <w:rsid w:val="00503D5A"/>
    <w:rsid w:val="00503EF1"/>
    <w:rsid w:val="00504187"/>
    <w:rsid w:val="00504450"/>
    <w:rsid w:val="0050455A"/>
    <w:rsid w:val="005046CA"/>
    <w:rsid w:val="005049E6"/>
    <w:rsid w:val="00505054"/>
    <w:rsid w:val="005057FE"/>
    <w:rsid w:val="00505AB0"/>
    <w:rsid w:val="00505ECD"/>
    <w:rsid w:val="00506F8A"/>
    <w:rsid w:val="00507236"/>
    <w:rsid w:val="0050793A"/>
    <w:rsid w:val="00507F26"/>
    <w:rsid w:val="005102BD"/>
    <w:rsid w:val="005109D8"/>
    <w:rsid w:val="00510B09"/>
    <w:rsid w:val="005114E6"/>
    <w:rsid w:val="0051176F"/>
    <w:rsid w:val="005122B2"/>
    <w:rsid w:val="005123AC"/>
    <w:rsid w:val="005126CF"/>
    <w:rsid w:val="00512A48"/>
    <w:rsid w:val="00512D8B"/>
    <w:rsid w:val="00513286"/>
    <w:rsid w:val="0051413C"/>
    <w:rsid w:val="00514181"/>
    <w:rsid w:val="00514E7C"/>
    <w:rsid w:val="005153E5"/>
    <w:rsid w:val="00515DD4"/>
    <w:rsid w:val="005164EA"/>
    <w:rsid w:val="005169CC"/>
    <w:rsid w:val="00516BBF"/>
    <w:rsid w:val="00516BE3"/>
    <w:rsid w:val="00516C6D"/>
    <w:rsid w:val="00516F9A"/>
    <w:rsid w:val="00517908"/>
    <w:rsid w:val="00520170"/>
    <w:rsid w:val="005212A5"/>
    <w:rsid w:val="005216AC"/>
    <w:rsid w:val="00521A3A"/>
    <w:rsid w:val="00521D02"/>
    <w:rsid w:val="0052234B"/>
    <w:rsid w:val="00522AED"/>
    <w:rsid w:val="005231B0"/>
    <w:rsid w:val="00523A09"/>
    <w:rsid w:val="00523CD8"/>
    <w:rsid w:val="0052426F"/>
    <w:rsid w:val="00524477"/>
    <w:rsid w:val="00524659"/>
    <w:rsid w:val="00524E76"/>
    <w:rsid w:val="00524EE6"/>
    <w:rsid w:val="005251E4"/>
    <w:rsid w:val="0052530F"/>
    <w:rsid w:val="00525D05"/>
    <w:rsid w:val="00525F1D"/>
    <w:rsid w:val="00526D8F"/>
    <w:rsid w:val="00526ED3"/>
    <w:rsid w:val="00526F7B"/>
    <w:rsid w:val="0052763A"/>
    <w:rsid w:val="00527888"/>
    <w:rsid w:val="00527A7C"/>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5DFE"/>
    <w:rsid w:val="00536043"/>
    <w:rsid w:val="00536726"/>
    <w:rsid w:val="00536DDB"/>
    <w:rsid w:val="0053735B"/>
    <w:rsid w:val="00537AFA"/>
    <w:rsid w:val="00537F67"/>
    <w:rsid w:val="005400ED"/>
    <w:rsid w:val="00540286"/>
    <w:rsid w:val="00540A71"/>
    <w:rsid w:val="0054100C"/>
    <w:rsid w:val="00541D40"/>
    <w:rsid w:val="005427F5"/>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B49"/>
    <w:rsid w:val="00547CAD"/>
    <w:rsid w:val="0055068E"/>
    <w:rsid w:val="005508B3"/>
    <w:rsid w:val="00551260"/>
    <w:rsid w:val="005515D7"/>
    <w:rsid w:val="00551926"/>
    <w:rsid w:val="00552338"/>
    <w:rsid w:val="0055236B"/>
    <w:rsid w:val="005526F7"/>
    <w:rsid w:val="00552FA4"/>
    <w:rsid w:val="00552FD6"/>
    <w:rsid w:val="00553853"/>
    <w:rsid w:val="005545EA"/>
    <w:rsid w:val="00554793"/>
    <w:rsid w:val="00554852"/>
    <w:rsid w:val="00554E94"/>
    <w:rsid w:val="0055612E"/>
    <w:rsid w:val="00556223"/>
    <w:rsid w:val="00557250"/>
    <w:rsid w:val="0055766B"/>
    <w:rsid w:val="005578B8"/>
    <w:rsid w:val="005600D3"/>
    <w:rsid w:val="00560EA8"/>
    <w:rsid w:val="0056111F"/>
    <w:rsid w:val="00561A48"/>
    <w:rsid w:val="00562204"/>
    <w:rsid w:val="00562F61"/>
    <w:rsid w:val="00563407"/>
    <w:rsid w:val="005636A8"/>
    <w:rsid w:val="005636B2"/>
    <w:rsid w:val="00563B7C"/>
    <w:rsid w:val="0056446E"/>
    <w:rsid w:val="005647D4"/>
    <w:rsid w:val="00564FC0"/>
    <w:rsid w:val="005651EC"/>
    <w:rsid w:val="005654F1"/>
    <w:rsid w:val="005659AC"/>
    <w:rsid w:val="00565FFB"/>
    <w:rsid w:val="005660E0"/>
    <w:rsid w:val="00566A59"/>
    <w:rsid w:val="005673D7"/>
    <w:rsid w:val="005704E1"/>
    <w:rsid w:val="00570776"/>
    <w:rsid w:val="00570CCC"/>
    <w:rsid w:val="00571083"/>
    <w:rsid w:val="00571101"/>
    <w:rsid w:val="0057120A"/>
    <w:rsid w:val="005721D6"/>
    <w:rsid w:val="005723FA"/>
    <w:rsid w:val="00572E47"/>
    <w:rsid w:val="00573397"/>
    <w:rsid w:val="0057353F"/>
    <w:rsid w:val="00573719"/>
    <w:rsid w:val="005737E9"/>
    <w:rsid w:val="00573A0C"/>
    <w:rsid w:val="00573B5B"/>
    <w:rsid w:val="00573D97"/>
    <w:rsid w:val="00574202"/>
    <w:rsid w:val="005742F0"/>
    <w:rsid w:val="005743FB"/>
    <w:rsid w:val="005748E0"/>
    <w:rsid w:val="005749E1"/>
    <w:rsid w:val="00574C26"/>
    <w:rsid w:val="00575152"/>
    <w:rsid w:val="0057521D"/>
    <w:rsid w:val="0057597A"/>
    <w:rsid w:val="00575EA4"/>
    <w:rsid w:val="00576432"/>
    <w:rsid w:val="005767C5"/>
    <w:rsid w:val="00576F3D"/>
    <w:rsid w:val="00580804"/>
    <w:rsid w:val="005816D6"/>
    <w:rsid w:val="005817E7"/>
    <w:rsid w:val="00581CC5"/>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DA8"/>
    <w:rsid w:val="00587FCA"/>
    <w:rsid w:val="00590081"/>
    <w:rsid w:val="00590613"/>
    <w:rsid w:val="0059097D"/>
    <w:rsid w:val="005910F4"/>
    <w:rsid w:val="00591437"/>
    <w:rsid w:val="00591480"/>
    <w:rsid w:val="00591A2F"/>
    <w:rsid w:val="00591B64"/>
    <w:rsid w:val="0059291D"/>
    <w:rsid w:val="00592E11"/>
    <w:rsid w:val="005931E1"/>
    <w:rsid w:val="00593694"/>
    <w:rsid w:val="005936B4"/>
    <w:rsid w:val="00593C9B"/>
    <w:rsid w:val="00595B1F"/>
    <w:rsid w:val="00595CE7"/>
    <w:rsid w:val="00595DED"/>
    <w:rsid w:val="00595E6E"/>
    <w:rsid w:val="005966C6"/>
    <w:rsid w:val="0059704A"/>
    <w:rsid w:val="005973D1"/>
    <w:rsid w:val="0059761A"/>
    <w:rsid w:val="00597ADE"/>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5AE"/>
    <w:rsid w:val="005A76B3"/>
    <w:rsid w:val="005A78DB"/>
    <w:rsid w:val="005B0031"/>
    <w:rsid w:val="005B003F"/>
    <w:rsid w:val="005B02FD"/>
    <w:rsid w:val="005B0351"/>
    <w:rsid w:val="005B03AA"/>
    <w:rsid w:val="005B0623"/>
    <w:rsid w:val="005B0A71"/>
    <w:rsid w:val="005B0D34"/>
    <w:rsid w:val="005B0E74"/>
    <w:rsid w:val="005B18E7"/>
    <w:rsid w:val="005B1DAE"/>
    <w:rsid w:val="005B1E2B"/>
    <w:rsid w:val="005B23CA"/>
    <w:rsid w:val="005B24BA"/>
    <w:rsid w:val="005B27AD"/>
    <w:rsid w:val="005B28C6"/>
    <w:rsid w:val="005B2C07"/>
    <w:rsid w:val="005B2C54"/>
    <w:rsid w:val="005B2D52"/>
    <w:rsid w:val="005B32FD"/>
    <w:rsid w:val="005B3CDD"/>
    <w:rsid w:val="005B45C7"/>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6C"/>
    <w:rsid w:val="005C28F0"/>
    <w:rsid w:val="005C2E91"/>
    <w:rsid w:val="005C3320"/>
    <w:rsid w:val="005C3405"/>
    <w:rsid w:val="005C38F6"/>
    <w:rsid w:val="005C39AA"/>
    <w:rsid w:val="005C3AFD"/>
    <w:rsid w:val="005C3BF8"/>
    <w:rsid w:val="005C3F44"/>
    <w:rsid w:val="005C411B"/>
    <w:rsid w:val="005C46C1"/>
    <w:rsid w:val="005C48EF"/>
    <w:rsid w:val="005C5661"/>
    <w:rsid w:val="005C5B25"/>
    <w:rsid w:val="005C5F01"/>
    <w:rsid w:val="005C7B4F"/>
    <w:rsid w:val="005C7DAE"/>
    <w:rsid w:val="005D0290"/>
    <w:rsid w:val="005D0655"/>
    <w:rsid w:val="005D06AB"/>
    <w:rsid w:val="005D1017"/>
    <w:rsid w:val="005D1650"/>
    <w:rsid w:val="005D2406"/>
    <w:rsid w:val="005D285B"/>
    <w:rsid w:val="005D2B95"/>
    <w:rsid w:val="005D3674"/>
    <w:rsid w:val="005D3688"/>
    <w:rsid w:val="005D3B4A"/>
    <w:rsid w:val="005D3E5C"/>
    <w:rsid w:val="005D46E9"/>
    <w:rsid w:val="005D4766"/>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6DF2"/>
    <w:rsid w:val="005D731C"/>
    <w:rsid w:val="005D78F3"/>
    <w:rsid w:val="005D7EE5"/>
    <w:rsid w:val="005D7FD3"/>
    <w:rsid w:val="005E023A"/>
    <w:rsid w:val="005E0540"/>
    <w:rsid w:val="005E05D3"/>
    <w:rsid w:val="005E0CBB"/>
    <w:rsid w:val="005E0E8F"/>
    <w:rsid w:val="005E13FD"/>
    <w:rsid w:val="005E1C38"/>
    <w:rsid w:val="005E1FDE"/>
    <w:rsid w:val="005E2922"/>
    <w:rsid w:val="005E2A04"/>
    <w:rsid w:val="005E2E28"/>
    <w:rsid w:val="005E33F6"/>
    <w:rsid w:val="005E36CE"/>
    <w:rsid w:val="005E43A6"/>
    <w:rsid w:val="005E496D"/>
    <w:rsid w:val="005E4EAC"/>
    <w:rsid w:val="005E509D"/>
    <w:rsid w:val="005E5189"/>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2B46"/>
    <w:rsid w:val="005F3137"/>
    <w:rsid w:val="005F336A"/>
    <w:rsid w:val="005F34CE"/>
    <w:rsid w:val="005F387A"/>
    <w:rsid w:val="005F3C1D"/>
    <w:rsid w:val="005F3DAA"/>
    <w:rsid w:val="005F3DC8"/>
    <w:rsid w:val="005F41A4"/>
    <w:rsid w:val="005F4603"/>
    <w:rsid w:val="005F4753"/>
    <w:rsid w:val="005F49C4"/>
    <w:rsid w:val="005F4DAB"/>
    <w:rsid w:val="005F5885"/>
    <w:rsid w:val="005F5CA0"/>
    <w:rsid w:val="005F5ED0"/>
    <w:rsid w:val="005F5F10"/>
    <w:rsid w:val="005F5FDB"/>
    <w:rsid w:val="005F6064"/>
    <w:rsid w:val="005F61AA"/>
    <w:rsid w:val="005F7291"/>
    <w:rsid w:val="005F78DB"/>
    <w:rsid w:val="005F7EC3"/>
    <w:rsid w:val="005F7FD3"/>
    <w:rsid w:val="0060026B"/>
    <w:rsid w:val="00600627"/>
    <w:rsid w:val="00600789"/>
    <w:rsid w:val="00600B0A"/>
    <w:rsid w:val="00601776"/>
    <w:rsid w:val="00601B0D"/>
    <w:rsid w:val="00602954"/>
    <w:rsid w:val="00602AC4"/>
    <w:rsid w:val="00602E02"/>
    <w:rsid w:val="0060434D"/>
    <w:rsid w:val="00604720"/>
    <w:rsid w:val="00604A1B"/>
    <w:rsid w:val="0060511E"/>
    <w:rsid w:val="006051E2"/>
    <w:rsid w:val="0060533E"/>
    <w:rsid w:val="00605794"/>
    <w:rsid w:val="00605CFE"/>
    <w:rsid w:val="00605ECC"/>
    <w:rsid w:val="00605FA1"/>
    <w:rsid w:val="00605FFF"/>
    <w:rsid w:val="00606035"/>
    <w:rsid w:val="00606760"/>
    <w:rsid w:val="00606A33"/>
    <w:rsid w:val="00606DCF"/>
    <w:rsid w:val="00606F42"/>
    <w:rsid w:val="00607215"/>
    <w:rsid w:val="0060779A"/>
    <w:rsid w:val="00610093"/>
    <w:rsid w:val="00610C92"/>
    <w:rsid w:val="00611022"/>
    <w:rsid w:val="006111A8"/>
    <w:rsid w:val="006112CA"/>
    <w:rsid w:val="00611785"/>
    <w:rsid w:val="00611AA9"/>
    <w:rsid w:val="00611B87"/>
    <w:rsid w:val="006120E9"/>
    <w:rsid w:val="00612464"/>
    <w:rsid w:val="00612B14"/>
    <w:rsid w:val="00612B81"/>
    <w:rsid w:val="00612D8E"/>
    <w:rsid w:val="00613463"/>
    <w:rsid w:val="00613C3B"/>
    <w:rsid w:val="00614120"/>
    <w:rsid w:val="00614283"/>
    <w:rsid w:val="006145EA"/>
    <w:rsid w:val="00614872"/>
    <w:rsid w:val="006149FC"/>
    <w:rsid w:val="00614D6A"/>
    <w:rsid w:val="00615019"/>
    <w:rsid w:val="00615075"/>
    <w:rsid w:val="006156D5"/>
    <w:rsid w:val="006156ED"/>
    <w:rsid w:val="00615978"/>
    <w:rsid w:val="00615982"/>
    <w:rsid w:val="0061661D"/>
    <w:rsid w:val="0061714B"/>
    <w:rsid w:val="00617155"/>
    <w:rsid w:val="006174A0"/>
    <w:rsid w:val="0061764D"/>
    <w:rsid w:val="006179AE"/>
    <w:rsid w:val="00617A13"/>
    <w:rsid w:val="00617CE8"/>
    <w:rsid w:val="00617E88"/>
    <w:rsid w:val="00620C63"/>
    <w:rsid w:val="00621320"/>
    <w:rsid w:val="006213F6"/>
    <w:rsid w:val="006218A8"/>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23F5"/>
    <w:rsid w:val="00633080"/>
    <w:rsid w:val="00633458"/>
    <w:rsid w:val="006335CE"/>
    <w:rsid w:val="006338C3"/>
    <w:rsid w:val="00633B63"/>
    <w:rsid w:val="006347FF"/>
    <w:rsid w:val="00634C3E"/>
    <w:rsid w:val="00635408"/>
    <w:rsid w:val="006355C4"/>
    <w:rsid w:val="00635B2A"/>
    <w:rsid w:val="00635D64"/>
    <w:rsid w:val="00637898"/>
    <w:rsid w:val="00637D57"/>
    <w:rsid w:val="00640173"/>
    <w:rsid w:val="00640A88"/>
    <w:rsid w:val="00640B71"/>
    <w:rsid w:val="00640BF4"/>
    <w:rsid w:val="00640C63"/>
    <w:rsid w:val="00641235"/>
    <w:rsid w:val="00641BE4"/>
    <w:rsid w:val="00641FE6"/>
    <w:rsid w:val="006424F2"/>
    <w:rsid w:val="00642C1E"/>
    <w:rsid w:val="00642FFB"/>
    <w:rsid w:val="00643145"/>
    <w:rsid w:val="006435D7"/>
    <w:rsid w:val="006439A2"/>
    <w:rsid w:val="00643E5A"/>
    <w:rsid w:val="00643EAF"/>
    <w:rsid w:val="006440A8"/>
    <w:rsid w:val="0064461D"/>
    <w:rsid w:val="00644A0C"/>
    <w:rsid w:val="006459ED"/>
    <w:rsid w:val="00645AB6"/>
    <w:rsid w:val="0064624F"/>
    <w:rsid w:val="0064665D"/>
    <w:rsid w:val="006468C7"/>
    <w:rsid w:val="00646948"/>
    <w:rsid w:val="00646B11"/>
    <w:rsid w:val="00646BB6"/>
    <w:rsid w:val="00646C8E"/>
    <w:rsid w:val="0064718F"/>
    <w:rsid w:val="006475E6"/>
    <w:rsid w:val="0065036D"/>
    <w:rsid w:val="00650ACD"/>
    <w:rsid w:val="00650C2F"/>
    <w:rsid w:val="00650C56"/>
    <w:rsid w:val="00650D0B"/>
    <w:rsid w:val="00651128"/>
    <w:rsid w:val="006516DB"/>
    <w:rsid w:val="006519B5"/>
    <w:rsid w:val="00651E7C"/>
    <w:rsid w:val="006521C1"/>
    <w:rsid w:val="006522A6"/>
    <w:rsid w:val="006522B2"/>
    <w:rsid w:val="00652B75"/>
    <w:rsid w:val="00653D23"/>
    <w:rsid w:val="006542F2"/>
    <w:rsid w:val="006546C1"/>
    <w:rsid w:val="0065519C"/>
    <w:rsid w:val="00655A91"/>
    <w:rsid w:val="00655E47"/>
    <w:rsid w:val="006564FA"/>
    <w:rsid w:val="006575B0"/>
    <w:rsid w:val="006576BF"/>
    <w:rsid w:val="00657849"/>
    <w:rsid w:val="00657B88"/>
    <w:rsid w:val="00657F02"/>
    <w:rsid w:val="00660E71"/>
    <w:rsid w:val="00660FA8"/>
    <w:rsid w:val="00661CA8"/>
    <w:rsid w:val="00661E57"/>
    <w:rsid w:val="00662E6B"/>
    <w:rsid w:val="00663669"/>
    <w:rsid w:val="006638FB"/>
    <w:rsid w:val="006641F1"/>
    <w:rsid w:val="0066423D"/>
    <w:rsid w:val="006642EB"/>
    <w:rsid w:val="006647E4"/>
    <w:rsid w:val="0066515F"/>
    <w:rsid w:val="00665309"/>
    <w:rsid w:val="00667041"/>
    <w:rsid w:val="00667055"/>
    <w:rsid w:val="006670FC"/>
    <w:rsid w:val="006677AD"/>
    <w:rsid w:val="006678DA"/>
    <w:rsid w:val="0066798E"/>
    <w:rsid w:val="00670446"/>
    <w:rsid w:val="006704EA"/>
    <w:rsid w:val="0067075B"/>
    <w:rsid w:val="006708C5"/>
    <w:rsid w:val="00670EDC"/>
    <w:rsid w:val="006710FB"/>
    <w:rsid w:val="006715A6"/>
    <w:rsid w:val="00671C53"/>
    <w:rsid w:val="00671CB6"/>
    <w:rsid w:val="00671DFF"/>
    <w:rsid w:val="00672728"/>
    <w:rsid w:val="0067280D"/>
    <w:rsid w:val="0067285D"/>
    <w:rsid w:val="00672912"/>
    <w:rsid w:val="00673796"/>
    <w:rsid w:val="00673948"/>
    <w:rsid w:val="00673C30"/>
    <w:rsid w:val="00673F40"/>
    <w:rsid w:val="006743B5"/>
    <w:rsid w:val="006745BC"/>
    <w:rsid w:val="006746E5"/>
    <w:rsid w:val="00674ABF"/>
    <w:rsid w:val="00674B82"/>
    <w:rsid w:val="00674BFE"/>
    <w:rsid w:val="00674DEC"/>
    <w:rsid w:val="00674ED8"/>
    <w:rsid w:val="00675722"/>
    <w:rsid w:val="0067591B"/>
    <w:rsid w:val="00675E2B"/>
    <w:rsid w:val="0067615F"/>
    <w:rsid w:val="00676776"/>
    <w:rsid w:val="00676860"/>
    <w:rsid w:val="00676C18"/>
    <w:rsid w:val="006772FC"/>
    <w:rsid w:val="00677718"/>
    <w:rsid w:val="006777EB"/>
    <w:rsid w:val="00680611"/>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33BD"/>
    <w:rsid w:val="00683473"/>
    <w:rsid w:val="0068395A"/>
    <w:rsid w:val="00683A20"/>
    <w:rsid w:val="00683C5C"/>
    <w:rsid w:val="00684FA7"/>
    <w:rsid w:val="00685359"/>
    <w:rsid w:val="00685551"/>
    <w:rsid w:val="00685934"/>
    <w:rsid w:val="006859B5"/>
    <w:rsid w:val="00685C9A"/>
    <w:rsid w:val="0068667B"/>
    <w:rsid w:val="00686A5E"/>
    <w:rsid w:val="00686F7C"/>
    <w:rsid w:val="0068709B"/>
    <w:rsid w:val="00687AC8"/>
    <w:rsid w:val="00687D2E"/>
    <w:rsid w:val="00690E8D"/>
    <w:rsid w:val="00691137"/>
    <w:rsid w:val="00691A5B"/>
    <w:rsid w:val="00691DAD"/>
    <w:rsid w:val="0069218D"/>
    <w:rsid w:val="0069259C"/>
    <w:rsid w:val="006929AB"/>
    <w:rsid w:val="006930A8"/>
    <w:rsid w:val="00693267"/>
    <w:rsid w:val="006936C3"/>
    <w:rsid w:val="00693E3A"/>
    <w:rsid w:val="00694980"/>
    <w:rsid w:val="00695139"/>
    <w:rsid w:val="00695228"/>
    <w:rsid w:val="0069588C"/>
    <w:rsid w:val="006964D8"/>
    <w:rsid w:val="00696894"/>
    <w:rsid w:val="00696A41"/>
    <w:rsid w:val="00696B1E"/>
    <w:rsid w:val="00696B9C"/>
    <w:rsid w:val="0069728D"/>
    <w:rsid w:val="0069774D"/>
    <w:rsid w:val="006A202C"/>
    <w:rsid w:val="006A2F9F"/>
    <w:rsid w:val="006A3DB2"/>
    <w:rsid w:val="006A3E9F"/>
    <w:rsid w:val="006A4139"/>
    <w:rsid w:val="006A4DC8"/>
    <w:rsid w:val="006A54D9"/>
    <w:rsid w:val="006A5BE2"/>
    <w:rsid w:val="006A5E72"/>
    <w:rsid w:val="006A69D0"/>
    <w:rsid w:val="006A6EC4"/>
    <w:rsid w:val="006A725B"/>
    <w:rsid w:val="006A7660"/>
    <w:rsid w:val="006B00D4"/>
    <w:rsid w:val="006B010B"/>
    <w:rsid w:val="006B0392"/>
    <w:rsid w:val="006B0451"/>
    <w:rsid w:val="006B0564"/>
    <w:rsid w:val="006B096F"/>
    <w:rsid w:val="006B0B0C"/>
    <w:rsid w:val="006B106A"/>
    <w:rsid w:val="006B12CB"/>
    <w:rsid w:val="006B196E"/>
    <w:rsid w:val="006B2375"/>
    <w:rsid w:val="006B2989"/>
    <w:rsid w:val="006B2F75"/>
    <w:rsid w:val="006B2FD2"/>
    <w:rsid w:val="006B3059"/>
    <w:rsid w:val="006B340A"/>
    <w:rsid w:val="006B36DA"/>
    <w:rsid w:val="006B40F8"/>
    <w:rsid w:val="006B4ADA"/>
    <w:rsid w:val="006B4C77"/>
    <w:rsid w:val="006B4FF2"/>
    <w:rsid w:val="006B504F"/>
    <w:rsid w:val="006B555D"/>
    <w:rsid w:val="006B5898"/>
    <w:rsid w:val="006B5E19"/>
    <w:rsid w:val="006B6183"/>
    <w:rsid w:val="006B61B8"/>
    <w:rsid w:val="006B649D"/>
    <w:rsid w:val="006B6AF7"/>
    <w:rsid w:val="006B6D79"/>
    <w:rsid w:val="006B782F"/>
    <w:rsid w:val="006B7D44"/>
    <w:rsid w:val="006C0C38"/>
    <w:rsid w:val="006C10F6"/>
    <w:rsid w:val="006C15CF"/>
    <w:rsid w:val="006C1E24"/>
    <w:rsid w:val="006C2141"/>
    <w:rsid w:val="006C237A"/>
    <w:rsid w:val="006C2641"/>
    <w:rsid w:val="006C2658"/>
    <w:rsid w:val="006C2715"/>
    <w:rsid w:val="006C28C3"/>
    <w:rsid w:val="006C2E03"/>
    <w:rsid w:val="006C2F5F"/>
    <w:rsid w:val="006C3979"/>
    <w:rsid w:val="006C3D59"/>
    <w:rsid w:val="006C3FD5"/>
    <w:rsid w:val="006C4E80"/>
    <w:rsid w:val="006C535F"/>
    <w:rsid w:val="006C542C"/>
    <w:rsid w:val="006C5C59"/>
    <w:rsid w:val="006C5CF4"/>
    <w:rsid w:val="006C5E53"/>
    <w:rsid w:val="006C61FD"/>
    <w:rsid w:val="006C6C3A"/>
    <w:rsid w:val="006C6EF2"/>
    <w:rsid w:val="006C7104"/>
    <w:rsid w:val="006C7841"/>
    <w:rsid w:val="006C7C98"/>
    <w:rsid w:val="006D00EB"/>
    <w:rsid w:val="006D05A6"/>
    <w:rsid w:val="006D0728"/>
    <w:rsid w:val="006D09AA"/>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B5A"/>
    <w:rsid w:val="006E2CF3"/>
    <w:rsid w:val="006E2D88"/>
    <w:rsid w:val="006E2E93"/>
    <w:rsid w:val="006E2F7E"/>
    <w:rsid w:val="006E2FD7"/>
    <w:rsid w:val="006E3108"/>
    <w:rsid w:val="006E36DC"/>
    <w:rsid w:val="006E3705"/>
    <w:rsid w:val="006E43B5"/>
    <w:rsid w:val="006E493E"/>
    <w:rsid w:val="006E4E79"/>
    <w:rsid w:val="006E52C6"/>
    <w:rsid w:val="006E52EB"/>
    <w:rsid w:val="006E52FF"/>
    <w:rsid w:val="006E5481"/>
    <w:rsid w:val="006E619E"/>
    <w:rsid w:val="006E6453"/>
    <w:rsid w:val="006E6460"/>
    <w:rsid w:val="006E6FB9"/>
    <w:rsid w:val="006E7AF5"/>
    <w:rsid w:val="006E7F64"/>
    <w:rsid w:val="006F0029"/>
    <w:rsid w:val="006F088B"/>
    <w:rsid w:val="006F0ABF"/>
    <w:rsid w:val="006F0B68"/>
    <w:rsid w:val="006F1936"/>
    <w:rsid w:val="006F1A2B"/>
    <w:rsid w:val="006F1EF8"/>
    <w:rsid w:val="006F2045"/>
    <w:rsid w:val="006F2307"/>
    <w:rsid w:val="006F2A56"/>
    <w:rsid w:val="006F2C0C"/>
    <w:rsid w:val="006F2C70"/>
    <w:rsid w:val="006F304B"/>
    <w:rsid w:val="006F3054"/>
    <w:rsid w:val="006F3234"/>
    <w:rsid w:val="006F3F32"/>
    <w:rsid w:val="006F42D9"/>
    <w:rsid w:val="006F459E"/>
    <w:rsid w:val="006F4DE2"/>
    <w:rsid w:val="006F5A30"/>
    <w:rsid w:val="006F68CE"/>
    <w:rsid w:val="006F74F4"/>
    <w:rsid w:val="006F7796"/>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62"/>
    <w:rsid w:val="00705580"/>
    <w:rsid w:val="0070592B"/>
    <w:rsid w:val="00705A2C"/>
    <w:rsid w:val="00706325"/>
    <w:rsid w:val="007071AF"/>
    <w:rsid w:val="007071D3"/>
    <w:rsid w:val="00707523"/>
    <w:rsid w:val="007100A8"/>
    <w:rsid w:val="00710467"/>
    <w:rsid w:val="00710682"/>
    <w:rsid w:val="007109FC"/>
    <w:rsid w:val="00710B64"/>
    <w:rsid w:val="00711288"/>
    <w:rsid w:val="0071137C"/>
    <w:rsid w:val="0071183F"/>
    <w:rsid w:val="007119F8"/>
    <w:rsid w:val="007121BA"/>
    <w:rsid w:val="007134F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937"/>
    <w:rsid w:val="00723C24"/>
    <w:rsid w:val="007245FB"/>
    <w:rsid w:val="00724E1B"/>
    <w:rsid w:val="00724E25"/>
    <w:rsid w:val="0072591D"/>
    <w:rsid w:val="00725927"/>
    <w:rsid w:val="00725937"/>
    <w:rsid w:val="00725E49"/>
    <w:rsid w:val="00725FEC"/>
    <w:rsid w:val="00726C8D"/>
    <w:rsid w:val="007274C8"/>
    <w:rsid w:val="00727797"/>
    <w:rsid w:val="00727EB7"/>
    <w:rsid w:val="00727F9A"/>
    <w:rsid w:val="007309CC"/>
    <w:rsid w:val="00731BD4"/>
    <w:rsid w:val="00731C05"/>
    <w:rsid w:val="00732626"/>
    <w:rsid w:val="00732A56"/>
    <w:rsid w:val="00732D30"/>
    <w:rsid w:val="00732F27"/>
    <w:rsid w:val="007331BB"/>
    <w:rsid w:val="007337A7"/>
    <w:rsid w:val="007338CA"/>
    <w:rsid w:val="007339E7"/>
    <w:rsid w:val="00733A04"/>
    <w:rsid w:val="00734DD7"/>
    <w:rsid w:val="00735222"/>
    <w:rsid w:val="007352ED"/>
    <w:rsid w:val="007358BF"/>
    <w:rsid w:val="007358F0"/>
    <w:rsid w:val="00735A17"/>
    <w:rsid w:val="00735D2D"/>
    <w:rsid w:val="00735F28"/>
    <w:rsid w:val="007360E1"/>
    <w:rsid w:val="00736120"/>
    <w:rsid w:val="007362C8"/>
    <w:rsid w:val="007373AC"/>
    <w:rsid w:val="007374B1"/>
    <w:rsid w:val="00737DEE"/>
    <w:rsid w:val="00737EB5"/>
    <w:rsid w:val="007402F1"/>
    <w:rsid w:val="00740B54"/>
    <w:rsid w:val="0074221C"/>
    <w:rsid w:val="0074295A"/>
    <w:rsid w:val="00742A3B"/>
    <w:rsid w:val="00743C5A"/>
    <w:rsid w:val="00743F22"/>
    <w:rsid w:val="007440AA"/>
    <w:rsid w:val="00744282"/>
    <w:rsid w:val="00744440"/>
    <w:rsid w:val="007451C3"/>
    <w:rsid w:val="007453A2"/>
    <w:rsid w:val="00745941"/>
    <w:rsid w:val="007469CE"/>
    <w:rsid w:val="00746A2B"/>
    <w:rsid w:val="007474BB"/>
    <w:rsid w:val="00747CD9"/>
    <w:rsid w:val="00747D80"/>
    <w:rsid w:val="00747E1C"/>
    <w:rsid w:val="00747EAB"/>
    <w:rsid w:val="00750006"/>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435"/>
    <w:rsid w:val="00757CCF"/>
    <w:rsid w:val="00760062"/>
    <w:rsid w:val="007600BE"/>
    <w:rsid w:val="00760B7F"/>
    <w:rsid w:val="00760E5B"/>
    <w:rsid w:val="00761296"/>
    <w:rsid w:val="0076133C"/>
    <w:rsid w:val="0076166A"/>
    <w:rsid w:val="00761C9A"/>
    <w:rsid w:val="00762110"/>
    <w:rsid w:val="007624D5"/>
    <w:rsid w:val="00762B1B"/>
    <w:rsid w:val="00762D14"/>
    <w:rsid w:val="0076341A"/>
    <w:rsid w:val="007637C0"/>
    <w:rsid w:val="007639C0"/>
    <w:rsid w:val="00763BF9"/>
    <w:rsid w:val="00764A50"/>
    <w:rsid w:val="00764CDF"/>
    <w:rsid w:val="00765B26"/>
    <w:rsid w:val="00765C16"/>
    <w:rsid w:val="00766A3C"/>
    <w:rsid w:val="00766D3D"/>
    <w:rsid w:val="007670C1"/>
    <w:rsid w:val="00767C13"/>
    <w:rsid w:val="00767E9D"/>
    <w:rsid w:val="007705EA"/>
    <w:rsid w:val="00770947"/>
    <w:rsid w:val="00770A2D"/>
    <w:rsid w:val="00770C80"/>
    <w:rsid w:val="00770F8D"/>
    <w:rsid w:val="00771291"/>
    <w:rsid w:val="00771617"/>
    <w:rsid w:val="0077199C"/>
    <w:rsid w:val="00771C61"/>
    <w:rsid w:val="007736F4"/>
    <w:rsid w:val="007737A6"/>
    <w:rsid w:val="00773837"/>
    <w:rsid w:val="00774676"/>
    <w:rsid w:val="00774BFB"/>
    <w:rsid w:val="00775180"/>
    <w:rsid w:val="00775D7B"/>
    <w:rsid w:val="00775D96"/>
    <w:rsid w:val="00776291"/>
    <w:rsid w:val="007766E9"/>
    <w:rsid w:val="00776C20"/>
    <w:rsid w:val="00777A94"/>
    <w:rsid w:val="00777ADF"/>
    <w:rsid w:val="0078035D"/>
    <w:rsid w:val="00780693"/>
    <w:rsid w:val="007806D8"/>
    <w:rsid w:val="0078110D"/>
    <w:rsid w:val="0078117D"/>
    <w:rsid w:val="0078221E"/>
    <w:rsid w:val="00782904"/>
    <w:rsid w:val="00782EEF"/>
    <w:rsid w:val="007834FB"/>
    <w:rsid w:val="007836D7"/>
    <w:rsid w:val="00784235"/>
    <w:rsid w:val="00784456"/>
    <w:rsid w:val="0078445E"/>
    <w:rsid w:val="00784BDB"/>
    <w:rsid w:val="00784DBF"/>
    <w:rsid w:val="00784E05"/>
    <w:rsid w:val="00785123"/>
    <w:rsid w:val="00785193"/>
    <w:rsid w:val="0078527F"/>
    <w:rsid w:val="007856F4"/>
    <w:rsid w:val="00785E15"/>
    <w:rsid w:val="0078612A"/>
    <w:rsid w:val="00786C19"/>
    <w:rsid w:val="00787A42"/>
    <w:rsid w:val="00787D85"/>
    <w:rsid w:val="00790D28"/>
    <w:rsid w:val="00790FE4"/>
    <w:rsid w:val="007916A2"/>
    <w:rsid w:val="00791A5C"/>
    <w:rsid w:val="0079248F"/>
    <w:rsid w:val="00792F3C"/>
    <w:rsid w:val="00792FAB"/>
    <w:rsid w:val="007938C8"/>
    <w:rsid w:val="00793B25"/>
    <w:rsid w:val="00793E30"/>
    <w:rsid w:val="007941B2"/>
    <w:rsid w:val="007947B3"/>
    <w:rsid w:val="00794B5D"/>
    <w:rsid w:val="00794C06"/>
    <w:rsid w:val="00794F09"/>
    <w:rsid w:val="0079549A"/>
    <w:rsid w:val="00795778"/>
    <w:rsid w:val="00795A92"/>
    <w:rsid w:val="0079613F"/>
    <w:rsid w:val="00796961"/>
    <w:rsid w:val="007975B7"/>
    <w:rsid w:val="007A0FA1"/>
    <w:rsid w:val="007A1161"/>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2A5"/>
    <w:rsid w:val="007A639A"/>
    <w:rsid w:val="007A65CC"/>
    <w:rsid w:val="007A6677"/>
    <w:rsid w:val="007A66DB"/>
    <w:rsid w:val="007A6B67"/>
    <w:rsid w:val="007A6E40"/>
    <w:rsid w:val="007A71F5"/>
    <w:rsid w:val="007B02C8"/>
    <w:rsid w:val="007B0440"/>
    <w:rsid w:val="007B054A"/>
    <w:rsid w:val="007B0D90"/>
    <w:rsid w:val="007B0EC4"/>
    <w:rsid w:val="007B100A"/>
    <w:rsid w:val="007B1493"/>
    <w:rsid w:val="007B1785"/>
    <w:rsid w:val="007B1944"/>
    <w:rsid w:val="007B1CAE"/>
    <w:rsid w:val="007B250C"/>
    <w:rsid w:val="007B2610"/>
    <w:rsid w:val="007B2FC5"/>
    <w:rsid w:val="007B339B"/>
    <w:rsid w:val="007B366F"/>
    <w:rsid w:val="007B37D5"/>
    <w:rsid w:val="007B3860"/>
    <w:rsid w:val="007B431F"/>
    <w:rsid w:val="007B43D0"/>
    <w:rsid w:val="007B4E59"/>
    <w:rsid w:val="007B53CB"/>
    <w:rsid w:val="007B5985"/>
    <w:rsid w:val="007B5CB4"/>
    <w:rsid w:val="007B662A"/>
    <w:rsid w:val="007B6C17"/>
    <w:rsid w:val="007B6D20"/>
    <w:rsid w:val="007B73EB"/>
    <w:rsid w:val="007B784A"/>
    <w:rsid w:val="007B79D9"/>
    <w:rsid w:val="007B7ABC"/>
    <w:rsid w:val="007C0489"/>
    <w:rsid w:val="007C067A"/>
    <w:rsid w:val="007C0FB6"/>
    <w:rsid w:val="007C1885"/>
    <w:rsid w:val="007C197F"/>
    <w:rsid w:val="007C1CE3"/>
    <w:rsid w:val="007C1FC7"/>
    <w:rsid w:val="007C22A0"/>
    <w:rsid w:val="007C2463"/>
    <w:rsid w:val="007C269D"/>
    <w:rsid w:val="007C2946"/>
    <w:rsid w:val="007C29A4"/>
    <w:rsid w:val="007C2FA7"/>
    <w:rsid w:val="007C374B"/>
    <w:rsid w:val="007C3DC4"/>
    <w:rsid w:val="007C4020"/>
    <w:rsid w:val="007C4C77"/>
    <w:rsid w:val="007C4EED"/>
    <w:rsid w:val="007C5335"/>
    <w:rsid w:val="007C5A0F"/>
    <w:rsid w:val="007C5A25"/>
    <w:rsid w:val="007C5CD2"/>
    <w:rsid w:val="007C602A"/>
    <w:rsid w:val="007C698A"/>
    <w:rsid w:val="007C6FD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3ED"/>
    <w:rsid w:val="007E04BF"/>
    <w:rsid w:val="007E05C6"/>
    <w:rsid w:val="007E0E11"/>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9DA"/>
    <w:rsid w:val="007E7D75"/>
    <w:rsid w:val="007F0021"/>
    <w:rsid w:val="007F0634"/>
    <w:rsid w:val="007F0A2B"/>
    <w:rsid w:val="007F0D4D"/>
    <w:rsid w:val="007F15AD"/>
    <w:rsid w:val="007F2ACD"/>
    <w:rsid w:val="007F2BBD"/>
    <w:rsid w:val="007F3620"/>
    <w:rsid w:val="007F36E1"/>
    <w:rsid w:val="007F36E2"/>
    <w:rsid w:val="007F3BD8"/>
    <w:rsid w:val="007F3CE0"/>
    <w:rsid w:val="007F4102"/>
    <w:rsid w:val="007F4344"/>
    <w:rsid w:val="007F435C"/>
    <w:rsid w:val="007F476A"/>
    <w:rsid w:val="007F56C5"/>
    <w:rsid w:val="007F5BA3"/>
    <w:rsid w:val="007F6396"/>
    <w:rsid w:val="007F63FA"/>
    <w:rsid w:val="007F67D2"/>
    <w:rsid w:val="007F68DD"/>
    <w:rsid w:val="007F6AEC"/>
    <w:rsid w:val="007F761B"/>
    <w:rsid w:val="007F79EF"/>
    <w:rsid w:val="007F7B65"/>
    <w:rsid w:val="0080043D"/>
    <w:rsid w:val="0080074D"/>
    <w:rsid w:val="008007E0"/>
    <w:rsid w:val="00800CC9"/>
    <w:rsid w:val="00800F1C"/>
    <w:rsid w:val="00801241"/>
    <w:rsid w:val="008012C4"/>
    <w:rsid w:val="0080174B"/>
    <w:rsid w:val="008019DA"/>
    <w:rsid w:val="00801BB9"/>
    <w:rsid w:val="008022E7"/>
    <w:rsid w:val="00802626"/>
    <w:rsid w:val="008030FB"/>
    <w:rsid w:val="0080336C"/>
    <w:rsid w:val="00803919"/>
    <w:rsid w:val="00803A99"/>
    <w:rsid w:val="00803BA1"/>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AA"/>
    <w:rsid w:val="00810FEE"/>
    <w:rsid w:val="008110A0"/>
    <w:rsid w:val="008110E5"/>
    <w:rsid w:val="00811D26"/>
    <w:rsid w:val="008121A6"/>
    <w:rsid w:val="00812540"/>
    <w:rsid w:val="00812608"/>
    <w:rsid w:val="0081296E"/>
    <w:rsid w:val="008129F8"/>
    <w:rsid w:val="00812AE8"/>
    <w:rsid w:val="00812BD1"/>
    <w:rsid w:val="0081335C"/>
    <w:rsid w:val="008139E7"/>
    <w:rsid w:val="00813B8E"/>
    <w:rsid w:val="00813C82"/>
    <w:rsid w:val="00815B3F"/>
    <w:rsid w:val="00815DBA"/>
    <w:rsid w:val="008163CE"/>
    <w:rsid w:val="00816DB6"/>
    <w:rsid w:val="00817005"/>
    <w:rsid w:val="00817078"/>
    <w:rsid w:val="0081723E"/>
    <w:rsid w:val="008173D1"/>
    <w:rsid w:val="008175BD"/>
    <w:rsid w:val="00817ED9"/>
    <w:rsid w:val="00820A46"/>
    <w:rsid w:val="00821092"/>
    <w:rsid w:val="0082152C"/>
    <w:rsid w:val="0082158D"/>
    <w:rsid w:val="00821726"/>
    <w:rsid w:val="0082184D"/>
    <w:rsid w:val="00821891"/>
    <w:rsid w:val="00821FA0"/>
    <w:rsid w:val="008229BA"/>
    <w:rsid w:val="00822C8A"/>
    <w:rsid w:val="008243B4"/>
    <w:rsid w:val="00824F8D"/>
    <w:rsid w:val="00825424"/>
    <w:rsid w:val="00825CB9"/>
    <w:rsid w:val="00825EED"/>
    <w:rsid w:val="00827C7A"/>
    <w:rsid w:val="00827E46"/>
    <w:rsid w:val="00830206"/>
    <w:rsid w:val="00830385"/>
    <w:rsid w:val="00830583"/>
    <w:rsid w:val="00830D55"/>
    <w:rsid w:val="00831032"/>
    <w:rsid w:val="008314FC"/>
    <w:rsid w:val="00832279"/>
    <w:rsid w:val="00832817"/>
    <w:rsid w:val="00832B44"/>
    <w:rsid w:val="00833567"/>
    <w:rsid w:val="008337E4"/>
    <w:rsid w:val="00833806"/>
    <w:rsid w:val="00833AE8"/>
    <w:rsid w:val="00834038"/>
    <w:rsid w:val="00835625"/>
    <w:rsid w:val="008357A2"/>
    <w:rsid w:val="00835873"/>
    <w:rsid w:val="00835936"/>
    <w:rsid w:val="008359D1"/>
    <w:rsid w:val="0083652F"/>
    <w:rsid w:val="00836B3C"/>
    <w:rsid w:val="00836B9B"/>
    <w:rsid w:val="00836C6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9AA"/>
    <w:rsid w:val="00846BBD"/>
    <w:rsid w:val="00846E96"/>
    <w:rsid w:val="00846EAA"/>
    <w:rsid w:val="00847124"/>
    <w:rsid w:val="0084739E"/>
    <w:rsid w:val="008474F8"/>
    <w:rsid w:val="0084752F"/>
    <w:rsid w:val="00847B62"/>
    <w:rsid w:val="00847C5A"/>
    <w:rsid w:val="008506A3"/>
    <w:rsid w:val="00850A90"/>
    <w:rsid w:val="00850C9C"/>
    <w:rsid w:val="00850EDF"/>
    <w:rsid w:val="008512DD"/>
    <w:rsid w:val="00851BD1"/>
    <w:rsid w:val="00851ECC"/>
    <w:rsid w:val="00851EFA"/>
    <w:rsid w:val="00852288"/>
    <w:rsid w:val="00852B1D"/>
    <w:rsid w:val="00853062"/>
    <w:rsid w:val="00853A75"/>
    <w:rsid w:val="008544CC"/>
    <w:rsid w:val="008544FC"/>
    <w:rsid w:val="0085452E"/>
    <w:rsid w:val="00854629"/>
    <w:rsid w:val="00854C9F"/>
    <w:rsid w:val="0085519E"/>
    <w:rsid w:val="00855529"/>
    <w:rsid w:val="00855E19"/>
    <w:rsid w:val="00855E24"/>
    <w:rsid w:val="00855F47"/>
    <w:rsid w:val="00856047"/>
    <w:rsid w:val="00856615"/>
    <w:rsid w:val="008569E9"/>
    <w:rsid w:val="00856A69"/>
    <w:rsid w:val="00856B2E"/>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67E7A"/>
    <w:rsid w:val="008704A1"/>
    <w:rsid w:val="00870952"/>
    <w:rsid w:val="00870F49"/>
    <w:rsid w:val="0087150F"/>
    <w:rsid w:val="00871566"/>
    <w:rsid w:val="00871C6D"/>
    <w:rsid w:val="008721E9"/>
    <w:rsid w:val="0087229D"/>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BFF"/>
    <w:rsid w:val="00875D4E"/>
    <w:rsid w:val="008767DE"/>
    <w:rsid w:val="00876CC1"/>
    <w:rsid w:val="00877264"/>
    <w:rsid w:val="008772A2"/>
    <w:rsid w:val="00877D5D"/>
    <w:rsid w:val="0088014E"/>
    <w:rsid w:val="008807D2"/>
    <w:rsid w:val="00880BEC"/>
    <w:rsid w:val="00881AEC"/>
    <w:rsid w:val="00881C70"/>
    <w:rsid w:val="00882647"/>
    <w:rsid w:val="00882755"/>
    <w:rsid w:val="00882982"/>
    <w:rsid w:val="008834D1"/>
    <w:rsid w:val="00884779"/>
    <w:rsid w:val="00884798"/>
    <w:rsid w:val="008849D0"/>
    <w:rsid w:val="00884CE4"/>
    <w:rsid w:val="00884FF7"/>
    <w:rsid w:val="0088508D"/>
    <w:rsid w:val="008860B7"/>
    <w:rsid w:val="0088669D"/>
    <w:rsid w:val="00886EE9"/>
    <w:rsid w:val="008870F4"/>
    <w:rsid w:val="00887C6C"/>
    <w:rsid w:val="0089025A"/>
    <w:rsid w:val="00890914"/>
    <w:rsid w:val="00890A91"/>
    <w:rsid w:val="00890FBC"/>
    <w:rsid w:val="0089164D"/>
    <w:rsid w:val="00891953"/>
    <w:rsid w:val="00891BA7"/>
    <w:rsid w:val="00891E39"/>
    <w:rsid w:val="008925D4"/>
    <w:rsid w:val="00892682"/>
    <w:rsid w:val="008927A0"/>
    <w:rsid w:val="00892C44"/>
    <w:rsid w:val="00893F68"/>
    <w:rsid w:val="00894301"/>
    <w:rsid w:val="008947E0"/>
    <w:rsid w:val="00894ED2"/>
    <w:rsid w:val="00895429"/>
    <w:rsid w:val="00895E7C"/>
    <w:rsid w:val="0089629B"/>
    <w:rsid w:val="008964E1"/>
    <w:rsid w:val="008964E6"/>
    <w:rsid w:val="0089655F"/>
    <w:rsid w:val="00896AEE"/>
    <w:rsid w:val="00896F10"/>
    <w:rsid w:val="00896F6A"/>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8A5"/>
    <w:rsid w:val="008A2F3A"/>
    <w:rsid w:val="008A34BE"/>
    <w:rsid w:val="008A37B1"/>
    <w:rsid w:val="008A4948"/>
    <w:rsid w:val="008A4D07"/>
    <w:rsid w:val="008A4EED"/>
    <w:rsid w:val="008A50F7"/>
    <w:rsid w:val="008A58DC"/>
    <w:rsid w:val="008A594A"/>
    <w:rsid w:val="008A5D91"/>
    <w:rsid w:val="008A6622"/>
    <w:rsid w:val="008A70B5"/>
    <w:rsid w:val="008A712F"/>
    <w:rsid w:val="008A7AF9"/>
    <w:rsid w:val="008B0006"/>
    <w:rsid w:val="008B01BE"/>
    <w:rsid w:val="008B044F"/>
    <w:rsid w:val="008B0673"/>
    <w:rsid w:val="008B087C"/>
    <w:rsid w:val="008B094A"/>
    <w:rsid w:val="008B25E8"/>
    <w:rsid w:val="008B3641"/>
    <w:rsid w:val="008B3A40"/>
    <w:rsid w:val="008B3E02"/>
    <w:rsid w:val="008B434E"/>
    <w:rsid w:val="008B46F2"/>
    <w:rsid w:val="008B519D"/>
    <w:rsid w:val="008B5344"/>
    <w:rsid w:val="008B5381"/>
    <w:rsid w:val="008B5C28"/>
    <w:rsid w:val="008B5F04"/>
    <w:rsid w:val="008B677D"/>
    <w:rsid w:val="008B6899"/>
    <w:rsid w:val="008B6DD7"/>
    <w:rsid w:val="008B7093"/>
    <w:rsid w:val="008B72DB"/>
    <w:rsid w:val="008B7CB5"/>
    <w:rsid w:val="008C0534"/>
    <w:rsid w:val="008C05AE"/>
    <w:rsid w:val="008C0793"/>
    <w:rsid w:val="008C08A4"/>
    <w:rsid w:val="008C0C6C"/>
    <w:rsid w:val="008C15D1"/>
    <w:rsid w:val="008C1730"/>
    <w:rsid w:val="008C182F"/>
    <w:rsid w:val="008C1FA1"/>
    <w:rsid w:val="008C24BB"/>
    <w:rsid w:val="008C27F9"/>
    <w:rsid w:val="008C2955"/>
    <w:rsid w:val="008C2D5B"/>
    <w:rsid w:val="008C338E"/>
    <w:rsid w:val="008C357A"/>
    <w:rsid w:val="008C3F3A"/>
    <w:rsid w:val="008C41B1"/>
    <w:rsid w:val="008C4285"/>
    <w:rsid w:val="008C47CA"/>
    <w:rsid w:val="008C4AD7"/>
    <w:rsid w:val="008C4BA0"/>
    <w:rsid w:val="008C4E4D"/>
    <w:rsid w:val="008C5580"/>
    <w:rsid w:val="008C582E"/>
    <w:rsid w:val="008C6478"/>
    <w:rsid w:val="008C6DBB"/>
    <w:rsid w:val="008C6F1D"/>
    <w:rsid w:val="008C7996"/>
    <w:rsid w:val="008C7AB2"/>
    <w:rsid w:val="008C7D00"/>
    <w:rsid w:val="008D0212"/>
    <w:rsid w:val="008D02D6"/>
    <w:rsid w:val="008D0636"/>
    <w:rsid w:val="008D0EA8"/>
    <w:rsid w:val="008D21BA"/>
    <w:rsid w:val="008D2593"/>
    <w:rsid w:val="008D3085"/>
    <w:rsid w:val="008D356F"/>
    <w:rsid w:val="008D3D67"/>
    <w:rsid w:val="008D3FB5"/>
    <w:rsid w:val="008D408E"/>
    <w:rsid w:val="008D4330"/>
    <w:rsid w:val="008D49FA"/>
    <w:rsid w:val="008D4CB3"/>
    <w:rsid w:val="008D4DCA"/>
    <w:rsid w:val="008D50DD"/>
    <w:rsid w:val="008D54B3"/>
    <w:rsid w:val="008D553B"/>
    <w:rsid w:val="008D5590"/>
    <w:rsid w:val="008D5820"/>
    <w:rsid w:val="008D5B8D"/>
    <w:rsid w:val="008D6346"/>
    <w:rsid w:val="008D646A"/>
    <w:rsid w:val="008D658C"/>
    <w:rsid w:val="008D7802"/>
    <w:rsid w:val="008D7885"/>
    <w:rsid w:val="008D7C48"/>
    <w:rsid w:val="008D7EC2"/>
    <w:rsid w:val="008E010B"/>
    <w:rsid w:val="008E0EC6"/>
    <w:rsid w:val="008E1B9A"/>
    <w:rsid w:val="008E1C62"/>
    <w:rsid w:val="008E1F40"/>
    <w:rsid w:val="008E2B7D"/>
    <w:rsid w:val="008E47FB"/>
    <w:rsid w:val="008E4819"/>
    <w:rsid w:val="008E4F4D"/>
    <w:rsid w:val="008E53C9"/>
    <w:rsid w:val="008E5422"/>
    <w:rsid w:val="008E5C0E"/>
    <w:rsid w:val="008E5C3B"/>
    <w:rsid w:val="008E5DD1"/>
    <w:rsid w:val="008E643E"/>
    <w:rsid w:val="008E691D"/>
    <w:rsid w:val="008E6BF5"/>
    <w:rsid w:val="008E6CD4"/>
    <w:rsid w:val="008E6D28"/>
    <w:rsid w:val="008E7710"/>
    <w:rsid w:val="008F00B7"/>
    <w:rsid w:val="008F032C"/>
    <w:rsid w:val="008F0597"/>
    <w:rsid w:val="008F118A"/>
    <w:rsid w:val="008F1209"/>
    <w:rsid w:val="008F1894"/>
    <w:rsid w:val="008F196B"/>
    <w:rsid w:val="008F19B0"/>
    <w:rsid w:val="008F1A7A"/>
    <w:rsid w:val="008F1E49"/>
    <w:rsid w:val="008F20DB"/>
    <w:rsid w:val="008F3324"/>
    <w:rsid w:val="008F3652"/>
    <w:rsid w:val="008F4BC9"/>
    <w:rsid w:val="008F4E08"/>
    <w:rsid w:val="008F502F"/>
    <w:rsid w:val="008F50C5"/>
    <w:rsid w:val="008F5F33"/>
    <w:rsid w:val="008F66CE"/>
    <w:rsid w:val="008F6C3B"/>
    <w:rsid w:val="008F7067"/>
    <w:rsid w:val="008F7567"/>
    <w:rsid w:val="008F75A0"/>
    <w:rsid w:val="008F79DC"/>
    <w:rsid w:val="008F7E93"/>
    <w:rsid w:val="00900239"/>
    <w:rsid w:val="00900648"/>
    <w:rsid w:val="009008DE"/>
    <w:rsid w:val="009009C8"/>
    <w:rsid w:val="00901292"/>
    <w:rsid w:val="009015C3"/>
    <w:rsid w:val="00901DBF"/>
    <w:rsid w:val="0090219C"/>
    <w:rsid w:val="00902808"/>
    <w:rsid w:val="00902F47"/>
    <w:rsid w:val="00902FA2"/>
    <w:rsid w:val="00903640"/>
    <w:rsid w:val="00903931"/>
    <w:rsid w:val="00903FBF"/>
    <w:rsid w:val="0090458F"/>
    <w:rsid w:val="0090467E"/>
    <w:rsid w:val="00904A8F"/>
    <w:rsid w:val="009054AE"/>
    <w:rsid w:val="0090614A"/>
    <w:rsid w:val="009065AB"/>
    <w:rsid w:val="00907B86"/>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16B"/>
    <w:rsid w:val="009153F8"/>
    <w:rsid w:val="00916730"/>
    <w:rsid w:val="00916E02"/>
    <w:rsid w:val="009170F0"/>
    <w:rsid w:val="0091729D"/>
    <w:rsid w:val="00917481"/>
    <w:rsid w:val="00920A71"/>
    <w:rsid w:val="00920F4A"/>
    <w:rsid w:val="00921D71"/>
    <w:rsid w:val="009225A8"/>
    <w:rsid w:val="009230E4"/>
    <w:rsid w:val="00924635"/>
    <w:rsid w:val="0092463A"/>
    <w:rsid w:val="00924BA9"/>
    <w:rsid w:val="0092508B"/>
    <w:rsid w:val="00925219"/>
    <w:rsid w:val="00925600"/>
    <w:rsid w:val="0092569A"/>
    <w:rsid w:val="00925852"/>
    <w:rsid w:val="009258B1"/>
    <w:rsid w:val="00925CBB"/>
    <w:rsid w:val="00925FE7"/>
    <w:rsid w:val="009265E6"/>
    <w:rsid w:val="0092722D"/>
    <w:rsid w:val="009272AC"/>
    <w:rsid w:val="009276AC"/>
    <w:rsid w:val="009276B0"/>
    <w:rsid w:val="009279C2"/>
    <w:rsid w:val="00930299"/>
    <w:rsid w:val="009310B3"/>
    <w:rsid w:val="00931438"/>
    <w:rsid w:val="00931A50"/>
    <w:rsid w:val="0093235C"/>
    <w:rsid w:val="0093361B"/>
    <w:rsid w:val="00934405"/>
    <w:rsid w:val="00934862"/>
    <w:rsid w:val="00934CC2"/>
    <w:rsid w:val="009355AB"/>
    <w:rsid w:val="009358DC"/>
    <w:rsid w:val="00935A9E"/>
    <w:rsid w:val="00935EDE"/>
    <w:rsid w:val="00936768"/>
    <w:rsid w:val="009368E0"/>
    <w:rsid w:val="009375D9"/>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5B58"/>
    <w:rsid w:val="00946336"/>
    <w:rsid w:val="009466D9"/>
    <w:rsid w:val="00946E72"/>
    <w:rsid w:val="00947108"/>
    <w:rsid w:val="00947272"/>
    <w:rsid w:val="009475CD"/>
    <w:rsid w:val="0094761F"/>
    <w:rsid w:val="00947728"/>
    <w:rsid w:val="009478E6"/>
    <w:rsid w:val="00947D55"/>
    <w:rsid w:val="009501EF"/>
    <w:rsid w:val="009502ED"/>
    <w:rsid w:val="009506E5"/>
    <w:rsid w:val="00950A96"/>
    <w:rsid w:val="00950F75"/>
    <w:rsid w:val="00951030"/>
    <w:rsid w:val="009510C2"/>
    <w:rsid w:val="0095153A"/>
    <w:rsid w:val="009515DC"/>
    <w:rsid w:val="0095164B"/>
    <w:rsid w:val="0095166F"/>
    <w:rsid w:val="009517FE"/>
    <w:rsid w:val="0095280D"/>
    <w:rsid w:val="00952C7A"/>
    <w:rsid w:val="00952DB5"/>
    <w:rsid w:val="00952E3E"/>
    <w:rsid w:val="009532D9"/>
    <w:rsid w:val="00953A71"/>
    <w:rsid w:val="00953D32"/>
    <w:rsid w:val="009555D4"/>
    <w:rsid w:val="009566F5"/>
    <w:rsid w:val="00956942"/>
    <w:rsid w:val="009619F4"/>
    <w:rsid w:val="00961B47"/>
    <w:rsid w:val="00961B83"/>
    <w:rsid w:val="00961D77"/>
    <w:rsid w:val="00962D0A"/>
    <w:rsid w:val="00962DA3"/>
    <w:rsid w:val="009631F0"/>
    <w:rsid w:val="00963A2C"/>
    <w:rsid w:val="00963FFB"/>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501"/>
    <w:rsid w:val="00970F53"/>
    <w:rsid w:val="00970F69"/>
    <w:rsid w:val="009715A5"/>
    <w:rsid w:val="00971634"/>
    <w:rsid w:val="0097163F"/>
    <w:rsid w:val="00971653"/>
    <w:rsid w:val="00971771"/>
    <w:rsid w:val="009718EB"/>
    <w:rsid w:val="00971A22"/>
    <w:rsid w:val="0097222A"/>
    <w:rsid w:val="00972611"/>
    <w:rsid w:val="00972B25"/>
    <w:rsid w:val="00972B3D"/>
    <w:rsid w:val="0097311B"/>
    <w:rsid w:val="009736E5"/>
    <w:rsid w:val="00973FDF"/>
    <w:rsid w:val="00974239"/>
    <w:rsid w:val="00974290"/>
    <w:rsid w:val="009745F3"/>
    <w:rsid w:val="00974EB6"/>
    <w:rsid w:val="009750C7"/>
    <w:rsid w:val="0097570D"/>
    <w:rsid w:val="00976178"/>
    <w:rsid w:val="00976290"/>
    <w:rsid w:val="0097737B"/>
    <w:rsid w:val="00977659"/>
    <w:rsid w:val="0098024A"/>
    <w:rsid w:val="009805C2"/>
    <w:rsid w:val="00980A07"/>
    <w:rsid w:val="00980BBE"/>
    <w:rsid w:val="00980C91"/>
    <w:rsid w:val="0098117D"/>
    <w:rsid w:val="009826E0"/>
    <w:rsid w:val="009830C4"/>
    <w:rsid w:val="00983557"/>
    <w:rsid w:val="009839D1"/>
    <w:rsid w:val="00984ED5"/>
    <w:rsid w:val="009855F8"/>
    <w:rsid w:val="00985B6D"/>
    <w:rsid w:val="00985BA6"/>
    <w:rsid w:val="00985D3D"/>
    <w:rsid w:val="0098636D"/>
    <w:rsid w:val="00986519"/>
    <w:rsid w:val="0098748D"/>
    <w:rsid w:val="0098761A"/>
    <w:rsid w:val="00987F97"/>
    <w:rsid w:val="009906A7"/>
    <w:rsid w:val="00991120"/>
    <w:rsid w:val="009911DE"/>
    <w:rsid w:val="0099170A"/>
    <w:rsid w:val="009925BA"/>
    <w:rsid w:val="009926EB"/>
    <w:rsid w:val="00993387"/>
    <w:rsid w:val="0099403A"/>
    <w:rsid w:val="00994099"/>
    <w:rsid w:val="0099433A"/>
    <w:rsid w:val="009947DE"/>
    <w:rsid w:val="00994F53"/>
    <w:rsid w:val="0099592A"/>
    <w:rsid w:val="00995CB3"/>
    <w:rsid w:val="00995D93"/>
    <w:rsid w:val="0099692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B4E"/>
    <w:rsid w:val="009A3F00"/>
    <w:rsid w:val="009A5792"/>
    <w:rsid w:val="009A582A"/>
    <w:rsid w:val="009A5A6E"/>
    <w:rsid w:val="009A5F93"/>
    <w:rsid w:val="009A6679"/>
    <w:rsid w:val="009A7368"/>
    <w:rsid w:val="009A7636"/>
    <w:rsid w:val="009A7A0D"/>
    <w:rsid w:val="009A7B8A"/>
    <w:rsid w:val="009A7D2E"/>
    <w:rsid w:val="009B090E"/>
    <w:rsid w:val="009B0A96"/>
    <w:rsid w:val="009B0ED2"/>
    <w:rsid w:val="009B113B"/>
    <w:rsid w:val="009B127E"/>
    <w:rsid w:val="009B163D"/>
    <w:rsid w:val="009B1B5E"/>
    <w:rsid w:val="009B1FA6"/>
    <w:rsid w:val="009B27EB"/>
    <w:rsid w:val="009B2E17"/>
    <w:rsid w:val="009B2F2F"/>
    <w:rsid w:val="009B3222"/>
    <w:rsid w:val="009B351D"/>
    <w:rsid w:val="009B401C"/>
    <w:rsid w:val="009B54C5"/>
    <w:rsid w:val="009B5D4F"/>
    <w:rsid w:val="009B5F41"/>
    <w:rsid w:val="009B61CF"/>
    <w:rsid w:val="009B61FF"/>
    <w:rsid w:val="009B6236"/>
    <w:rsid w:val="009B69E9"/>
    <w:rsid w:val="009B6C0C"/>
    <w:rsid w:val="009B7448"/>
    <w:rsid w:val="009B7839"/>
    <w:rsid w:val="009B7C99"/>
    <w:rsid w:val="009B7E1A"/>
    <w:rsid w:val="009C0162"/>
    <w:rsid w:val="009C05FF"/>
    <w:rsid w:val="009C08EC"/>
    <w:rsid w:val="009C0D95"/>
    <w:rsid w:val="009C0F3C"/>
    <w:rsid w:val="009C14D7"/>
    <w:rsid w:val="009C1B34"/>
    <w:rsid w:val="009C1C59"/>
    <w:rsid w:val="009C1D0A"/>
    <w:rsid w:val="009C2CAF"/>
    <w:rsid w:val="009C2E74"/>
    <w:rsid w:val="009C2ED3"/>
    <w:rsid w:val="009C2F43"/>
    <w:rsid w:val="009C3306"/>
    <w:rsid w:val="009C345F"/>
    <w:rsid w:val="009C35BF"/>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73E"/>
    <w:rsid w:val="009C77C7"/>
    <w:rsid w:val="009D053A"/>
    <w:rsid w:val="009D0A60"/>
    <w:rsid w:val="009D0CF4"/>
    <w:rsid w:val="009D1680"/>
    <w:rsid w:val="009D1AB6"/>
    <w:rsid w:val="009D27CD"/>
    <w:rsid w:val="009D2A46"/>
    <w:rsid w:val="009D3F49"/>
    <w:rsid w:val="009D4114"/>
    <w:rsid w:val="009D4493"/>
    <w:rsid w:val="009D48C2"/>
    <w:rsid w:val="009D4939"/>
    <w:rsid w:val="009D52BA"/>
    <w:rsid w:val="009D5702"/>
    <w:rsid w:val="009D58F7"/>
    <w:rsid w:val="009D5B5D"/>
    <w:rsid w:val="009D634F"/>
    <w:rsid w:val="009D66FC"/>
    <w:rsid w:val="009D6939"/>
    <w:rsid w:val="009D702D"/>
    <w:rsid w:val="009D7188"/>
    <w:rsid w:val="009D745C"/>
    <w:rsid w:val="009D74C3"/>
    <w:rsid w:val="009D7F87"/>
    <w:rsid w:val="009E0396"/>
    <w:rsid w:val="009E0536"/>
    <w:rsid w:val="009E0FEE"/>
    <w:rsid w:val="009E1D74"/>
    <w:rsid w:val="009E2AA6"/>
    <w:rsid w:val="009E2B80"/>
    <w:rsid w:val="009E2E5F"/>
    <w:rsid w:val="009E3509"/>
    <w:rsid w:val="009E3667"/>
    <w:rsid w:val="009E3737"/>
    <w:rsid w:val="009E3E6C"/>
    <w:rsid w:val="009E40B8"/>
    <w:rsid w:val="009E4395"/>
    <w:rsid w:val="009E4677"/>
    <w:rsid w:val="009E4937"/>
    <w:rsid w:val="009E4BB4"/>
    <w:rsid w:val="009E4CC2"/>
    <w:rsid w:val="009E4F6B"/>
    <w:rsid w:val="009E53C7"/>
    <w:rsid w:val="009E5769"/>
    <w:rsid w:val="009E5912"/>
    <w:rsid w:val="009E5A07"/>
    <w:rsid w:val="009E5D14"/>
    <w:rsid w:val="009E5DAD"/>
    <w:rsid w:val="009E5E40"/>
    <w:rsid w:val="009E6BCF"/>
    <w:rsid w:val="009E6D71"/>
    <w:rsid w:val="009E6F92"/>
    <w:rsid w:val="009E70E9"/>
    <w:rsid w:val="009E715A"/>
    <w:rsid w:val="009E7558"/>
    <w:rsid w:val="009E7716"/>
    <w:rsid w:val="009E7C31"/>
    <w:rsid w:val="009F0176"/>
    <w:rsid w:val="009F0487"/>
    <w:rsid w:val="009F0730"/>
    <w:rsid w:val="009F0D13"/>
    <w:rsid w:val="009F1227"/>
    <w:rsid w:val="009F1482"/>
    <w:rsid w:val="009F22EF"/>
    <w:rsid w:val="009F27FD"/>
    <w:rsid w:val="009F2E38"/>
    <w:rsid w:val="009F3DBE"/>
    <w:rsid w:val="009F442A"/>
    <w:rsid w:val="009F48F4"/>
    <w:rsid w:val="009F4DB1"/>
    <w:rsid w:val="009F50D0"/>
    <w:rsid w:val="009F54DC"/>
    <w:rsid w:val="009F5558"/>
    <w:rsid w:val="009F5D43"/>
    <w:rsid w:val="009F5E45"/>
    <w:rsid w:val="009F5F70"/>
    <w:rsid w:val="009F5FA7"/>
    <w:rsid w:val="009F62E3"/>
    <w:rsid w:val="009F6951"/>
    <w:rsid w:val="009F6A69"/>
    <w:rsid w:val="009F7079"/>
    <w:rsid w:val="009F7391"/>
    <w:rsid w:val="009F744E"/>
    <w:rsid w:val="009F7547"/>
    <w:rsid w:val="009F757C"/>
    <w:rsid w:val="00A002F2"/>
    <w:rsid w:val="00A00330"/>
    <w:rsid w:val="00A007EF"/>
    <w:rsid w:val="00A01524"/>
    <w:rsid w:val="00A01E72"/>
    <w:rsid w:val="00A02A86"/>
    <w:rsid w:val="00A02CBE"/>
    <w:rsid w:val="00A030A4"/>
    <w:rsid w:val="00A0336B"/>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4E"/>
    <w:rsid w:val="00A12FCE"/>
    <w:rsid w:val="00A13410"/>
    <w:rsid w:val="00A1414D"/>
    <w:rsid w:val="00A1445B"/>
    <w:rsid w:val="00A14781"/>
    <w:rsid w:val="00A14E35"/>
    <w:rsid w:val="00A15471"/>
    <w:rsid w:val="00A155FB"/>
    <w:rsid w:val="00A16335"/>
    <w:rsid w:val="00A163F8"/>
    <w:rsid w:val="00A174ED"/>
    <w:rsid w:val="00A20317"/>
    <w:rsid w:val="00A2036A"/>
    <w:rsid w:val="00A205DC"/>
    <w:rsid w:val="00A2128A"/>
    <w:rsid w:val="00A215A3"/>
    <w:rsid w:val="00A21880"/>
    <w:rsid w:val="00A2195D"/>
    <w:rsid w:val="00A21BC5"/>
    <w:rsid w:val="00A22950"/>
    <w:rsid w:val="00A23669"/>
    <w:rsid w:val="00A23FAE"/>
    <w:rsid w:val="00A24894"/>
    <w:rsid w:val="00A24DFB"/>
    <w:rsid w:val="00A24F08"/>
    <w:rsid w:val="00A25271"/>
    <w:rsid w:val="00A25755"/>
    <w:rsid w:val="00A25EB5"/>
    <w:rsid w:val="00A26462"/>
    <w:rsid w:val="00A26540"/>
    <w:rsid w:val="00A2677A"/>
    <w:rsid w:val="00A26ABF"/>
    <w:rsid w:val="00A273DB"/>
    <w:rsid w:val="00A278ED"/>
    <w:rsid w:val="00A3035A"/>
    <w:rsid w:val="00A30FA6"/>
    <w:rsid w:val="00A3129F"/>
    <w:rsid w:val="00A32863"/>
    <w:rsid w:val="00A32C87"/>
    <w:rsid w:val="00A332B8"/>
    <w:rsid w:val="00A3365F"/>
    <w:rsid w:val="00A33710"/>
    <w:rsid w:val="00A33EEE"/>
    <w:rsid w:val="00A33F7E"/>
    <w:rsid w:val="00A3494E"/>
    <w:rsid w:val="00A34BC3"/>
    <w:rsid w:val="00A357D6"/>
    <w:rsid w:val="00A35CC6"/>
    <w:rsid w:val="00A361FD"/>
    <w:rsid w:val="00A363F5"/>
    <w:rsid w:val="00A3641F"/>
    <w:rsid w:val="00A3695A"/>
    <w:rsid w:val="00A36A62"/>
    <w:rsid w:val="00A36C25"/>
    <w:rsid w:val="00A371DD"/>
    <w:rsid w:val="00A372E4"/>
    <w:rsid w:val="00A37743"/>
    <w:rsid w:val="00A4040A"/>
    <w:rsid w:val="00A40D1F"/>
    <w:rsid w:val="00A42358"/>
    <w:rsid w:val="00A42D92"/>
    <w:rsid w:val="00A436C3"/>
    <w:rsid w:val="00A44199"/>
    <w:rsid w:val="00A44C36"/>
    <w:rsid w:val="00A44DC4"/>
    <w:rsid w:val="00A44F13"/>
    <w:rsid w:val="00A45205"/>
    <w:rsid w:val="00A4525C"/>
    <w:rsid w:val="00A452C6"/>
    <w:rsid w:val="00A45390"/>
    <w:rsid w:val="00A454CC"/>
    <w:rsid w:val="00A4581D"/>
    <w:rsid w:val="00A45E9F"/>
    <w:rsid w:val="00A46131"/>
    <w:rsid w:val="00A46FE8"/>
    <w:rsid w:val="00A47560"/>
    <w:rsid w:val="00A47909"/>
    <w:rsid w:val="00A47E71"/>
    <w:rsid w:val="00A47E9A"/>
    <w:rsid w:val="00A47ECF"/>
    <w:rsid w:val="00A50161"/>
    <w:rsid w:val="00A50490"/>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2C0"/>
    <w:rsid w:val="00A56571"/>
    <w:rsid w:val="00A56E7D"/>
    <w:rsid w:val="00A5705A"/>
    <w:rsid w:val="00A57546"/>
    <w:rsid w:val="00A57A42"/>
    <w:rsid w:val="00A60263"/>
    <w:rsid w:val="00A60680"/>
    <w:rsid w:val="00A60807"/>
    <w:rsid w:val="00A60C6B"/>
    <w:rsid w:val="00A61A85"/>
    <w:rsid w:val="00A62381"/>
    <w:rsid w:val="00A625B6"/>
    <w:rsid w:val="00A62E98"/>
    <w:rsid w:val="00A63900"/>
    <w:rsid w:val="00A63FBB"/>
    <w:rsid w:val="00A64286"/>
    <w:rsid w:val="00A649A4"/>
    <w:rsid w:val="00A64A7C"/>
    <w:rsid w:val="00A6502F"/>
    <w:rsid w:val="00A65386"/>
    <w:rsid w:val="00A653E1"/>
    <w:rsid w:val="00A65533"/>
    <w:rsid w:val="00A65603"/>
    <w:rsid w:val="00A6568C"/>
    <w:rsid w:val="00A658A2"/>
    <w:rsid w:val="00A662F5"/>
    <w:rsid w:val="00A6647B"/>
    <w:rsid w:val="00A66797"/>
    <w:rsid w:val="00A6759E"/>
    <w:rsid w:val="00A679E1"/>
    <w:rsid w:val="00A67C3E"/>
    <w:rsid w:val="00A7050F"/>
    <w:rsid w:val="00A70860"/>
    <w:rsid w:val="00A70956"/>
    <w:rsid w:val="00A70DAC"/>
    <w:rsid w:val="00A7126F"/>
    <w:rsid w:val="00A71736"/>
    <w:rsid w:val="00A71815"/>
    <w:rsid w:val="00A71DCE"/>
    <w:rsid w:val="00A71F2F"/>
    <w:rsid w:val="00A7361F"/>
    <w:rsid w:val="00A73891"/>
    <w:rsid w:val="00A73969"/>
    <w:rsid w:val="00A73B23"/>
    <w:rsid w:val="00A74A31"/>
    <w:rsid w:val="00A7551D"/>
    <w:rsid w:val="00A759B5"/>
    <w:rsid w:val="00A762F1"/>
    <w:rsid w:val="00A7713E"/>
    <w:rsid w:val="00A77456"/>
    <w:rsid w:val="00A775D3"/>
    <w:rsid w:val="00A779DF"/>
    <w:rsid w:val="00A77F67"/>
    <w:rsid w:val="00A80528"/>
    <w:rsid w:val="00A814E2"/>
    <w:rsid w:val="00A818ED"/>
    <w:rsid w:val="00A81923"/>
    <w:rsid w:val="00A81EA0"/>
    <w:rsid w:val="00A8218C"/>
    <w:rsid w:val="00A82398"/>
    <w:rsid w:val="00A82927"/>
    <w:rsid w:val="00A8337A"/>
    <w:rsid w:val="00A8380D"/>
    <w:rsid w:val="00A844D5"/>
    <w:rsid w:val="00A84578"/>
    <w:rsid w:val="00A84611"/>
    <w:rsid w:val="00A84984"/>
    <w:rsid w:val="00A860E3"/>
    <w:rsid w:val="00A86573"/>
    <w:rsid w:val="00A86772"/>
    <w:rsid w:val="00A869C9"/>
    <w:rsid w:val="00A87454"/>
    <w:rsid w:val="00A87DEA"/>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4C8"/>
    <w:rsid w:val="00A957D3"/>
    <w:rsid w:val="00A9593D"/>
    <w:rsid w:val="00A96152"/>
    <w:rsid w:val="00A96273"/>
    <w:rsid w:val="00A96313"/>
    <w:rsid w:val="00A96320"/>
    <w:rsid w:val="00A96583"/>
    <w:rsid w:val="00A96854"/>
    <w:rsid w:val="00A96945"/>
    <w:rsid w:val="00A96D1A"/>
    <w:rsid w:val="00A97456"/>
    <w:rsid w:val="00A979E1"/>
    <w:rsid w:val="00A97D6D"/>
    <w:rsid w:val="00AA0501"/>
    <w:rsid w:val="00AA0689"/>
    <w:rsid w:val="00AA0895"/>
    <w:rsid w:val="00AA0A77"/>
    <w:rsid w:val="00AA0F17"/>
    <w:rsid w:val="00AA1414"/>
    <w:rsid w:val="00AA17AE"/>
    <w:rsid w:val="00AA1A2C"/>
    <w:rsid w:val="00AA2B18"/>
    <w:rsid w:val="00AA2CCC"/>
    <w:rsid w:val="00AA34E0"/>
    <w:rsid w:val="00AA3958"/>
    <w:rsid w:val="00AA3BA1"/>
    <w:rsid w:val="00AA40A2"/>
    <w:rsid w:val="00AA4194"/>
    <w:rsid w:val="00AA4470"/>
    <w:rsid w:val="00AA611E"/>
    <w:rsid w:val="00AA66EC"/>
    <w:rsid w:val="00AA6C1B"/>
    <w:rsid w:val="00AA76B6"/>
    <w:rsid w:val="00AA7D3D"/>
    <w:rsid w:val="00AB00E2"/>
    <w:rsid w:val="00AB03AC"/>
    <w:rsid w:val="00AB0406"/>
    <w:rsid w:val="00AB079D"/>
    <w:rsid w:val="00AB1A1D"/>
    <w:rsid w:val="00AB1D27"/>
    <w:rsid w:val="00AB21B9"/>
    <w:rsid w:val="00AB23B7"/>
    <w:rsid w:val="00AB280A"/>
    <w:rsid w:val="00AB28E1"/>
    <w:rsid w:val="00AB36FA"/>
    <w:rsid w:val="00AB4226"/>
    <w:rsid w:val="00AB47CD"/>
    <w:rsid w:val="00AB5EFC"/>
    <w:rsid w:val="00AB62A3"/>
    <w:rsid w:val="00AB6CF1"/>
    <w:rsid w:val="00AB75D2"/>
    <w:rsid w:val="00AB767B"/>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619A"/>
    <w:rsid w:val="00AC63BE"/>
    <w:rsid w:val="00AC648C"/>
    <w:rsid w:val="00AC6632"/>
    <w:rsid w:val="00AC66A2"/>
    <w:rsid w:val="00AC7060"/>
    <w:rsid w:val="00AC7334"/>
    <w:rsid w:val="00AC7529"/>
    <w:rsid w:val="00AC765E"/>
    <w:rsid w:val="00AC7EA1"/>
    <w:rsid w:val="00AD00C1"/>
    <w:rsid w:val="00AD0595"/>
    <w:rsid w:val="00AD0A9D"/>
    <w:rsid w:val="00AD13DF"/>
    <w:rsid w:val="00AD153B"/>
    <w:rsid w:val="00AD1793"/>
    <w:rsid w:val="00AD1A4F"/>
    <w:rsid w:val="00AD204B"/>
    <w:rsid w:val="00AD24DB"/>
    <w:rsid w:val="00AD253F"/>
    <w:rsid w:val="00AD288B"/>
    <w:rsid w:val="00AD2C37"/>
    <w:rsid w:val="00AD2DFA"/>
    <w:rsid w:val="00AD303D"/>
    <w:rsid w:val="00AD36D5"/>
    <w:rsid w:val="00AD36DD"/>
    <w:rsid w:val="00AD395D"/>
    <w:rsid w:val="00AD43DC"/>
    <w:rsid w:val="00AD4E00"/>
    <w:rsid w:val="00AD51BA"/>
    <w:rsid w:val="00AD534E"/>
    <w:rsid w:val="00AD579D"/>
    <w:rsid w:val="00AD5CA9"/>
    <w:rsid w:val="00AD5DA4"/>
    <w:rsid w:val="00AD6677"/>
    <w:rsid w:val="00AD674A"/>
    <w:rsid w:val="00AE0067"/>
    <w:rsid w:val="00AE094D"/>
    <w:rsid w:val="00AE0F44"/>
    <w:rsid w:val="00AE11E2"/>
    <w:rsid w:val="00AE11FD"/>
    <w:rsid w:val="00AE1652"/>
    <w:rsid w:val="00AE1855"/>
    <w:rsid w:val="00AE18CC"/>
    <w:rsid w:val="00AE1A46"/>
    <w:rsid w:val="00AE1AC5"/>
    <w:rsid w:val="00AE232C"/>
    <w:rsid w:val="00AE2AB5"/>
    <w:rsid w:val="00AE35CF"/>
    <w:rsid w:val="00AE385E"/>
    <w:rsid w:val="00AE3ABA"/>
    <w:rsid w:val="00AE464F"/>
    <w:rsid w:val="00AE4651"/>
    <w:rsid w:val="00AE4C79"/>
    <w:rsid w:val="00AE4E74"/>
    <w:rsid w:val="00AE523F"/>
    <w:rsid w:val="00AE52BA"/>
    <w:rsid w:val="00AE5938"/>
    <w:rsid w:val="00AE5FB3"/>
    <w:rsid w:val="00AE657E"/>
    <w:rsid w:val="00AE7AA8"/>
    <w:rsid w:val="00AF0031"/>
    <w:rsid w:val="00AF0A72"/>
    <w:rsid w:val="00AF1192"/>
    <w:rsid w:val="00AF1282"/>
    <w:rsid w:val="00AF16CA"/>
    <w:rsid w:val="00AF1907"/>
    <w:rsid w:val="00AF1E10"/>
    <w:rsid w:val="00AF205F"/>
    <w:rsid w:val="00AF2186"/>
    <w:rsid w:val="00AF2AC0"/>
    <w:rsid w:val="00AF2CCC"/>
    <w:rsid w:val="00AF2D92"/>
    <w:rsid w:val="00AF307E"/>
    <w:rsid w:val="00AF39D2"/>
    <w:rsid w:val="00AF3A96"/>
    <w:rsid w:val="00AF3BF5"/>
    <w:rsid w:val="00AF4297"/>
    <w:rsid w:val="00AF4570"/>
    <w:rsid w:val="00AF48D0"/>
    <w:rsid w:val="00AF49F0"/>
    <w:rsid w:val="00AF578D"/>
    <w:rsid w:val="00AF66C5"/>
    <w:rsid w:val="00AF6742"/>
    <w:rsid w:val="00AF6785"/>
    <w:rsid w:val="00AF6FB8"/>
    <w:rsid w:val="00AF7536"/>
    <w:rsid w:val="00AF75BE"/>
    <w:rsid w:val="00AF7773"/>
    <w:rsid w:val="00AF785C"/>
    <w:rsid w:val="00B00260"/>
    <w:rsid w:val="00B0060B"/>
    <w:rsid w:val="00B0084C"/>
    <w:rsid w:val="00B011CD"/>
    <w:rsid w:val="00B01604"/>
    <w:rsid w:val="00B02342"/>
    <w:rsid w:val="00B02F5D"/>
    <w:rsid w:val="00B030CA"/>
    <w:rsid w:val="00B03879"/>
    <w:rsid w:val="00B0387C"/>
    <w:rsid w:val="00B03A28"/>
    <w:rsid w:val="00B03E07"/>
    <w:rsid w:val="00B04170"/>
    <w:rsid w:val="00B04499"/>
    <w:rsid w:val="00B04613"/>
    <w:rsid w:val="00B046B2"/>
    <w:rsid w:val="00B04730"/>
    <w:rsid w:val="00B04B64"/>
    <w:rsid w:val="00B04B69"/>
    <w:rsid w:val="00B0510F"/>
    <w:rsid w:val="00B056A8"/>
    <w:rsid w:val="00B05764"/>
    <w:rsid w:val="00B05CD3"/>
    <w:rsid w:val="00B05D5F"/>
    <w:rsid w:val="00B06120"/>
    <w:rsid w:val="00B0626A"/>
    <w:rsid w:val="00B067C6"/>
    <w:rsid w:val="00B06DE1"/>
    <w:rsid w:val="00B07058"/>
    <w:rsid w:val="00B072DF"/>
    <w:rsid w:val="00B07742"/>
    <w:rsid w:val="00B07D1C"/>
    <w:rsid w:val="00B114CD"/>
    <w:rsid w:val="00B115B5"/>
    <w:rsid w:val="00B116A4"/>
    <w:rsid w:val="00B11802"/>
    <w:rsid w:val="00B11B03"/>
    <w:rsid w:val="00B11D89"/>
    <w:rsid w:val="00B1220B"/>
    <w:rsid w:val="00B126F0"/>
    <w:rsid w:val="00B12B5B"/>
    <w:rsid w:val="00B1346D"/>
    <w:rsid w:val="00B13866"/>
    <w:rsid w:val="00B13F2D"/>
    <w:rsid w:val="00B13FFA"/>
    <w:rsid w:val="00B14709"/>
    <w:rsid w:val="00B14DD4"/>
    <w:rsid w:val="00B14F72"/>
    <w:rsid w:val="00B15032"/>
    <w:rsid w:val="00B156C6"/>
    <w:rsid w:val="00B1582F"/>
    <w:rsid w:val="00B15B03"/>
    <w:rsid w:val="00B15E01"/>
    <w:rsid w:val="00B16245"/>
    <w:rsid w:val="00B165DB"/>
    <w:rsid w:val="00B167BC"/>
    <w:rsid w:val="00B16B75"/>
    <w:rsid w:val="00B16CAB"/>
    <w:rsid w:val="00B16CE7"/>
    <w:rsid w:val="00B16D0F"/>
    <w:rsid w:val="00B16E32"/>
    <w:rsid w:val="00B176DB"/>
    <w:rsid w:val="00B178C8"/>
    <w:rsid w:val="00B17F73"/>
    <w:rsid w:val="00B201CC"/>
    <w:rsid w:val="00B20B7E"/>
    <w:rsid w:val="00B20EC6"/>
    <w:rsid w:val="00B217B2"/>
    <w:rsid w:val="00B21C03"/>
    <w:rsid w:val="00B21D6F"/>
    <w:rsid w:val="00B221E6"/>
    <w:rsid w:val="00B22489"/>
    <w:rsid w:val="00B22B59"/>
    <w:rsid w:val="00B22DD7"/>
    <w:rsid w:val="00B2307E"/>
    <w:rsid w:val="00B23B5E"/>
    <w:rsid w:val="00B24075"/>
    <w:rsid w:val="00B24300"/>
    <w:rsid w:val="00B24586"/>
    <w:rsid w:val="00B24614"/>
    <w:rsid w:val="00B24788"/>
    <w:rsid w:val="00B24877"/>
    <w:rsid w:val="00B2578C"/>
    <w:rsid w:val="00B25DAE"/>
    <w:rsid w:val="00B26A4B"/>
    <w:rsid w:val="00B26F80"/>
    <w:rsid w:val="00B27925"/>
    <w:rsid w:val="00B3003A"/>
    <w:rsid w:val="00B30290"/>
    <w:rsid w:val="00B31F45"/>
    <w:rsid w:val="00B329B3"/>
    <w:rsid w:val="00B32B98"/>
    <w:rsid w:val="00B32DA1"/>
    <w:rsid w:val="00B33513"/>
    <w:rsid w:val="00B340E2"/>
    <w:rsid w:val="00B3422C"/>
    <w:rsid w:val="00B350F8"/>
    <w:rsid w:val="00B35844"/>
    <w:rsid w:val="00B3628F"/>
    <w:rsid w:val="00B365D3"/>
    <w:rsid w:val="00B37025"/>
    <w:rsid w:val="00B371BE"/>
    <w:rsid w:val="00B372A7"/>
    <w:rsid w:val="00B3741E"/>
    <w:rsid w:val="00B37871"/>
    <w:rsid w:val="00B37997"/>
    <w:rsid w:val="00B37BB8"/>
    <w:rsid w:val="00B40464"/>
    <w:rsid w:val="00B4055B"/>
    <w:rsid w:val="00B40D39"/>
    <w:rsid w:val="00B4128B"/>
    <w:rsid w:val="00B41929"/>
    <w:rsid w:val="00B41AFB"/>
    <w:rsid w:val="00B41DBB"/>
    <w:rsid w:val="00B42074"/>
    <w:rsid w:val="00B425FE"/>
    <w:rsid w:val="00B42A8C"/>
    <w:rsid w:val="00B42C67"/>
    <w:rsid w:val="00B43217"/>
    <w:rsid w:val="00B43598"/>
    <w:rsid w:val="00B435A1"/>
    <w:rsid w:val="00B438BA"/>
    <w:rsid w:val="00B43907"/>
    <w:rsid w:val="00B43DDF"/>
    <w:rsid w:val="00B43F38"/>
    <w:rsid w:val="00B44917"/>
    <w:rsid w:val="00B44966"/>
    <w:rsid w:val="00B449D2"/>
    <w:rsid w:val="00B44A61"/>
    <w:rsid w:val="00B44E94"/>
    <w:rsid w:val="00B45189"/>
    <w:rsid w:val="00B45C0F"/>
    <w:rsid w:val="00B46C6A"/>
    <w:rsid w:val="00B46CBE"/>
    <w:rsid w:val="00B474A5"/>
    <w:rsid w:val="00B50E48"/>
    <w:rsid w:val="00B516D4"/>
    <w:rsid w:val="00B51713"/>
    <w:rsid w:val="00B51866"/>
    <w:rsid w:val="00B51932"/>
    <w:rsid w:val="00B51C73"/>
    <w:rsid w:val="00B51FD9"/>
    <w:rsid w:val="00B5222D"/>
    <w:rsid w:val="00B5282F"/>
    <w:rsid w:val="00B52AA6"/>
    <w:rsid w:val="00B52BF4"/>
    <w:rsid w:val="00B53098"/>
    <w:rsid w:val="00B532BD"/>
    <w:rsid w:val="00B53E95"/>
    <w:rsid w:val="00B5414C"/>
    <w:rsid w:val="00B54261"/>
    <w:rsid w:val="00B547D8"/>
    <w:rsid w:val="00B54814"/>
    <w:rsid w:val="00B54B35"/>
    <w:rsid w:val="00B553F3"/>
    <w:rsid w:val="00B55F50"/>
    <w:rsid w:val="00B56064"/>
    <w:rsid w:val="00B56339"/>
    <w:rsid w:val="00B563D7"/>
    <w:rsid w:val="00B5648E"/>
    <w:rsid w:val="00B56EBD"/>
    <w:rsid w:val="00B570C2"/>
    <w:rsid w:val="00B57464"/>
    <w:rsid w:val="00B575B8"/>
    <w:rsid w:val="00B57AE7"/>
    <w:rsid w:val="00B57C2C"/>
    <w:rsid w:val="00B57EDF"/>
    <w:rsid w:val="00B60B8F"/>
    <w:rsid w:val="00B60ED1"/>
    <w:rsid w:val="00B61665"/>
    <w:rsid w:val="00B61992"/>
    <w:rsid w:val="00B61E02"/>
    <w:rsid w:val="00B63060"/>
    <w:rsid w:val="00B6381E"/>
    <w:rsid w:val="00B63954"/>
    <w:rsid w:val="00B63F8D"/>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5D1B"/>
    <w:rsid w:val="00B76FE9"/>
    <w:rsid w:val="00B7710C"/>
    <w:rsid w:val="00B77CE9"/>
    <w:rsid w:val="00B77CF2"/>
    <w:rsid w:val="00B80250"/>
    <w:rsid w:val="00B80747"/>
    <w:rsid w:val="00B808D8"/>
    <w:rsid w:val="00B8092C"/>
    <w:rsid w:val="00B80C2E"/>
    <w:rsid w:val="00B80D16"/>
    <w:rsid w:val="00B80FEB"/>
    <w:rsid w:val="00B81078"/>
    <w:rsid w:val="00B81132"/>
    <w:rsid w:val="00B811C9"/>
    <w:rsid w:val="00B81294"/>
    <w:rsid w:val="00B8164C"/>
    <w:rsid w:val="00B81EAF"/>
    <w:rsid w:val="00B8218C"/>
    <w:rsid w:val="00B82371"/>
    <w:rsid w:val="00B82663"/>
    <w:rsid w:val="00B82834"/>
    <w:rsid w:val="00B83050"/>
    <w:rsid w:val="00B835E6"/>
    <w:rsid w:val="00B843A0"/>
    <w:rsid w:val="00B84795"/>
    <w:rsid w:val="00B84972"/>
    <w:rsid w:val="00B850C5"/>
    <w:rsid w:val="00B85739"/>
    <w:rsid w:val="00B86542"/>
    <w:rsid w:val="00B867DC"/>
    <w:rsid w:val="00B86BCF"/>
    <w:rsid w:val="00B86FCC"/>
    <w:rsid w:val="00B871B4"/>
    <w:rsid w:val="00B874A2"/>
    <w:rsid w:val="00B874EB"/>
    <w:rsid w:val="00B87590"/>
    <w:rsid w:val="00B8761B"/>
    <w:rsid w:val="00B879FA"/>
    <w:rsid w:val="00B87A7D"/>
    <w:rsid w:val="00B87C85"/>
    <w:rsid w:val="00B87D6C"/>
    <w:rsid w:val="00B903DA"/>
    <w:rsid w:val="00B9096D"/>
    <w:rsid w:val="00B90D1D"/>
    <w:rsid w:val="00B91176"/>
    <w:rsid w:val="00B91409"/>
    <w:rsid w:val="00B9162F"/>
    <w:rsid w:val="00B917C5"/>
    <w:rsid w:val="00B92BE3"/>
    <w:rsid w:val="00B92EE0"/>
    <w:rsid w:val="00B9301D"/>
    <w:rsid w:val="00B9349A"/>
    <w:rsid w:val="00B93E68"/>
    <w:rsid w:val="00B940C7"/>
    <w:rsid w:val="00B9446D"/>
    <w:rsid w:val="00B944F0"/>
    <w:rsid w:val="00B9536C"/>
    <w:rsid w:val="00B954A7"/>
    <w:rsid w:val="00B958CC"/>
    <w:rsid w:val="00B95B3C"/>
    <w:rsid w:val="00B95F60"/>
    <w:rsid w:val="00B95FB7"/>
    <w:rsid w:val="00B976A7"/>
    <w:rsid w:val="00B9770F"/>
    <w:rsid w:val="00B97B03"/>
    <w:rsid w:val="00B97B81"/>
    <w:rsid w:val="00BA00D8"/>
    <w:rsid w:val="00BA0697"/>
    <w:rsid w:val="00BA0FE9"/>
    <w:rsid w:val="00BA10E2"/>
    <w:rsid w:val="00BA1A1C"/>
    <w:rsid w:val="00BA1BF2"/>
    <w:rsid w:val="00BA221B"/>
    <w:rsid w:val="00BA23AB"/>
    <w:rsid w:val="00BA2875"/>
    <w:rsid w:val="00BA28EF"/>
    <w:rsid w:val="00BA29C9"/>
    <w:rsid w:val="00BA2A5A"/>
    <w:rsid w:val="00BA3156"/>
    <w:rsid w:val="00BA31CE"/>
    <w:rsid w:val="00BA321D"/>
    <w:rsid w:val="00BA36C4"/>
    <w:rsid w:val="00BA371A"/>
    <w:rsid w:val="00BA3FB0"/>
    <w:rsid w:val="00BA4971"/>
    <w:rsid w:val="00BA4A21"/>
    <w:rsid w:val="00BA502F"/>
    <w:rsid w:val="00BA53B6"/>
    <w:rsid w:val="00BA53C4"/>
    <w:rsid w:val="00BA5764"/>
    <w:rsid w:val="00BA5915"/>
    <w:rsid w:val="00BA5947"/>
    <w:rsid w:val="00BA65E0"/>
    <w:rsid w:val="00BA6F4F"/>
    <w:rsid w:val="00BA7914"/>
    <w:rsid w:val="00BA7FCA"/>
    <w:rsid w:val="00BB0368"/>
    <w:rsid w:val="00BB0918"/>
    <w:rsid w:val="00BB0CA3"/>
    <w:rsid w:val="00BB0CF6"/>
    <w:rsid w:val="00BB19AA"/>
    <w:rsid w:val="00BB1A13"/>
    <w:rsid w:val="00BB2084"/>
    <w:rsid w:val="00BB209C"/>
    <w:rsid w:val="00BB26A3"/>
    <w:rsid w:val="00BB29DA"/>
    <w:rsid w:val="00BB2B48"/>
    <w:rsid w:val="00BB37F9"/>
    <w:rsid w:val="00BB3886"/>
    <w:rsid w:val="00BB3C70"/>
    <w:rsid w:val="00BB3CA3"/>
    <w:rsid w:val="00BB3F39"/>
    <w:rsid w:val="00BB421C"/>
    <w:rsid w:val="00BB4D58"/>
    <w:rsid w:val="00BB524D"/>
    <w:rsid w:val="00BB6E46"/>
    <w:rsid w:val="00BB7072"/>
    <w:rsid w:val="00BB7312"/>
    <w:rsid w:val="00BB73F7"/>
    <w:rsid w:val="00BB7419"/>
    <w:rsid w:val="00BB763E"/>
    <w:rsid w:val="00BB7A96"/>
    <w:rsid w:val="00BB7D26"/>
    <w:rsid w:val="00BC0283"/>
    <w:rsid w:val="00BC0DDA"/>
    <w:rsid w:val="00BC0FD0"/>
    <w:rsid w:val="00BC1195"/>
    <w:rsid w:val="00BC162D"/>
    <w:rsid w:val="00BC213B"/>
    <w:rsid w:val="00BC2532"/>
    <w:rsid w:val="00BC279C"/>
    <w:rsid w:val="00BC28A0"/>
    <w:rsid w:val="00BC314E"/>
    <w:rsid w:val="00BC3610"/>
    <w:rsid w:val="00BC388F"/>
    <w:rsid w:val="00BC43E5"/>
    <w:rsid w:val="00BC4E99"/>
    <w:rsid w:val="00BC4EB1"/>
    <w:rsid w:val="00BC4FA5"/>
    <w:rsid w:val="00BC4FEF"/>
    <w:rsid w:val="00BC5013"/>
    <w:rsid w:val="00BC5135"/>
    <w:rsid w:val="00BC52CF"/>
    <w:rsid w:val="00BC53BB"/>
    <w:rsid w:val="00BC5A4A"/>
    <w:rsid w:val="00BC6628"/>
    <w:rsid w:val="00BC666A"/>
    <w:rsid w:val="00BC6AD6"/>
    <w:rsid w:val="00BC7067"/>
    <w:rsid w:val="00BC7BD9"/>
    <w:rsid w:val="00BD07A6"/>
    <w:rsid w:val="00BD0BA1"/>
    <w:rsid w:val="00BD1CC1"/>
    <w:rsid w:val="00BD1D72"/>
    <w:rsid w:val="00BD1D77"/>
    <w:rsid w:val="00BD1FA9"/>
    <w:rsid w:val="00BD2A4A"/>
    <w:rsid w:val="00BD35C0"/>
    <w:rsid w:val="00BD3647"/>
    <w:rsid w:val="00BD3ED3"/>
    <w:rsid w:val="00BD44C1"/>
    <w:rsid w:val="00BD495B"/>
    <w:rsid w:val="00BD4993"/>
    <w:rsid w:val="00BD4A1A"/>
    <w:rsid w:val="00BD4AF6"/>
    <w:rsid w:val="00BD4E15"/>
    <w:rsid w:val="00BD4F39"/>
    <w:rsid w:val="00BD54FA"/>
    <w:rsid w:val="00BD5658"/>
    <w:rsid w:val="00BD579D"/>
    <w:rsid w:val="00BD5E1D"/>
    <w:rsid w:val="00BD62CA"/>
    <w:rsid w:val="00BD681C"/>
    <w:rsid w:val="00BD68F5"/>
    <w:rsid w:val="00BD6905"/>
    <w:rsid w:val="00BD6A24"/>
    <w:rsid w:val="00BD6C0C"/>
    <w:rsid w:val="00BD6CD3"/>
    <w:rsid w:val="00BD6CFC"/>
    <w:rsid w:val="00BD6F41"/>
    <w:rsid w:val="00BD773E"/>
    <w:rsid w:val="00BD7750"/>
    <w:rsid w:val="00BD77C8"/>
    <w:rsid w:val="00BE0484"/>
    <w:rsid w:val="00BE055C"/>
    <w:rsid w:val="00BE125F"/>
    <w:rsid w:val="00BE13CA"/>
    <w:rsid w:val="00BE1679"/>
    <w:rsid w:val="00BE17AB"/>
    <w:rsid w:val="00BE19E8"/>
    <w:rsid w:val="00BE1A5A"/>
    <w:rsid w:val="00BE1C2C"/>
    <w:rsid w:val="00BE1FEE"/>
    <w:rsid w:val="00BE2792"/>
    <w:rsid w:val="00BE2FCE"/>
    <w:rsid w:val="00BE3482"/>
    <w:rsid w:val="00BE362B"/>
    <w:rsid w:val="00BE39BD"/>
    <w:rsid w:val="00BE4A65"/>
    <w:rsid w:val="00BE4B5B"/>
    <w:rsid w:val="00BE56D8"/>
    <w:rsid w:val="00BE5A14"/>
    <w:rsid w:val="00BE5A44"/>
    <w:rsid w:val="00BE65F3"/>
    <w:rsid w:val="00BE7548"/>
    <w:rsid w:val="00BE7713"/>
    <w:rsid w:val="00BF0069"/>
    <w:rsid w:val="00BF006C"/>
    <w:rsid w:val="00BF08DC"/>
    <w:rsid w:val="00BF09B4"/>
    <w:rsid w:val="00BF0C08"/>
    <w:rsid w:val="00BF16B7"/>
    <w:rsid w:val="00BF1C4D"/>
    <w:rsid w:val="00BF1F66"/>
    <w:rsid w:val="00BF2429"/>
    <w:rsid w:val="00BF2ABC"/>
    <w:rsid w:val="00BF30CD"/>
    <w:rsid w:val="00BF32BF"/>
    <w:rsid w:val="00BF3A6C"/>
    <w:rsid w:val="00BF3EE7"/>
    <w:rsid w:val="00BF40A7"/>
    <w:rsid w:val="00BF4BB7"/>
    <w:rsid w:val="00BF55BF"/>
    <w:rsid w:val="00BF565F"/>
    <w:rsid w:val="00BF5F4D"/>
    <w:rsid w:val="00BF64F8"/>
    <w:rsid w:val="00BF6BF4"/>
    <w:rsid w:val="00BF6D05"/>
    <w:rsid w:val="00BF6EB1"/>
    <w:rsid w:val="00BF7163"/>
    <w:rsid w:val="00BF7761"/>
    <w:rsid w:val="00BF7AAD"/>
    <w:rsid w:val="00BF7B41"/>
    <w:rsid w:val="00BF7C06"/>
    <w:rsid w:val="00BF7C2D"/>
    <w:rsid w:val="00C0010D"/>
    <w:rsid w:val="00C00D8C"/>
    <w:rsid w:val="00C015CB"/>
    <w:rsid w:val="00C01B63"/>
    <w:rsid w:val="00C01DCE"/>
    <w:rsid w:val="00C021F7"/>
    <w:rsid w:val="00C022E7"/>
    <w:rsid w:val="00C027B1"/>
    <w:rsid w:val="00C02E43"/>
    <w:rsid w:val="00C03139"/>
    <w:rsid w:val="00C03389"/>
    <w:rsid w:val="00C03569"/>
    <w:rsid w:val="00C035FB"/>
    <w:rsid w:val="00C03763"/>
    <w:rsid w:val="00C037BC"/>
    <w:rsid w:val="00C03C58"/>
    <w:rsid w:val="00C0475D"/>
    <w:rsid w:val="00C04C8D"/>
    <w:rsid w:val="00C05137"/>
    <w:rsid w:val="00C0558C"/>
    <w:rsid w:val="00C05D3B"/>
    <w:rsid w:val="00C0650B"/>
    <w:rsid w:val="00C06555"/>
    <w:rsid w:val="00C065CF"/>
    <w:rsid w:val="00C0707E"/>
    <w:rsid w:val="00C077B7"/>
    <w:rsid w:val="00C0782B"/>
    <w:rsid w:val="00C10238"/>
    <w:rsid w:val="00C10317"/>
    <w:rsid w:val="00C10543"/>
    <w:rsid w:val="00C107BE"/>
    <w:rsid w:val="00C108B2"/>
    <w:rsid w:val="00C12341"/>
    <w:rsid w:val="00C12A6E"/>
    <w:rsid w:val="00C12E83"/>
    <w:rsid w:val="00C146B6"/>
    <w:rsid w:val="00C147E6"/>
    <w:rsid w:val="00C14806"/>
    <w:rsid w:val="00C14B74"/>
    <w:rsid w:val="00C14DC7"/>
    <w:rsid w:val="00C15138"/>
    <w:rsid w:val="00C159A2"/>
    <w:rsid w:val="00C15A44"/>
    <w:rsid w:val="00C164F8"/>
    <w:rsid w:val="00C16F08"/>
    <w:rsid w:val="00C1725D"/>
    <w:rsid w:val="00C1782C"/>
    <w:rsid w:val="00C20330"/>
    <w:rsid w:val="00C2073C"/>
    <w:rsid w:val="00C20A66"/>
    <w:rsid w:val="00C20F6E"/>
    <w:rsid w:val="00C20F8F"/>
    <w:rsid w:val="00C2164E"/>
    <w:rsid w:val="00C22A37"/>
    <w:rsid w:val="00C237C7"/>
    <w:rsid w:val="00C23AAD"/>
    <w:rsid w:val="00C23B0A"/>
    <w:rsid w:val="00C23EC3"/>
    <w:rsid w:val="00C24633"/>
    <w:rsid w:val="00C248BA"/>
    <w:rsid w:val="00C24DA0"/>
    <w:rsid w:val="00C24EEE"/>
    <w:rsid w:val="00C25075"/>
    <w:rsid w:val="00C2526B"/>
    <w:rsid w:val="00C258AD"/>
    <w:rsid w:val="00C25C8F"/>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42"/>
    <w:rsid w:val="00C31ADC"/>
    <w:rsid w:val="00C31D64"/>
    <w:rsid w:val="00C31FB1"/>
    <w:rsid w:val="00C323C0"/>
    <w:rsid w:val="00C326A1"/>
    <w:rsid w:val="00C32CFD"/>
    <w:rsid w:val="00C336C3"/>
    <w:rsid w:val="00C33708"/>
    <w:rsid w:val="00C3396A"/>
    <w:rsid w:val="00C339DA"/>
    <w:rsid w:val="00C33A54"/>
    <w:rsid w:val="00C343E2"/>
    <w:rsid w:val="00C3473F"/>
    <w:rsid w:val="00C34C19"/>
    <w:rsid w:val="00C34E18"/>
    <w:rsid w:val="00C350E2"/>
    <w:rsid w:val="00C35ABA"/>
    <w:rsid w:val="00C35BB5"/>
    <w:rsid w:val="00C36081"/>
    <w:rsid w:val="00C36D00"/>
    <w:rsid w:val="00C36DC3"/>
    <w:rsid w:val="00C36EF0"/>
    <w:rsid w:val="00C37164"/>
    <w:rsid w:val="00C37251"/>
    <w:rsid w:val="00C37537"/>
    <w:rsid w:val="00C37B52"/>
    <w:rsid w:val="00C37EA0"/>
    <w:rsid w:val="00C40079"/>
    <w:rsid w:val="00C4049A"/>
    <w:rsid w:val="00C4073D"/>
    <w:rsid w:val="00C41498"/>
    <w:rsid w:val="00C418E2"/>
    <w:rsid w:val="00C4253B"/>
    <w:rsid w:val="00C426D2"/>
    <w:rsid w:val="00C42CA0"/>
    <w:rsid w:val="00C42E1F"/>
    <w:rsid w:val="00C43ABF"/>
    <w:rsid w:val="00C43D1A"/>
    <w:rsid w:val="00C44918"/>
    <w:rsid w:val="00C45128"/>
    <w:rsid w:val="00C4534F"/>
    <w:rsid w:val="00C45EB5"/>
    <w:rsid w:val="00C46432"/>
    <w:rsid w:val="00C467AB"/>
    <w:rsid w:val="00C46957"/>
    <w:rsid w:val="00C46B18"/>
    <w:rsid w:val="00C46D99"/>
    <w:rsid w:val="00C47102"/>
    <w:rsid w:val="00C47256"/>
    <w:rsid w:val="00C474D1"/>
    <w:rsid w:val="00C504AB"/>
    <w:rsid w:val="00C50E81"/>
    <w:rsid w:val="00C518B1"/>
    <w:rsid w:val="00C519B4"/>
    <w:rsid w:val="00C51EC3"/>
    <w:rsid w:val="00C527C3"/>
    <w:rsid w:val="00C52E6B"/>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22"/>
    <w:rsid w:val="00C64C91"/>
    <w:rsid w:val="00C64EBF"/>
    <w:rsid w:val="00C65339"/>
    <w:rsid w:val="00C66B12"/>
    <w:rsid w:val="00C67298"/>
    <w:rsid w:val="00C67825"/>
    <w:rsid w:val="00C67A25"/>
    <w:rsid w:val="00C70427"/>
    <w:rsid w:val="00C70471"/>
    <w:rsid w:val="00C70989"/>
    <w:rsid w:val="00C714E2"/>
    <w:rsid w:val="00C7165B"/>
    <w:rsid w:val="00C71A30"/>
    <w:rsid w:val="00C71DC5"/>
    <w:rsid w:val="00C72955"/>
    <w:rsid w:val="00C73A2D"/>
    <w:rsid w:val="00C746CA"/>
    <w:rsid w:val="00C74805"/>
    <w:rsid w:val="00C7487B"/>
    <w:rsid w:val="00C749F3"/>
    <w:rsid w:val="00C74ACC"/>
    <w:rsid w:val="00C75292"/>
    <w:rsid w:val="00C755C6"/>
    <w:rsid w:val="00C755EA"/>
    <w:rsid w:val="00C75778"/>
    <w:rsid w:val="00C75866"/>
    <w:rsid w:val="00C763EC"/>
    <w:rsid w:val="00C76AE2"/>
    <w:rsid w:val="00C76F28"/>
    <w:rsid w:val="00C77861"/>
    <w:rsid w:val="00C806C4"/>
    <w:rsid w:val="00C806D3"/>
    <w:rsid w:val="00C8075B"/>
    <w:rsid w:val="00C80BD4"/>
    <w:rsid w:val="00C80C48"/>
    <w:rsid w:val="00C80F26"/>
    <w:rsid w:val="00C81235"/>
    <w:rsid w:val="00C814ED"/>
    <w:rsid w:val="00C8192E"/>
    <w:rsid w:val="00C819B4"/>
    <w:rsid w:val="00C81E4A"/>
    <w:rsid w:val="00C820F2"/>
    <w:rsid w:val="00C8255E"/>
    <w:rsid w:val="00C82F37"/>
    <w:rsid w:val="00C83083"/>
    <w:rsid w:val="00C8342C"/>
    <w:rsid w:val="00C837A5"/>
    <w:rsid w:val="00C840E2"/>
    <w:rsid w:val="00C843CB"/>
    <w:rsid w:val="00C84EEF"/>
    <w:rsid w:val="00C85090"/>
    <w:rsid w:val="00C85FD8"/>
    <w:rsid w:val="00C860AE"/>
    <w:rsid w:val="00C867A1"/>
    <w:rsid w:val="00C8688D"/>
    <w:rsid w:val="00C86A7A"/>
    <w:rsid w:val="00C872B1"/>
    <w:rsid w:val="00C8743D"/>
    <w:rsid w:val="00C87929"/>
    <w:rsid w:val="00C906F1"/>
    <w:rsid w:val="00C90C3F"/>
    <w:rsid w:val="00C9123B"/>
    <w:rsid w:val="00C91DED"/>
    <w:rsid w:val="00C91F06"/>
    <w:rsid w:val="00C92583"/>
    <w:rsid w:val="00C92ACE"/>
    <w:rsid w:val="00C92C7D"/>
    <w:rsid w:val="00C93A08"/>
    <w:rsid w:val="00C93C15"/>
    <w:rsid w:val="00C94401"/>
    <w:rsid w:val="00C94450"/>
    <w:rsid w:val="00C95161"/>
    <w:rsid w:val="00C9560B"/>
    <w:rsid w:val="00C9747D"/>
    <w:rsid w:val="00C97541"/>
    <w:rsid w:val="00C97660"/>
    <w:rsid w:val="00C97906"/>
    <w:rsid w:val="00C979DE"/>
    <w:rsid w:val="00C97D86"/>
    <w:rsid w:val="00CA0225"/>
    <w:rsid w:val="00CA1466"/>
    <w:rsid w:val="00CA17F7"/>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6103"/>
    <w:rsid w:val="00CA6925"/>
    <w:rsid w:val="00CA6E0D"/>
    <w:rsid w:val="00CA7B87"/>
    <w:rsid w:val="00CA7C09"/>
    <w:rsid w:val="00CB0125"/>
    <w:rsid w:val="00CB01A4"/>
    <w:rsid w:val="00CB07DF"/>
    <w:rsid w:val="00CB0AF8"/>
    <w:rsid w:val="00CB0F37"/>
    <w:rsid w:val="00CB1191"/>
    <w:rsid w:val="00CB122B"/>
    <w:rsid w:val="00CB1A88"/>
    <w:rsid w:val="00CB279D"/>
    <w:rsid w:val="00CB284D"/>
    <w:rsid w:val="00CB28A0"/>
    <w:rsid w:val="00CB2AAA"/>
    <w:rsid w:val="00CB3003"/>
    <w:rsid w:val="00CB37F5"/>
    <w:rsid w:val="00CB3FF2"/>
    <w:rsid w:val="00CB4276"/>
    <w:rsid w:val="00CB4427"/>
    <w:rsid w:val="00CB4597"/>
    <w:rsid w:val="00CB4697"/>
    <w:rsid w:val="00CB4803"/>
    <w:rsid w:val="00CB494F"/>
    <w:rsid w:val="00CB4BFE"/>
    <w:rsid w:val="00CB4D8A"/>
    <w:rsid w:val="00CB506A"/>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4C38"/>
    <w:rsid w:val="00CC50D4"/>
    <w:rsid w:val="00CC51F9"/>
    <w:rsid w:val="00CC52C6"/>
    <w:rsid w:val="00CC5443"/>
    <w:rsid w:val="00CC5986"/>
    <w:rsid w:val="00CC5DD3"/>
    <w:rsid w:val="00CC61B2"/>
    <w:rsid w:val="00CC6B57"/>
    <w:rsid w:val="00CC6F8B"/>
    <w:rsid w:val="00CC7341"/>
    <w:rsid w:val="00CC76C1"/>
    <w:rsid w:val="00CD026F"/>
    <w:rsid w:val="00CD098D"/>
    <w:rsid w:val="00CD0B6D"/>
    <w:rsid w:val="00CD0C53"/>
    <w:rsid w:val="00CD0E18"/>
    <w:rsid w:val="00CD10AE"/>
    <w:rsid w:val="00CD1225"/>
    <w:rsid w:val="00CD1454"/>
    <w:rsid w:val="00CD16E6"/>
    <w:rsid w:val="00CD2A83"/>
    <w:rsid w:val="00CD2CB0"/>
    <w:rsid w:val="00CD3825"/>
    <w:rsid w:val="00CD3A65"/>
    <w:rsid w:val="00CD3B45"/>
    <w:rsid w:val="00CD4BD0"/>
    <w:rsid w:val="00CD4E2C"/>
    <w:rsid w:val="00CD52F1"/>
    <w:rsid w:val="00CD539F"/>
    <w:rsid w:val="00CD6F89"/>
    <w:rsid w:val="00CD7324"/>
    <w:rsid w:val="00CD7330"/>
    <w:rsid w:val="00CD7E06"/>
    <w:rsid w:val="00CD7F02"/>
    <w:rsid w:val="00CE091F"/>
    <w:rsid w:val="00CE25A4"/>
    <w:rsid w:val="00CE2F9C"/>
    <w:rsid w:val="00CE3BFF"/>
    <w:rsid w:val="00CE3DFD"/>
    <w:rsid w:val="00CE42A7"/>
    <w:rsid w:val="00CE4C05"/>
    <w:rsid w:val="00CE513F"/>
    <w:rsid w:val="00CE592D"/>
    <w:rsid w:val="00CE5BCF"/>
    <w:rsid w:val="00CE5CC5"/>
    <w:rsid w:val="00CE5DAF"/>
    <w:rsid w:val="00CE6E00"/>
    <w:rsid w:val="00CE7317"/>
    <w:rsid w:val="00CE74CF"/>
    <w:rsid w:val="00CE7698"/>
    <w:rsid w:val="00CE77E9"/>
    <w:rsid w:val="00CE78EC"/>
    <w:rsid w:val="00CF0201"/>
    <w:rsid w:val="00CF0395"/>
    <w:rsid w:val="00CF03AF"/>
    <w:rsid w:val="00CF0402"/>
    <w:rsid w:val="00CF0D15"/>
    <w:rsid w:val="00CF0F58"/>
    <w:rsid w:val="00CF10EB"/>
    <w:rsid w:val="00CF17C2"/>
    <w:rsid w:val="00CF1824"/>
    <w:rsid w:val="00CF2177"/>
    <w:rsid w:val="00CF2956"/>
    <w:rsid w:val="00CF2A90"/>
    <w:rsid w:val="00CF3102"/>
    <w:rsid w:val="00CF37C2"/>
    <w:rsid w:val="00CF3A2A"/>
    <w:rsid w:val="00CF3A34"/>
    <w:rsid w:val="00CF3D0B"/>
    <w:rsid w:val="00CF4448"/>
    <w:rsid w:val="00CF45BD"/>
    <w:rsid w:val="00CF4D15"/>
    <w:rsid w:val="00CF4F2A"/>
    <w:rsid w:val="00CF51D8"/>
    <w:rsid w:val="00CF54DD"/>
    <w:rsid w:val="00CF68ED"/>
    <w:rsid w:val="00CF7559"/>
    <w:rsid w:val="00CF75BB"/>
    <w:rsid w:val="00CF7825"/>
    <w:rsid w:val="00D0016D"/>
    <w:rsid w:val="00D0032F"/>
    <w:rsid w:val="00D0047B"/>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573"/>
    <w:rsid w:val="00D06A28"/>
    <w:rsid w:val="00D06AC6"/>
    <w:rsid w:val="00D07395"/>
    <w:rsid w:val="00D0763C"/>
    <w:rsid w:val="00D07A35"/>
    <w:rsid w:val="00D07C4D"/>
    <w:rsid w:val="00D10E5F"/>
    <w:rsid w:val="00D11353"/>
    <w:rsid w:val="00D113E7"/>
    <w:rsid w:val="00D11EC6"/>
    <w:rsid w:val="00D12572"/>
    <w:rsid w:val="00D127C0"/>
    <w:rsid w:val="00D129EE"/>
    <w:rsid w:val="00D12B04"/>
    <w:rsid w:val="00D12CC3"/>
    <w:rsid w:val="00D12DD0"/>
    <w:rsid w:val="00D130CD"/>
    <w:rsid w:val="00D133B7"/>
    <w:rsid w:val="00D13B74"/>
    <w:rsid w:val="00D13DA0"/>
    <w:rsid w:val="00D14CB5"/>
    <w:rsid w:val="00D15090"/>
    <w:rsid w:val="00D1510B"/>
    <w:rsid w:val="00D1559B"/>
    <w:rsid w:val="00D1721B"/>
    <w:rsid w:val="00D21047"/>
    <w:rsid w:val="00D21B3F"/>
    <w:rsid w:val="00D21D03"/>
    <w:rsid w:val="00D2235A"/>
    <w:rsid w:val="00D226E7"/>
    <w:rsid w:val="00D22A93"/>
    <w:rsid w:val="00D22D9B"/>
    <w:rsid w:val="00D22E3A"/>
    <w:rsid w:val="00D236F2"/>
    <w:rsid w:val="00D23762"/>
    <w:rsid w:val="00D24456"/>
    <w:rsid w:val="00D24559"/>
    <w:rsid w:val="00D245D3"/>
    <w:rsid w:val="00D25EFA"/>
    <w:rsid w:val="00D25FDF"/>
    <w:rsid w:val="00D2612A"/>
    <w:rsid w:val="00D26A7F"/>
    <w:rsid w:val="00D26C62"/>
    <w:rsid w:val="00D27526"/>
    <w:rsid w:val="00D27959"/>
    <w:rsid w:val="00D27AE6"/>
    <w:rsid w:val="00D31382"/>
    <w:rsid w:val="00D31A1C"/>
    <w:rsid w:val="00D31A34"/>
    <w:rsid w:val="00D31C47"/>
    <w:rsid w:val="00D31E08"/>
    <w:rsid w:val="00D32051"/>
    <w:rsid w:val="00D32572"/>
    <w:rsid w:val="00D32AAE"/>
    <w:rsid w:val="00D32E82"/>
    <w:rsid w:val="00D3328D"/>
    <w:rsid w:val="00D335CA"/>
    <w:rsid w:val="00D33AFE"/>
    <w:rsid w:val="00D34CBB"/>
    <w:rsid w:val="00D35750"/>
    <w:rsid w:val="00D35C04"/>
    <w:rsid w:val="00D35D61"/>
    <w:rsid w:val="00D35D83"/>
    <w:rsid w:val="00D36009"/>
    <w:rsid w:val="00D36CF9"/>
    <w:rsid w:val="00D37482"/>
    <w:rsid w:val="00D374DB"/>
    <w:rsid w:val="00D379F2"/>
    <w:rsid w:val="00D402A8"/>
    <w:rsid w:val="00D40572"/>
    <w:rsid w:val="00D407E6"/>
    <w:rsid w:val="00D408D5"/>
    <w:rsid w:val="00D40C91"/>
    <w:rsid w:val="00D40FAC"/>
    <w:rsid w:val="00D4101C"/>
    <w:rsid w:val="00D41053"/>
    <w:rsid w:val="00D4177A"/>
    <w:rsid w:val="00D41C49"/>
    <w:rsid w:val="00D422E9"/>
    <w:rsid w:val="00D4250C"/>
    <w:rsid w:val="00D42D9A"/>
    <w:rsid w:val="00D43760"/>
    <w:rsid w:val="00D4390E"/>
    <w:rsid w:val="00D43BDB"/>
    <w:rsid w:val="00D43DFD"/>
    <w:rsid w:val="00D44115"/>
    <w:rsid w:val="00D4467F"/>
    <w:rsid w:val="00D45043"/>
    <w:rsid w:val="00D455ED"/>
    <w:rsid w:val="00D45CA4"/>
    <w:rsid w:val="00D461EB"/>
    <w:rsid w:val="00D464F8"/>
    <w:rsid w:val="00D46688"/>
    <w:rsid w:val="00D46D2A"/>
    <w:rsid w:val="00D4742C"/>
    <w:rsid w:val="00D4756F"/>
    <w:rsid w:val="00D47723"/>
    <w:rsid w:val="00D477E2"/>
    <w:rsid w:val="00D47A0A"/>
    <w:rsid w:val="00D47AC5"/>
    <w:rsid w:val="00D47F62"/>
    <w:rsid w:val="00D50EA2"/>
    <w:rsid w:val="00D51519"/>
    <w:rsid w:val="00D519E8"/>
    <w:rsid w:val="00D51C23"/>
    <w:rsid w:val="00D51C34"/>
    <w:rsid w:val="00D528B3"/>
    <w:rsid w:val="00D52F31"/>
    <w:rsid w:val="00D5342D"/>
    <w:rsid w:val="00D5408B"/>
    <w:rsid w:val="00D540B0"/>
    <w:rsid w:val="00D546EF"/>
    <w:rsid w:val="00D54B34"/>
    <w:rsid w:val="00D55340"/>
    <w:rsid w:val="00D5556F"/>
    <w:rsid w:val="00D55C51"/>
    <w:rsid w:val="00D560DD"/>
    <w:rsid w:val="00D56E83"/>
    <w:rsid w:val="00D56F92"/>
    <w:rsid w:val="00D57119"/>
    <w:rsid w:val="00D57844"/>
    <w:rsid w:val="00D5795B"/>
    <w:rsid w:val="00D57C07"/>
    <w:rsid w:val="00D60070"/>
    <w:rsid w:val="00D60316"/>
    <w:rsid w:val="00D607FC"/>
    <w:rsid w:val="00D61544"/>
    <w:rsid w:val="00D61F6E"/>
    <w:rsid w:val="00D62171"/>
    <w:rsid w:val="00D62E4B"/>
    <w:rsid w:val="00D6376D"/>
    <w:rsid w:val="00D646EE"/>
    <w:rsid w:val="00D64A72"/>
    <w:rsid w:val="00D65583"/>
    <w:rsid w:val="00D657D9"/>
    <w:rsid w:val="00D659C4"/>
    <w:rsid w:val="00D65BE5"/>
    <w:rsid w:val="00D66181"/>
    <w:rsid w:val="00D66328"/>
    <w:rsid w:val="00D66AB6"/>
    <w:rsid w:val="00D66AD0"/>
    <w:rsid w:val="00D66E14"/>
    <w:rsid w:val="00D677DF"/>
    <w:rsid w:val="00D679B2"/>
    <w:rsid w:val="00D67D6E"/>
    <w:rsid w:val="00D67D8A"/>
    <w:rsid w:val="00D67F8D"/>
    <w:rsid w:val="00D7010C"/>
    <w:rsid w:val="00D7063C"/>
    <w:rsid w:val="00D71B89"/>
    <w:rsid w:val="00D71D51"/>
    <w:rsid w:val="00D7247B"/>
    <w:rsid w:val="00D729C8"/>
    <w:rsid w:val="00D72ADD"/>
    <w:rsid w:val="00D72C7C"/>
    <w:rsid w:val="00D7332D"/>
    <w:rsid w:val="00D73333"/>
    <w:rsid w:val="00D74815"/>
    <w:rsid w:val="00D74DEB"/>
    <w:rsid w:val="00D74F39"/>
    <w:rsid w:val="00D74F70"/>
    <w:rsid w:val="00D75C1F"/>
    <w:rsid w:val="00D75EA9"/>
    <w:rsid w:val="00D761CC"/>
    <w:rsid w:val="00D76390"/>
    <w:rsid w:val="00D775B7"/>
    <w:rsid w:val="00D776A2"/>
    <w:rsid w:val="00D7798B"/>
    <w:rsid w:val="00D802E2"/>
    <w:rsid w:val="00D805F4"/>
    <w:rsid w:val="00D80930"/>
    <w:rsid w:val="00D80A9B"/>
    <w:rsid w:val="00D810CB"/>
    <w:rsid w:val="00D814C6"/>
    <w:rsid w:val="00D8168C"/>
    <w:rsid w:val="00D819C6"/>
    <w:rsid w:val="00D81A68"/>
    <w:rsid w:val="00D81C0B"/>
    <w:rsid w:val="00D82482"/>
    <w:rsid w:val="00D8250F"/>
    <w:rsid w:val="00D825EB"/>
    <w:rsid w:val="00D828CD"/>
    <w:rsid w:val="00D82F26"/>
    <w:rsid w:val="00D8316E"/>
    <w:rsid w:val="00D832CD"/>
    <w:rsid w:val="00D83617"/>
    <w:rsid w:val="00D838CD"/>
    <w:rsid w:val="00D8422B"/>
    <w:rsid w:val="00D84441"/>
    <w:rsid w:val="00D849C2"/>
    <w:rsid w:val="00D84DCF"/>
    <w:rsid w:val="00D85339"/>
    <w:rsid w:val="00D855FB"/>
    <w:rsid w:val="00D85F07"/>
    <w:rsid w:val="00D861C1"/>
    <w:rsid w:val="00D86431"/>
    <w:rsid w:val="00D86772"/>
    <w:rsid w:val="00D869C6"/>
    <w:rsid w:val="00D86B35"/>
    <w:rsid w:val="00D90255"/>
    <w:rsid w:val="00D90B12"/>
    <w:rsid w:val="00D916B9"/>
    <w:rsid w:val="00D91F90"/>
    <w:rsid w:val="00D92A52"/>
    <w:rsid w:val="00D9487B"/>
    <w:rsid w:val="00D94C9B"/>
    <w:rsid w:val="00D94DF1"/>
    <w:rsid w:val="00D951DC"/>
    <w:rsid w:val="00D952CD"/>
    <w:rsid w:val="00D955F1"/>
    <w:rsid w:val="00D95C6F"/>
    <w:rsid w:val="00D95DE4"/>
    <w:rsid w:val="00D95E53"/>
    <w:rsid w:val="00D9617E"/>
    <w:rsid w:val="00D963D9"/>
    <w:rsid w:val="00D965BC"/>
    <w:rsid w:val="00D96A45"/>
    <w:rsid w:val="00D96F1E"/>
    <w:rsid w:val="00D96F25"/>
    <w:rsid w:val="00D97132"/>
    <w:rsid w:val="00D977AE"/>
    <w:rsid w:val="00D979A0"/>
    <w:rsid w:val="00D979FD"/>
    <w:rsid w:val="00D97C93"/>
    <w:rsid w:val="00DA00BD"/>
    <w:rsid w:val="00DA04B6"/>
    <w:rsid w:val="00DA0572"/>
    <w:rsid w:val="00DA0639"/>
    <w:rsid w:val="00DA064A"/>
    <w:rsid w:val="00DA06E5"/>
    <w:rsid w:val="00DA0787"/>
    <w:rsid w:val="00DA0E78"/>
    <w:rsid w:val="00DA0ED6"/>
    <w:rsid w:val="00DA1151"/>
    <w:rsid w:val="00DA1469"/>
    <w:rsid w:val="00DA1CDD"/>
    <w:rsid w:val="00DA2080"/>
    <w:rsid w:val="00DA224D"/>
    <w:rsid w:val="00DA2644"/>
    <w:rsid w:val="00DA273D"/>
    <w:rsid w:val="00DA27F9"/>
    <w:rsid w:val="00DA28F6"/>
    <w:rsid w:val="00DA3FCB"/>
    <w:rsid w:val="00DA457B"/>
    <w:rsid w:val="00DA45EF"/>
    <w:rsid w:val="00DA4972"/>
    <w:rsid w:val="00DA4B3D"/>
    <w:rsid w:val="00DA6B4E"/>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49F"/>
    <w:rsid w:val="00DB555C"/>
    <w:rsid w:val="00DB557F"/>
    <w:rsid w:val="00DB5A0F"/>
    <w:rsid w:val="00DB5FAD"/>
    <w:rsid w:val="00DB605C"/>
    <w:rsid w:val="00DB63EF"/>
    <w:rsid w:val="00DB71D4"/>
    <w:rsid w:val="00DC02AB"/>
    <w:rsid w:val="00DC0DCD"/>
    <w:rsid w:val="00DC13CD"/>
    <w:rsid w:val="00DC171E"/>
    <w:rsid w:val="00DC19E7"/>
    <w:rsid w:val="00DC1EA8"/>
    <w:rsid w:val="00DC25B7"/>
    <w:rsid w:val="00DC2688"/>
    <w:rsid w:val="00DC2995"/>
    <w:rsid w:val="00DC2B0A"/>
    <w:rsid w:val="00DC2DE8"/>
    <w:rsid w:val="00DC2FB4"/>
    <w:rsid w:val="00DC328E"/>
    <w:rsid w:val="00DC3963"/>
    <w:rsid w:val="00DC4089"/>
    <w:rsid w:val="00DC46B5"/>
    <w:rsid w:val="00DC4806"/>
    <w:rsid w:val="00DC5646"/>
    <w:rsid w:val="00DC566A"/>
    <w:rsid w:val="00DC5A4C"/>
    <w:rsid w:val="00DC6A20"/>
    <w:rsid w:val="00DC6EDA"/>
    <w:rsid w:val="00DC7719"/>
    <w:rsid w:val="00DC77B9"/>
    <w:rsid w:val="00DC783F"/>
    <w:rsid w:val="00DC7B03"/>
    <w:rsid w:val="00DC7B90"/>
    <w:rsid w:val="00DC7BB8"/>
    <w:rsid w:val="00DC7FA2"/>
    <w:rsid w:val="00DD027F"/>
    <w:rsid w:val="00DD0E83"/>
    <w:rsid w:val="00DD1732"/>
    <w:rsid w:val="00DD1AA3"/>
    <w:rsid w:val="00DD1E99"/>
    <w:rsid w:val="00DD2451"/>
    <w:rsid w:val="00DD313E"/>
    <w:rsid w:val="00DD3954"/>
    <w:rsid w:val="00DD3975"/>
    <w:rsid w:val="00DD408A"/>
    <w:rsid w:val="00DD4A5F"/>
    <w:rsid w:val="00DD5257"/>
    <w:rsid w:val="00DD5409"/>
    <w:rsid w:val="00DD6912"/>
    <w:rsid w:val="00DD6EF6"/>
    <w:rsid w:val="00DD72BC"/>
    <w:rsid w:val="00DD7AB4"/>
    <w:rsid w:val="00DE0265"/>
    <w:rsid w:val="00DE0818"/>
    <w:rsid w:val="00DE0C7C"/>
    <w:rsid w:val="00DE0EDF"/>
    <w:rsid w:val="00DE0EE4"/>
    <w:rsid w:val="00DE0FD7"/>
    <w:rsid w:val="00DE180B"/>
    <w:rsid w:val="00DE207E"/>
    <w:rsid w:val="00DE2986"/>
    <w:rsid w:val="00DE3190"/>
    <w:rsid w:val="00DE3A7B"/>
    <w:rsid w:val="00DE3F64"/>
    <w:rsid w:val="00DE4580"/>
    <w:rsid w:val="00DE48DF"/>
    <w:rsid w:val="00DE5249"/>
    <w:rsid w:val="00DE5F72"/>
    <w:rsid w:val="00DE6965"/>
    <w:rsid w:val="00DE6BFE"/>
    <w:rsid w:val="00DE6EF1"/>
    <w:rsid w:val="00DE737A"/>
    <w:rsid w:val="00DE77B1"/>
    <w:rsid w:val="00DE7F85"/>
    <w:rsid w:val="00DF09F9"/>
    <w:rsid w:val="00DF0A97"/>
    <w:rsid w:val="00DF131D"/>
    <w:rsid w:val="00DF166B"/>
    <w:rsid w:val="00DF1778"/>
    <w:rsid w:val="00DF1791"/>
    <w:rsid w:val="00DF1D01"/>
    <w:rsid w:val="00DF1D6C"/>
    <w:rsid w:val="00DF209D"/>
    <w:rsid w:val="00DF268B"/>
    <w:rsid w:val="00DF2B50"/>
    <w:rsid w:val="00DF2F83"/>
    <w:rsid w:val="00DF3B86"/>
    <w:rsid w:val="00DF3F96"/>
    <w:rsid w:val="00DF45BB"/>
    <w:rsid w:val="00DF46DF"/>
    <w:rsid w:val="00DF4B25"/>
    <w:rsid w:val="00DF4C1E"/>
    <w:rsid w:val="00DF4F39"/>
    <w:rsid w:val="00DF504D"/>
    <w:rsid w:val="00DF5179"/>
    <w:rsid w:val="00DF530A"/>
    <w:rsid w:val="00DF5433"/>
    <w:rsid w:val="00DF5554"/>
    <w:rsid w:val="00DF5BD3"/>
    <w:rsid w:val="00DF613F"/>
    <w:rsid w:val="00DF637B"/>
    <w:rsid w:val="00DF6462"/>
    <w:rsid w:val="00DF6700"/>
    <w:rsid w:val="00DF6816"/>
    <w:rsid w:val="00DF6859"/>
    <w:rsid w:val="00DF690E"/>
    <w:rsid w:val="00DF6979"/>
    <w:rsid w:val="00DF737A"/>
    <w:rsid w:val="00DF7BEC"/>
    <w:rsid w:val="00E002CF"/>
    <w:rsid w:val="00E002DC"/>
    <w:rsid w:val="00E0037E"/>
    <w:rsid w:val="00E00502"/>
    <w:rsid w:val="00E00692"/>
    <w:rsid w:val="00E00976"/>
    <w:rsid w:val="00E00B3F"/>
    <w:rsid w:val="00E00BA7"/>
    <w:rsid w:val="00E00CD4"/>
    <w:rsid w:val="00E01493"/>
    <w:rsid w:val="00E01657"/>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32"/>
    <w:rsid w:val="00E11FA9"/>
    <w:rsid w:val="00E12271"/>
    <w:rsid w:val="00E12D36"/>
    <w:rsid w:val="00E13186"/>
    <w:rsid w:val="00E13E7B"/>
    <w:rsid w:val="00E13EC7"/>
    <w:rsid w:val="00E14C13"/>
    <w:rsid w:val="00E14FD3"/>
    <w:rsid w:val="00E15512"/>
    <w:rsid w:val="00E15890"/>
    <w:rsid w:val="00E15BB4"/>
    <w:rsid w:val="00E1609E"/>
    <w:rsid w:val="00E16637"/>
    <w:rsid w:val="00E1696D"/>
    <w:rsid w:val="00E16F4D"/>
    <w:rsid w:val="00E1736E"/>
    <w:rsid w:val="00E174CC"/>
    <w:rsid w:val="00E1767E"/>
    <w:rsid w:val="00E17F74"/>
    <w:rsid w:val="00E17FF6"/>
    <w:rsid w:val="00E202FD"/>
    <w:rsid w:val="00E2079B"/>
    <w:rsid w:val="00E209A8"/>
    <w:rsid w:val="00E209FD"/>
    <w:rsid w:val="00E20FEC"/>
    <w:rsid w:val="00E219FD"/>
    <w:rsid w:val="00E222B2"/>
    <w:rsid w:val="00E2270D"/>
    <w:rsid w:val="00E229B7"/>
    <w:rsid w:val="00E22B51"/>
    <w:rsid w:val="00E2387A"/>
    <w:rsid w:val="00E23A15"/>
    <w:rsid w:val="00E23D70"/>
    <w:rsid w:val="00E24933"/>
    <w:rsid w:val="00E24A94"/>
    <w:rsid w:val="00E24EA1"/>
    <w:rsid w:val="00E25010"/>
    <w:rsid w:val="00E25047"/>
    <w:rsid w:val="00E25318"/>
    <w:rsid w:val="00E257E0"/>
    <w:rsid w:val="00E25A07"/>
    <w:rsid w:val="00E2625B"/>
    <w:rsid w:val="00E26C36"/>
    <w:rsid w:val="00E27031"/>
    <w:rsid w:val="00E30AD0"/>
    <w:rsid w:val="00E30B73"/>
    <w:rsid w:val="00E30D3E"/>
    <w:rsid w:val="00E3113B"/>
    <w:rsid w:val="00E3131D"/>
    <w:rsid w:val="00E314CC"/>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5BD6"/>
    <w:rsid w:val="00E361D9"/>
    <w:rsid w:val="00E3642F"/>
    <w:rsid w:val="00E36AEE"/>
    <w:rsid w:val="00E36FFE"/>
    <w:rsid w:val="00E37293"/>
    <w:rsid w:val="00E3762B"/>
    <w:rsid w:val="00E3778F"/>
    <w:rsid w:val="00E3787C"/>
    <w:rsid w:val="00E37EEB"/>
    <w:rsid w:val="00E40334"/>
    <w:rsid w:val="00E4036F"/>
    <w:rsid w:val="00E404F9"/>
    <w:rsid w:val="00E40647"/>
    <w:rsid w:val="00E406BD"/>
    <w:rsid w:val="00E40B32"/>
    <w:rsid w:val="00E4128D"/>
    <w:rsid w:val="00E419E6"/>
    <w:rsid w:val="00E41DAA"/>
    <w:rsid w:val="00E4200F"/>
    <w:rsid w:val="00E42A12"/>
    <w:rsid w:val="00E43016"/>
    <w:rsid w:val="00E434D5"/>
    <w:rsid w:val="00E4386D"/>
    <w:rsid w:val="00E43A41"/>
    <w:rsid w:val="00E44430"/>
    <w:rsid w:val="00E444D2"/>
    <w:rsid w:val="00E44564"/>
    <w:rsid w:val="00E45637"/>
    <w:rsid w:val="00E45BCD"/>
    <w:rsid w:val="00E45C38"/>
    <w:rsid w:val="00E46019"/>
    <w:rsid w:val="00E461C9"/>
    <w:rsid w:val="00E46776"/>
    <w:rsid w:val="00E46A3E"/>
    <w:rsid w:val="00E46ADC"/>
    <w:rsid w:val="00E46B63"/>
    <w:rsid w:val="00E47295"/>
    <w:rsid w:val="00E4754B"/>
    <w:rsid w:val="00E4760F"/>
    <w:rsid w:val="00E47E62"/>
    <w:rsid w:val="00E50643"/>
    <w:rsid w:val="00E50657"/>
    <w:rsid w:val="00E5089C"/>
    <w:rsid w:val="00E50991"/>
    <w:rsid w:val="00E515E1"/>
    <w:rsid w:val="00E51C5B"/>
    <w:rsid w:val="00E51DFF"/>
    <w:rsid w:val="00E51E45"/>
    <w:rsid w:val="00E5250C"/>
    <w:rsid w:val="00E52842"/>
    <w:rsid w:val="00E52CAD"/>
    <w:rsid w:val="00E52F96"/>
    <w:rsid w:val="00E53225"/>
    <w:rsid w:val="00E544ED"/>
    <w:rsid w:val="00E546BA"/>
    <w:rsid w:val="00E55E7F"/>
    <w:rsid w:val="00E563B0"/>
    <w:rsid w:val="00E56BC9"/>
    <w:rsid w:val="00E56CEF"/>
    <w:rsid w:val="00E56D2E"/>
    <w:rsid w:val="00E5710E"/>
    <w:rsid w:val="00E576DA"/>
    <w:rsid w:val="00E57812"/>
    <w:rsid w:val="00E57883"/>
    <w:rsid w:val="00E601A5"/>
    <w:rsid w:val="00E60BC6"/>
    <w:rsid w:val="00E60FB0"/>
    <w:rsid w:val="00E610C4"/>
    <w:rsid w:val="00E620FF"/>
    <w:rsid w:val="00E62C38"/>
    <w:rsid w:val="00E63810"/>
    <w:rsid w:val="00E64B30"/>
    <w:rsid w:val="00E65429"/>
    <w:rsid w:val="00E65843"/>
    <w:rsid w:val="00E65982"/>
    <w:rsid w:val="00E65C1F"/>
    <w:rsid w:val="00E66062"/>
    <w:rsid w:val="00E66327"/>
    <w:rsid w:val="00E664C4"/>
    <w:rsid w:val="00E66937"/>
    <w:rsid w:val="00E66B9F"/>
    <w:rsid w:val="00E67370"/>
    <w:rsid w:val="00E67A99"/>
    <w:rsid w:val="00E67B24"/>
    <w:rsid w:val="00E705BF"/>
    <w:rsid w:val="00E7077B"/>
    <w:rsid w:val="00E70788"/>
    <w:rsid w:val="00E70A3F"/>
    <w:rsid w:val="00E70A57"/>
    <w:rsid w:val="00E711A5"/>
    <w:rsid w:val="00E71236"/>
    <w:rsid w:val="00E7146B"/>
    <w:rsid w:val="00E7151A"/>
    <w:rsid w:val="00E7156B"/>
    <w:rsid w:val="00E71C0A"/>
    <w:rsid w:val="00E71F13"/>
    <w:rsid w:val="00E723E6"/>
    <w:rsid w:val="00E723E9"/>
    <w:rsid w:val="00E7247A"/>
    <w:rsid w:val="00E72550"/>
    <w:rsid w:val="00E725B5"/>
    <w:rsid w:val="00E72977"/>
    <w:rsid w:val="00E72A83"/>
    <w:rsid w:val="00E72F9C"/>
    <w:rsid w:val="00E73652"/>
    <w:rsid w:val="00E73D49"/>
    <w:rsid w:val="00E73DB1"/>
    <w:rsid w:val="00E74346"/>
    <w:rsid w:val="00E74466"/>
    <w:rsid w:val="00E74710"/>
    <w:rsid w:val="00E74E45"/>
    <w:rsid w:val="00E74FC1"/>
    <w:rsid w:val="00E750E3"/>
    <w:rsid w:val="00E75231"/>
    <w:rsid w:val="00E754C5"/>
    <w:rsid w:val="00E75B10"/>
    <w:rsid w:val="00E75D40"/>
    <w:rsid w:val="00E75E4C"/>
    <w:rsid w:val="00E75E83"/>
    <w:rsid w:val="00E7663F"/>
    <w:rsid w:val="00E76E97"/>
    <w:rsid w:val="00E7713D"/>
    <w:rsid w:val="00E7719F"/>
    <w:rsid w:val="00E77987"/>
    <w:rsid w:val="00E779B1"/>
    <w:rsid w:val="00E8158E"/>
    <w:rsid w:val="00E821EF"/>
    <w:rsid w:val="00E8297A"/>
    <w:rsid w:val="00E82A72"/>
    <w:rsid w:val="00E82CA7"/>
    <w:rsid w:val="00E83D6A"/>
    <w:rsid w:val="00E8432D"/>
    <w:rsid w:val="00E84E3E"/>
    <w:rsid w:val="00E84E80"/>
    <w:rsid w:val="00E8528F"/>
    <w:rsid w:val="00E85500"/>
    <w:rsid w:val="00E8550E"/>
    <w:rsid w:val="00E85856"/>
    <w:rsid w:val="00E859AC"/>
    <w:rsid w:val="00E85C5E"/>
    <w:rsid w:val="00E85EB8"/>
    <w:rsid w:val="00E85FEA"/>
    <w:rsid w:val="00E86907"/>
    <w:rsid w:val="00E86E97"/>
    <w:rsid w:val="00E870C5"/>
    <w:rsid w:val="00E8720A"/>
    <w:rsid w:val="00E87308"/>
    <w:rsid w:val="00E874DE"/>
    <w:rsid w:val="00E87912"/>
    <w:rsid w:val="00E90B42"/>
    <w:rsid w:val="00E90E3C"/>
    <w:rsid w:val="00E90FD7"/>
    <w:rsid w:val="00E91680"/>
    <w:rsid w:val="00E91FEF"/>
    <w:rsid w:val="00E9253E"/>
    <w:rsid w:val="00E93214"/>
    <w:rsid w:val="00E9341F"/>
    <w:rsid w:val="00E93606"/>
    <w:rsid w:val="00E942CB"/>
    <w:rsid w:val="00E94443"/>
    <w:rsid w:val="00E950D3"/>
    <w:rsid w:val="00E95899"/>
    <w:rsid w:val="00E95CE4"/>
    <w:rsid w:val="00E95DB8"/>
    <w:rsid w:val="00E97FD1"/>
    <w:rsid w:val="00EA0A28"/>
    <w:rsid w:val="00EA0EF5"/>
    <w:rsid w:val="00EA10BC"/>
    <w:rsid w:val="00EA1800"/>
    <w:rsid w:val="00EA1D36"/>
    <w:rsid w:val="00EA1F2A"/>
    <w:rsid w:val="00EA2BC4"/>
    <w:rsid w:val="00EA2E85"/>
    <w:rsid w:val="00EA3FB6"/>
    <w:rsid w:val="00EA434E"/>
    <w:rsid w:val="00EA472C"/>
    <w:rsid w:val="00EA49D0"/>
    <w:rsid w:val="00EA4CBA"/>
    <w:rsid w:val="00EA4F9B"/>
    <w:rsid w:val="00EA54AC"/>
    <w:rsid w:val="00EA57D1"/>
    <w:rsid w:val="00EA5893"/>
    <w:rsid w:val="00EA5EDA"/>
    <w:rsid w:val="00EA651C"/>
    <w:rsid w:val="00EA67F1"/>
    <w:rsid w:val="00EA6A6E"/>
    <w:rsid w:val="00EA7A32"/>
    <w:rsid w:val="00EA7B10"/>
    <w:rsid w:val="00EA7C9C"/>
    <w:rsid w:val="00EB03C7"/>
    <w:rsid w:val="00EB059A"/>
    <w:rsid w:val="00EB1D3D"/>
    <w:rsid w:val="00EB24EF"/>
    <w:rsid w:val="00EB26E5"/>
    <w:rsid w:val="00EB2D35"/>
    <w:rsid w:val="00EB31DE"/>
    <w:rsid w:val="00EB38FA"/>
    <w:rsid w:val="00EB46BA"/>
    <w:rsid w:val="00EB4D88"/>
    <w:rsid w:val="00EB5262"/>
    <w:rsid w:val="00EB54DA"/>
    <w:rsid w:val="00EB5AB4"/>
    <w:rsid w:val="00EB5CF4"/>
    <w:rsid w:val="00EB63C8"/>
    <w:rsid w:val="00EB6503"/>
    <w:rsid w:val="00EB6652"/>
    <w:rsid w:val="00EB6D7A"/>
    <w:rsid w:val="00EB6F39"/>
    <w:rsid w:val="00EB7418"/>
    <w:rsid w:val="00EB7699"/>
    <w:rsid w:val="00EB7836"/>
    <w:rsid w:val="00EB7CF1"/>
    <w:rsid w:val="00EB7D99"/>
    <w:rsid w:val="00EC0165"/>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61A"/>
    <w:rsid w:val="00ED19AD"/>
    <w:rsid w:val="00ED1A3B"/>
    <w:rsid w:val="00ED21F1"/>
    <w:rsid w:val="00ED2C6D"/>
    <w:rsid w:val="00ED2E08"/>
    <w:rsid w:val="00ED35E1"/>
    <w:rsid w:val="00ED4504"/>
    <w:rsid w:val="00ED457E"/>
    <w:rsid w:val="00ED5019"/>
    <w:rsid w:val="00ED53D0"/>
    <w:rsid w:val="00ED5775"/>
    <w:rsid w:val="00ED577E"/>
    <w:rsid w:val="00ED7000"/>
    <w:rsid w:val="00ED7185"/>
    <w:rsid w:val="00ED71A9"/>
    <w:rsid w:val="00ED75E3"/>
    <w:rsid w:val="00EE01EF"/>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D74"/>
    <w:rsid w:val="00EE4917"/>
    <w:rsid w:val="00EE4AD5"/>
    <w:rsid w:val="00EE4B1B"/>
    <w:rsid w:val="00EE50C2"/>
    <w:rsid w:val="00EE5295"/>
    <w:rsid w:val="00EE52F2"/>
    <w:rsid w:val="00EE55FA"/>
    <w:rsid w:val="00EE5732"/>
    <w:rsid w:val="00EE57EB"/>
    <w:rsid w:val="00EE5F75"/>
    <w:rsid w:val="00EE621C"/>
    <w:rsid w:val="00EE6B84"/>
    <w:rsid w:val="00EE7139"/>
    <w:rsid w:val="00EE72D3"/>
    <w:rsid w:val="00EF06D5"/>
    <w:rsid w:val="00EF08B3"/>
    <w:rsid w:val="00EF0E26"/>
    <w:rsid w:val="00EF0E93"/>
    <w:rsid w:val="00EF1870"/>
    <w:rsid w:val="00EF18DB"/>
    <w:rsid w:val="00EF1C12"/>
    <w:rsid w:val="00EF1D01"/>
    <w:rsid w:val="00EF20B8"/>
    <w:rsid w:val="00EF32EA"/>
    <w:rsid w:val="00EF364D"/>
    <w:rsid w:val="00EF44B1"/>
    <w:rsid w:val="00EF4BBE"/>
    <w:rsid w:val="00EF4C94"/>
    <w:rsid w:val="00EF50F2"/>
    <w:rsid w:val="00EF51A8"/>
    <w:rsid w:val="00EF51CF"/>
    <w:rsid w:val="00EF55CC"/>
    <w:rsid w:val="00EF5B40"/>
    <w:rsid w:val="00EF5C44"/>
    <w:rsid w:val="00EF6A4B"/>
    <w:rsid w:val="00EF6C4A"/>
    <w:rsid w:val="00EF6E80"/>
    <w:rsid w:val="00EF741E"/>
    <w:rsid w:val="00EF7537"/>
    <w:rsid w:val="00EF7A49"/>
    <w:rsid w:val="00EF7D00"/>
    <w:rsid w:val="00F0061D"/>
    <w:rsid w:val="00F0084D"/>
    <w:rsid w:val="00F0098B"/>
    <w:rsid w:val="00F00B74"/>
    <w:rsid w:val="00F01031"/>
    <w:rsid w:val="00F02074"/>
    <w:rsid w:val="00F02969"/>
    <w:rsid w:val="00F02D02"/>
    <w:rsid w:val="00F03B11"/>
    <w:rsid w:val="00F03D35"/>
    <w:rsid w:val="00F04276"/>
    <w:rsid w:val="00F042CD"/>
    <w:rsid w:val="00F042DD"/>
    <w:rsid w:val="00F04C0B"/>
    <w:rsid w:val="00F04F2B"/>
    <w:rsid w:val="00F05076"/>
    <w:rsid w:val="00F05363"/>
    <w:rsid w:val="00F0568C"/>
    <w:rsid w:val="00F05C06"/>
    <w:rsid w:val="00F05FF4"/>
    <w:rsid w:val="00F0625F"/>
    <w:rsid w:val="00F06E49"/>
    <w:rsid w:val="00F074FE"/>
    <w:rsid w:val="00F07554"/>
    <w:rsid w:val="00F1028D"/>
    <w:rsid w:val="00F10F4A"/>
    <w:rsid w:val="00F10FB6"/>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C60"/>
    <w:rsid w:val="00F1620E"/>
    <w:rsid w:val="00F167DD"/>
    <w:rsid w:val="00F16884"/>
    <w:rsid w:val="00F1688F"/>
    <w:rsid w:val="00F16B5C"/>
    <w:rsid w:val="00F16D90"/>
    <w:rsid w:val="00F16F1F"/>
    <w:rsid w:val="00F1706D"/>
    <w:rsid w:val="00F177AE"/>
    <w:rsid w:val="00F17B9C"/>
    <w:rsid w:val="00F2046E"/>
    <w:rsid w:val="00F20AFC"/>
    <w:rsid w:val="00F2103D"/>
    <w:rsid w:val="00F21D27"/>
    <w:rsid w:val="00F21D30"/>
    <w:rsid w:val="00F22B38"/>
    <w:rsid w:val="00F22B91"/>
    <w:rsid w:val="00F22DEC"/>
    <w:rsid w:val="00F22EA6"/>
    <w:rsid w:val="00F239A2"/>
    <w:rsid w:val="00F247F2"/>
    <w:rsid w:val="00F24A17"/>
    <w:rsid w:val="00F24A4D"/>
    <w:rsid w:val="00F24D37"/>
    <w:rsid w:val="00F24D9C"/>
    <w:rsid w:val="00F2540D"/>
    <w:rsid w:val="00F25848"/>
    <w:rsid w:val="00F259D0"/>
    <w:rsid w:val="00F25A17"/>
    <w:rsid w:val="00F260F9"/>
    <w:rsid w:val="00F26416"/>
    <w:rsid w:val="00F26E22"/>
    <w:rsid w:val="00F2707B"/>
    <w:rsid w:val="00F271D2"/>
    <w:rsid w:val="00F274B0"/>
    <w:rsid w:val="00F27C24"/>
    <w:rsid w:val="00F27C45"/>
    <w:rsid w:val="00F301B1"/>
    <w:rsid w:val="00F304C7"/>
    <w:rsid w:val="00F30743"/>
    <w:rsid w:val="00F30BE2"/>
    <w:rsid w:val="00F30F3A"/>
    <w:rsid w:val="00F319A6"/>
    <w:rsid w:val="00F31E17"/>
    <w:rsid w:val="00F31ECE"/>
    <w:rsid w:val="00F320F9"/>
    <w:rsid w:val="00F3210B"/>
    <w:rsid w:val="00F3237E"/>
    <w:rsid w:val="00F32548"/>
    <w:rsid w:val="00F32BE7"/>
    <w:rsid w:val="00F32DD7"/>
    <w:rsid w:val="00F331BF"/>
    <w:rsid w:val="00F33ADD"/>
    <w:rsid w:val="00F33B7C"/>
    <w:rsid w:val="00F33BCA"/>
    <w:rsid w:val="00F348CA"/>
    <w:rsid w:val="00F3592D"/>
    <w:rsid w:val="00F35B47"/>
    <w:rsid w:val="00F35CD0"/>
    <w:rsid w:val="00F36166"/>
    <w:rsid w:val="00F363BF"/>
    <w:rsid w:val="00F3680C"/>
    <w:rsid w:val="00F36F3F"/>
    <w:rsid w:val="00F37331"/>
    <w:rsid w:val="00F377DD"/>
    <w:rsid w:val="00F37871"/>
    <w:rsid w:val="00F4022E"/>
    <w:rsid w:val="00F4029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BDA"/>
    <w:rsid w:val="00F44D45"/>
    <w:rsid w:val="00F4514B"/>
    <w:rsid w:val="00F458ED"/>
    <w:rsid w:val="00F46B16"/>
    <w:rsid w:val="00F46C54"/>
    <w:rsid w:val="00F46CA4"/>
    <w:rsid w:val="00F47AE6"/>
    <w:rsid w:val="00F47B67"/>
    <w:rsid w:val="00F47E05"/>
    <w:rsid w:val="00F501C6"/>
    <w:rsid w:val="00F50C41"/>
    <w:rsid w:val="00F50D6C"/>
    <w:rsid w:val="00F50E4E"/>
    <w:rsid w:val="00F51C38"/>
    <w:rsid w:val="00F5203D"/>
    <w:rsid w:val="00F52897"/>
    <w:rsid w:val="00F52B75"/>
    <w:rsid w:val="00F52FD6"/>
    <w:rsid w:val="00F5320E"/>
    <w:rsid w:val="00F53542"/>
    <w:rsid w:val="00F53BBC"/>
    <w:rsid w:val="00F54260"/>
    <w:rsid w:val="00F544B9"/>
    <w:rsid w:val="00F54F7C"/>
    <w:rsid w:val="00F54FF5"/>
    <w:rsid w:val="00F55A2D"/>
    <w:rsid w:val="00F55A2E"/>
    <w:rsid w:val="00F55A57"/>
    <w:rsid w:val="00F55B04"/>
    <w:rsid w:val="00F55CF8"/>
    <w:rsid w:val="00F56903"/>
    <w:rsid w:val="00F56A53"/>
    <w:rsid w:val="00F56E99"/>
    <w:rsid w:val="00F57486"/>
    <w:rsid w:val="00F5748F"/>
    <w:rsid w:val="00F5763D"/>
    <w:rsid w:val="00F57A76"/>
    <w:rsid w:val="00F60652"/>
    <w:rsid w:val="00F60A0C"/>
    <w:rsid w:val="00F60C2F"/>
    <w:rsid w:val="00F60E24"/>
    <w:rsid w:val="00F61EFA"/>
    <w:rsid w:val="00F633F2"/>
    <w:rsid w:val="00F63768"/>
    <w:rsid w:val="00F63BC4"/>
    <w:rsid w:val="00F646A3"/>
    <w:rsid w:val="00F652A4"/>
    <w:rsid w:val="00F6545D"/>
    <w:rsid w:val="00F657F9"/>
    <w:rsid w:val="00F65C91"/>
    <w:rsid w:val="00F66135"/>
    <w:rsid w:val="00F6641A"/>
    <w:rsid w:val="00F664A6"/>
    <w:rsid w:val="00F666B2"/>
    <w:rsid w:val="00F66B84"/>
    <w:rsid w:val="00F66F4D"/>
    <w:rsid w:val="00F67454"/>
    <w:rsid w:val="00F675FE"/>
    <w:rsid w:val="00F67A37"/>
    <w:rsid w:val="00F700D1"/>
    <w:rsid w:val="00F70460"/>
    <w:rsid w:val="00F70A51"/>
    <w:rsid w:val="00F70C18"/>
    <w:rsid w:val="00F70CBD"/>
    <w:rsid w:val="00F70DEB"/>
    <w:rsid w:val="00F7114B"/>
    <w:rsid w:val="00F713EA"/>
    <w:rsid w:val="00F719D2"/>
    <w:rsid w:val="00F71FA1"/>
    <w:rsid w:val="00F72211"/>
    <w:rsid w:val="00F72281"/>
    <w:rsid w:val="00F7231A"/>
    <w:rsid w:val="00F7296A"/>
    <w:rsid w:val="00F73F52"/>
    <w:rsid w:val="00F7435F"/>
    <w:rsid w:val="00F75036"/>
    <w:rsid w:val="00F75655"/>
    <w:rsid w:val="00F75680"/>
    <w:rsid w:val="00F76B92"/>
    <w:rsid w:val="00F76E9E"/>
    <w:rsid w:val="00F77172"/>
    <w:rsid w:val="00F77390"/>
    <w:rsid w:val="00F77900"/>
    <w:rsid w:val="00F7792C"/>
    <w:rsid w:val="00F779CA"/>
    <w:rsid w:val="00F802FC"/>
    <w:rsid w:val="00F8041B"/>
    <w:rsid w:val="00F8055B"/>
    <w:rsid w:val="00F8067E"/>
    <w:rsid w:val="00F80809"/>
    <w:rsid w:val="00F8094D"/>
    <w:rsid w:val="00F80A74"/>
    <w:rsid w:val="00F8159E"/>
    <w:rsid w:val="00F824EE"/>
    <w:rsid w:val="00F82A51"/>
    <w:rsid w:val="00F82AE6"/>
    <w:rsid w:val="00F82CAE"/>
    <w:rsid w:val="00F82DF6"/>
    <w:rsid w:val="00F83ABD"/>
    <w:rsid w:val="00F83ACF"/>
    <w:rsid w:val="00F83BE9"/>
    <w:rsid w:val="00F83DF6"/>
    <w:rsid w:val="00F8473B"/>
    <w:rsid w:val="00F847C3"/>
    <w:rsid w:val="00F848CB"/>
    <w:rsid w:val="00F84A52"/>
    <w:rsid w:val="00F84A6A"/>
    <w:rsid w:val="00F84C17"/>
    <w:rsid w:val="00F8599E"/>
    <w:rsid w:val="00F859F4"/>
    <w:rsid w:val="00F85A7B"/>
    <w:rsid w:val="00F8636C"/>
    <w:rsid w:val="00F86381"/>
    <w:rsid w:val="00F86666"/>
    <w:rsid w:val="00F8677C"/>
    <w:rsid w:val="00F86AFF"/>
    <w:rsid w:val="00F86C7C"/>
    <w:rsid w:val="00F86D7D"/>
    <w:rsid w:val="00F87543"/>
    <w:rsid w:val="00F87675"/>
    <w:rsid w:val="00F877BA"/>
    <w:rsid w:val="00F87831"/>
    <w:rsid w:val="00F8787D"/>
    <w:rsid w:val="00F87A3A"/>
    <w:rsid w:val="00F87FD4"/>
    <w:rsid w:val="00F90550"/>
    <w:rsid w:val="00F90664"/>
    <w:rsid w:val="00F9098E"/>
    <w:rsid w:val="00F91208"/>
    <w:rsid w:val="00F9228A"/>
    <w:rsid w:val="00F9245B"/>
    <w:rsid w:val="00F92E10"/>
    <w:rsid w:val="00F92F98"/>
    <w:rsid w:val="00F93332"/>
    <w:rsid w:val="00F93DBC"/>
    <w:rsid w:val="00F94605"/>
    <w:rsid w:val="00F94D7C"/>
    <w:rsid w:val="00F94E93"/>
    <w:rsid w:val="00F94FDF"/>
    <w:rsid w:val="00F95A2B"/>
    <w:rsid w:val="00F95B8A"/>
    <w:rsid w:val="00F9659F"/>
    <w:rsid w:val="00F96885"/>
    <w:rsid w:val="00F968EA"/>
    <w:rsid w:val="00F975F3"/>
    <w:rsid w:val="00F97C6F"/>
    <w:rsid w:val="00FA09D7"/>
    <w:rsid w:val="00FA0A8A"/>
    <w:rsid w:val="00FA2452"/>
    <w:rsid w:val="00FA27BA"/>
    <w:rsid w:val="00FA32FE"/>
    <w:rsid w:val="00FA356C"/>
    <w:rsid w:val="00FA3641"/>
    <w:rsid w:val="00FA43BC"/>
    <w:rsid w:val="00FA45A7"/>
    <w:rsid w:val="00FA4AFD"/>
    <w:rsid w:val="00FA5B12"/>
    <w:rsid w:val="00FA5D3E"/>
    <w:rsid w:val="00FA5E7C"/>
    <w:rsid w:val="00FA6474"/>
    <w:rsid w:val="00FA68D1"/>
    <w:rsid w:val="00FA6C83"/>
    <w:rsid w:val="00FA72C4"/>
    <w:rsid w:val="00FA77BF"/>
    <w:rsid w:val="00FA7A20"/>
    <w:rsid w:val="00FA7E74"/>
    <w:rsid w:val="00FB0265"/>
    <w:rsid w:val="00FB0B88"/>
    <w:rsid w:val="00FB0E1C"/>
    <w:rsid w:val="00FB10D4"/>
    <w:rsid w:val="00FB1771"/>
    <w:rsid w:val="00FB1CAD"/>
    <w:rsid w:val="00FB1E9A"/>
    <w:rsid w:val="00FB2435"/>
    <w:rsid w:val="00FB2859"/>
    <w:rsid w:val="00FB2D61"/>
    <w:rsid w:val="00FB34E5"/>
    <w:rsid w:val="00FB47DE"/>
    <w:rsid w:val="00FB4ADE"/>
    <w:rsid w:val="00FB4BC7"/>
    <w:rsid w:val="00FB50C6"/>
    <w:rsid w:val="00FB60A6"/>
    <w:rsid w:val="00FC0337"/>
    <w:rsid w:val="00FC0397"/>
    <w:rsid w:val="00FC0C43"/>
    <w:rsid w:val="00FC0D2F"/>
    <w:rsid w:val="00FC0EBE"/>
    <w:rsid w:val="00FC0FAF"/>
    <w:rsid w:val="00FC1212"/>
    <w:rsid w:val="00FC1752"/>
    <w:rsid w:val="00FC17DD"/>
    <w:rsid w:val="00FC18B3"/>
    <w:rsid w:val="00FC1CFF"/>
    <w:rsid w:val="00FC228E"/>
    <w:rsid w:val="00FC290F"/>
    <w:rsid w:val="00FC31FC"/>
    <w:rsid w:val="00FC3500"/>
    <w:rsid w:val="00FC3530"/>
    <w:rsid w:val="00FC368D"/>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0F0"/>
    <w:rsid w:val="00FD161E"/>
    <w:rsid w:val="00FD1D18"/>
    <w:rsid w:val="00FD239E"/>
    <w:rsid w:val="00FD2B91"/>
    <w:rsid w:val="00FD2FED"/>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6B7"/>
    <w:rsid w:val="00FE1C41"/>
    <w:rsid w:val="00FE1EEA"/>
    <w:rsid w:val="00FE2237"/>
    <w:rsid w:val="00FE2418"/>
    <w:rsid w:val="00FE2429"/>
    <w:rsid w:val="00FE2462"/>
    <w:rsid w:val="00FE27E3"/>
    <w:rsid w:val="00FE304B"/>
    <w:rsid w:val="00FE32D7"/>
    <w:rsid w:val="00FE3721"/>
    <w:rsid w:val="00FE37FA"/>
    <w:rsid w:val="00FE3AAA"/>
    <w:rsid w:val="00FE4473"/>
    <w:rsid w:val="00FE46E3"/>
    <w:rsid w:val="00FE4AA1"/>
    <w:rsid w:val="00FE528C"/>
    <w:rsid w:val="00FE5550"/>
    <w:rsid w:val="00FE57F5"/>
    <w:rsid w:val="00FE599E"/>
    <w:rsid w:val="00FE7570"/>
    <w:rsid w:val="00FE777A"/>
    <w:rsid w:val="00FF00BB"/>
    <w:rsid w:val="00FF024F"/>
    <w:rsid w:val="00FF12F5"/>
    <w:rsid w:val="00FF17BF"/>
    <w:rsid w:val="00FF193A"/>
    <w:rsid w:val="00FF1F1E"/>
    <w:rsid w:val="00FF22FB"/>
    <w:rsid w:val="00FF28BF"/>
    <w:rsid w:val="00FF2A0B"/>
    <w:rsid w:val="00FF2D24"/>
    <w:rsid w:val="00FF2EB2"/>
    <w:rsid w:val="00FF36FC"/>
    <w:rsid w:val="00FF3A63"/>
    <w:rsid w:val="00FF4028"/>
    <w:rsid w:val="00FF547C"/>
    <w:rsid w:val="00FF665C"/>
    <w:rsid w:val="00FF6B73"/>
    <w:rsid w:val="00FF6C37"/>
    <w:rsid w:val="00FF6D40"/>
    <w:rsid w:val="00FF72EC"/>
    <w:rsid w:val="00FF7823"/>
    <w:rsid w:val="00FF7EF8"/>
    <w:rsid w:val="01D86DDF"/>
    <w:rsid w:val="021E53C6"/>
    <w:rsid w:val="02E77B5B"/>
    <w:rsid w:val="02F050A0"/>
    <w:rsid w:val="02F649A7"/>
    <w:rsid w:val="0332376B"/>
    <w:rsid w:val="034E5101"/>
    <w:rsid w:val="036875BE"/>
    <w:rsid w:val="0394051C"/>
    <w:rsid w:val="04245B63"/>
    <w:rsid w:val="04304A25"/>
    <w:rsid w:val="045B02E2"/>
    <w:rsid w:val="045F5492"/>
    <w:rsid w:val="046119BE"/>
    <w:rsid w:val="04B151DA"/>
    <w:rsid w:val="04E969F8"/>
    <w:rsid w:val="05535EB4"/>
    <w:rsid w:val="05F10FF2"/>
    <w:rsid w:val="0677721E"/>
    <w:rsid w:val="06BC58E5"/>
    <w:rsid w:val="077923A8"/>
    <w:rsid w:val="078B276F"/>
    <w:rsid w:val="07A55D55"/>
    <w:rsid w:val="07D5271E"/>
    <w:rsid w:val="080B0DEB"/>
    <w:rsid w:val="085A4CB7"/>
    <w:rsid w:val="08F43FAA"/>
    <w:rsid w:val="09095E2C"/>
    <w:rsid w:val="09CA163A"/>
    <w:rsid w:val="09E92510"/>
    <w:rsid w:val="0A366EC0"/>
    <w:rsid w:val="0AF55BCD"/>
    <w:rsid w:val="0BF04DAB"/>
    <w:rsid w:val="0C4B3BFD"/>
    <w:rsid w:val="0C7B7234"/>
    <w:rsid w:val="0C9A091F"/>
    <w:rsid w:val="0CA91ECA"/>
    <w:rsid w:val="0D3B48BC"/>
    <w:rsid w:val="0D43526B"/>
    <w:rsid w:val="0EA576FB"/>
    <w:rsid w:val="0FB85909"/>
    <w:rsid w:val="104C6C51"/>
    <w:rsid w:val="10956BD1"/>
    <w:rsid w:val="10F45D16"/>
    <w:rsid w:val="11EB450C"/>
    <w:rsid w:val="11F517FE"/>
    <w:rsid w:val="121C0D71"/>
    <w:rsid w:val="125B2D22"/>
    <w:rsid w:val="134A7D3F"/>
    <w:rsid w:val="13CF628F"/>
    <w:rsid w:val="14540175"/>
    <w:rsid w:val="145C422A"/>
    <w:rsid w:val="14825F58"/>
    <w:rsid w:val="14EE366E"/>
    <w:rsid w:val="15274088"/>
    <w:rsid w:val="156813EF"/>
    <w:rsid w:val="15925F8F"/>
    <w:rsid w:val="15986C90"/>
    <w:rsid w:val="162309F7"/>
    <w:rsid w:val="16424C12"/>
    <w:rsid w:val="165276D8"/>
    <w:rsid w:val="16715DB0"/>
    <w:rsid w:val="16C71469"/>
    <w:rsid w:val="175042AD"/>
    <w:rsid w:val="181F1000"/>
    <w:rsid w:val="18482C69"/>
    <w:rsid w:val="18A67014"/>
    <w:rsid w:val="18DA2A4D"/>
    <w:rsid w:val="19B857AC"/>
    <w:rsid w:val="1A2B43DE"/>
    <w:rsid w:val="1A9C29B5"/>
    <w:rsid w:val="1B3E39FD"/>
    <w:rsid w:val="1B891B18"/>
    <w:rsid w:val="1BB2553B"/>
    <w:rsid w:val="1BFF1EE2"/>
    <w:rsid w:val="1C8D5259"/>
    <w:rsid w:val="1CC64075"/>
    <w:rsid w:val="1CF9545E"/>
    <w:rsid w:val="1D576658"/>
    <w:rsid w:val="1D8B5B16"/>
    <w:rsid w:val="1DA525CB"/>
    <w:rsid w:val="1DD8791A"/>
    <w:rsid w:val="1E0F5A91"/>
    <w:rsid w:val="1E2412CE"/>
    <w:rsid w:val="1EBD20AE"/>
    <w:rsid w:val="1F082DEE"/>
    <w:rsid w:val="1F545953"/>
    <w:rsid w:val="20610B06"/>
    <w:rsid w:val="206528CB"/>
    <w:rsid w:val="21076FA7"/>
    <w:rsid w:val="215E123D"/>
    <w:rsid w:val="217B0580"/>
    <w:rsid w:val="22570BB6"/>
    <w:rsid w:val="22E62557"/>
    <w:rsid w:val="23EF0915"/>
    <w:rsid w:val="23F058F5"/>
    <w:rsid w:val="248660ED"/>
    <w:rsid w:val="250A6BC2"/>
    <w:rsid w:val="250E2C21"/>
    <w:rsid w:val="252820ED"/>
    <w:rsid w:val="254D052E"/>
    <w:rsid w:val="25C75E4E"/>
    <w:rsid w:val="26023A0C"/>
    <w:rsid w:val="268534A3"/>
    <w:rsid w:val="26E55D3F"/>
    <w:rsid w:val="27526C4A"/>
    <w:rsid w:val="275D3323"/>
    <w:rsid w:val="27A110F5"/>
    <w:rsid w:val="288D2754"/>
    <w:rsid w:val="289D3D40"/>
    <w:rsid w:val="29BC11C6"/>
    <w:rsid w:val="2A1235B3"/>
    <w:rsid w:val="2A20227A"/>
    <w:rsid w:val="2AEC2F2F"/>
    <w:rsid w:val="2B0E46F6"/>
    <w:rsid w:val="2B2C2086"/>
    <w:rsid w:val="2B770F44"/>
    <w:rsid w:val="2C304704"/>
    <w:rsid w:val="2D377DB0"/>
    <w:rsid w:val="2D575242"/>
    <w:rsid w:val="2D7C0EB1"/>
    <w:rsid w:val="2DE269F9"/>
    <w:rsid w:val="2E4042A2"/>
    <w:rsid w:val="2E582AFD"/>
    <w:rsid w:val="2FAB4104"/>
    <w:rsid w:val="31633D23"/>
    <w:rsid w:val="3163445D"/>
    <w:rsid w:val="31D37123"/>
    <w:rsid w:val="321B7D98"/>
    <w:rsid w:val="3244555D"/>
    <w:rsid w:val="3249716B"/>
    <w:rsid w:val="32B56802"/>
    <w:rsid w:val="3334385A"/>
    <w:rsid w:val="333762E9"/>
    <w:rsid w:val="33891134"/>
    <w:rsid w:val="33EE6027"/>
    <w:rsid w:val="342C1DC5"/>
    <w:rsid w:val="35FC48CB"/>
    <w:rsid w:val="3657312C"/>
    <w:rsid w:val="366C1AD2"/>
    <w:rsid w:val="36731F17"/>
    <w:rsid w:val="36B13C49"/>
    <w:rsid w:val="379759BA"/>
    <w:rsid w:val="381E4219"/>
    <w:rsid w:val="38542DAD"/>
    <w:rsid w:val="386F3902"/>
    <w:rsid w:val="38F30156"/>
    <w:rsid w:val="392E62D5"/>
    <w:rsid w:val="394744BB"/>
    <w:rsid w:val="39BF3787"/>
    <w:rsid w:val="3A0D5641"/>
    <w:rsid w:val="3AB7312D"/>
    <w:rsid w:val="3AE970EB"/>
    <w:rsid w:val="3B872D29"/>
    <w:rsid w:val="3BB87B4D"/>
    <w:rsid w:val="3C2A4223"/>
    <w:rsid w:val="3C352AFB"/>
    <w:rsid w:val="3CE63FF6"/>
    <w:rsid w:val="3D056A03"/>
    <w:rsid w:val="3D29798B"/>
    <w:rsid w:val="3D9B1816"/>
    <w:rsid w:val="3F685714"/>
    <w:rsid w:val="409F73F5"/>
    <w:rsid w:val="40E22151"/>
    <w:rsid w:val="411A5733"/>
    <w:rsid w:val="41B77C47"/>
    <w:rsid w:val="41DE13C8"/>
    <w:rsid w:val="41E40FE0"/>
    <w:rsid w:val="43515AD6"/>
    <w:rsid w:val="437904AB"/>
    <w:rsid w:val="43AC0269"/>
    <w:rsid w:val="43CD5398"/>
    <w:rsid w:val="43EE20BF"/>
    <w:rsid w:val="446918EE"/>
    <w:rsid w:val="453A2285"/>
    <w:rsid w:val="45B37A9B"/>
    <w:rsid w:val="45CA6910"/>
    <w:rsid w:val="46F358D1"/>
    <w:rsid w:val="477B383C"/>
    <w:rsid w:val="482617EA"/>
    <w:rsid w:val="488E6DF3"/>
    <w:rsid w:val="48A10084"/>
    <w:rsid w:val="48ED44B2"/>
    <w:rsid w:val="49471428"/>
    <w:rsid w:val="49B24097"/>
    <w:rsid w:val="49BC28D4"/>
    <w:rsid w:val="4A3A490C"/>
    <w:rsid w:val="4AC5767E"/>
    <w:rsid w:val="4AC66FA7"/>
    <w:rsid w:val="4B22561D"/>
    <w:rsid w:val="4B484E2A"/>
    <w:rsid w:val="4B5E2E45"/>
    <w:rsid w:val="4B634CAC"/>
    <w:rsid w:val="4BC470FA"/>
    <w:rsid w:val="4C383661"/>
    <w:rsid w:val="4C4E70A1"/>
    <w:rsid w:val="4D081C4E"/>
    <w:rsid w:val="4D432FAB"/>
    <w:rsid w:val="4DAE3F2B"/>
    <w:rsid w:val="4E067A35"/>
    <w:rsid w:val="4E257A5F"/>
    <w:rsid w:val="4E9F7B11"/>
    <w:rsid w:val="4F021DC7"/>
    <w:rsid w:val="4F512648"/>
    <w:rsid w:val="4FBD7D5C"/>
    <w:rsid w:val="4FED5C43"/>
    <w:rsid w:val="50CE2A9D"/>
    <w:rsid w:val="50FD3857"/>
    <w:rsid w:val="51BF0246"/>
    <w:rsid w:val="51EE2E21"/>
    <w:rsid w:val="5259640F"/>
    <w:rsid w:val="525E6C60"/>
    <w:rsid w:val="526828D5"/>
    <w:rsid w:val="541F5FCA"/>
    <w:rsid w:val="54837AA4"/>
    <w:rsid w:val="54BB2B4E"/>
    <w:rsid w:val="54E926FB"/>
    <w:rsid w:val="551C7E54"/>
    <w:rsid w:val="55461679"/>
    <w:rsid w:val="558E1079"/>
    <w:rsid w:val="55924F5D"/>
    <w:rsid w:val="55DD1170"/>
    <w:rsid w:val="567B40FE"/>
    <w:rsid w:val="56BB1CCB"/>
    <w:rsid w:val="572841C2"/>
    <w:rsid w:val="573043B3"/>
    <w:rsid w:val="57414C5D"/>
    <w:rsid w:val="57D51175"/>
    <w:rsid w:val="590B2530"/>
    <w:rsid w:val="591566D5"/>
    <w:rsid w:val="59560005"/>
    <w:rsid w:val="597F015D"/>
    <w:rsid w:val="59842D5C"/>
    <w:rsid w:val="5A5C4F28"/>
    <w:rsid w:val="5A934FEE"/>
    <w:rsid w:val="5AAD28DB"/>
    <w:rsid w:val="5AC84D1D"/>
    <w:rsid w:val="5AEF2224"/>
    <w:rsid w:val="5B16187F"/>
    <w:rsid w:val="5B7951E4"/>
    <w:rsid w:val="5B7E57D9"/>
    <w:rsid w:val="5BCC1F66"/>
    <w:rsid w:val="5C9F4F0E"/>
    <w:rsid w:val="5D9869B0"/>
    <w:rsid w:val="5DB572B6"/>
    <w:rsid w:val="5DBB6AAB"/>
    <w:rsid w:val="5E1F471F"/>
    <w:rsid w:val="5E5B7C85"/>
    <w:rsid w:val="5EF52EEF"/>
    <w:rsid w:val="5F027872"/>
    <w:rsid w:val="5F1F564E"/>
    <w:rsid w:val="5F204839"/>
    <w:rsid w:val="5F753B62"/>
    <w:rsid w:val="5FC075BA"/>
    <w:rsid w:val="60B66FF7"/>
    <w:rsid w:val="60C21FE0"/>
    <w:rsid w:val="60E4081F"/>
    <w:rsid w:val="610546AC"/>
    <w:rsid w:val="6132047B"/>
    <w:rsid w:val="614855EE"/>
    <w:rsid w:val="61894FF8"/>
    <w:rsid w:val="61957957"/>
    <w:rsid w:val="61DE4E55"/>
    <w:rsid w:val="62265F0C"/>
    <w:rsid w:val="63027BFF"/>
    <w:rsid w:val="6398297D"/>
    <w:rsid w:val="641E1AC0"/>
    <w:rsid w:val="647D3C77"/>
    <w:rsid w:val="654A5121"/>
    <w:rsid w:val="666A2145"/>
    <w:rsid w:val="66BE4026"/>
    <w:rsid w:val="66C67B0F"/>
    <w:rsid w:val="66C7034E"/>
    <w:rsid w:val="670941D6"/>
    <w:rsid w:val="671433EA"/>
    <w:rsid w:val="672907D7"/>
    <w:rsid w:val="672E1109"/>
    <w:rsid w:val="677B0A07"/>
    <w:rsid w:val="6817082D"/>
    <w:rsid w:val="69081908"/>
    <w:rsid w:val="693833C3"/>
    <w:rsid w:val="694C3940"/>
    <w:rsid w:val="695B72D9"/>
    <w:rsid w:val="6A8D4BF3"/>
    <w:rsid w:val="6AA621F3"/>
    <w:rsid w:val="6B8642A5"/>
    <w:rsid w:val="6B9B239F"/>
    <w:rsid w:val="6C1F04FC"/>
    <w:rsid w:val="6CB91F73"/>
    <w:rsid w:val="6CBB1313"/>
    <w:rsid w:val="6CC547A3"/>
    <w:rsid w:val="6CE2495B"/>
    <w:rsid w:val="6CFD3BD8"/>
    <w:rsid w:val="6D011A5C"/>
    <w:rsid w:val="6D1B14B7"/>
    <w:rsid w:val="6D2F68DD"/>
    <w:rsid w:val="6DF9039D"/>
    <w:rsid w:val="6E3E4F73"/>
    <w:rsid w:val="6EEB432C"/>
    <w:rsid w:val="6F062DAF"/>
    <w:rsid w:val="6F46189E"/>
    <w:rsid w:val="702E45E1"/>
    <w:rsid w:val="70336344"/>
    <w:rsid w:val="712653DD"/>
    <w:rsid w:val="719D62C8"/>
    <w:rsid w:val="7230428C"/>
    <w:rsid w:val="7289591C"/>
    <w:rsid w:val="73067DFB"/>
    <w:rsid w:val="73095045"/>
    <w:rsid w:val="73174B80"/>
    <w:rsid w:val="73B3224A"/>
    <w:rsid w:val="73BB38A0"/>
    <w:rsid w:val="73D21E02"/>
    <w:rsid w:val="73D87A8D"/>
    <w:rsid w:val="73E5342E"/>
    <w:rsid w:val="743B5C12"/>
    <w:rsid w:val="74E401B5"/>
    <w:rsid w:val="75605532"/>
    <w:rsid w:val="759430FD"/>
    <w:rsid w:val="75945D39"/>
    <w:rsid w:val="75C37651"/>
    <w:rsid w:val="760D67F3"/>
    <w:rsid w:val="776311EF"/>
    <w:rsid w:val="776D5F1B"/>
    <w:rsid w:val="778704BE"/>
    <w:rsid w:val="779D7D11"/>
    <w:rsid w:val="77B1641D"/>
    <w:rsid w:val="78171EE2"/>
    <w:rsid w:val="7819687A"/>
    <w:rsid w:val="7845393E"/>
    <w:rsid w:val="78815D46"/>
    <w:rsid w:val="789B24E3"/>
    <w:rsid w:val="79284A51"/>
    <w:rsid w:val="79612168"/>
    <w:rsid w:val="79B319E6"/>
    <w:rsid w:val="7A4A67F9"/>
    <w:rsid w:val="7A635B82"/>
    <w:rsid w:val="7ACD1322"/>
    <w:rsid w:val="7AD70183"/>
    <w:rsid w:val="7AF272FC"/>
    <w:rsid w:val="7AF43BFB"/>
    <w:rsid w:val="7B6F4FCF"/>
    <w:rsid w:val="7C1D4C9E"/>
    <w:rsid w:val="7D0A7E5C"/>
    <w:rsid w:val="7D485F43"/>
    <w:rsid w:val="7D5A4753"/>
    <w:rsid w:val="7E483E67"/>
    <w:rsid w:val="7E7E2DF8"/>
    <w:rsid w:val="7EB84ADB"/>
    <w:rsid w:val="7EE71A61"/>
    <w:rsid w:val="7F951D06"/>
    <w:rsid w:val="7F967B2D"/>
    <w:rsid w:val="7FD24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328"/>
    <w:qFormat/>
    <w:uiPriority w:val="99"/>
    <w:pPr>
      <w:tabs>
        <w:tab w:val="right" w:leader="dot" w:pos="9061"/>
      </w:tabs>
      <w:jc w:val="center"/>
      <w:outlineLvl w:val="0"/>
    </w:pPr>
    <w:rPr>
      <w:b/>
      <w:sz w:val="36"/>
    </w:rPr>
  </w:style>
  <w:style w:type="paragraph" w:styleId="4">
    <w:name w:val="heading 2"/>
    <w:basedOn w:val="1"/>
    <w:next w:val="1"/>
    <w:link w:val="284"/>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72"/>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294"/>
    <w:qFormat/>
    <w:uiPriority w:val="9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27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290"/>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276"/>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326"/>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312"/>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330"/>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303"/>
    <w:semiHidden/>
    <w:qFormat/>
    <w:uiPriority w:val="99"/>
    <w:pPr>
      <w:spacing w:after="200" w:line="276" w:lineRule="auto"/>
      <w:jc w:val="left"/>
    </w:pPr>
    <w:rPr>
      <w:kern w:val="0"/>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270"/>
    <w:qFormat/>
    <w:uiPriority w:val="99"/>
    <w:pPr>
      <w:ind w:firstLine="420" w:firstLineChars="200"/>
    </w:pPr>
    <w:rPr>
      <w:kern w:val="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315"/>
    <w:qFormat/>
    <w:uiPriority w:val="0"/>
    <w:pPr>
      <w:shd w:val="clear" w:color="auto" w:fill="000080"/>
    </w:pPr>
    <w:rPr>
      <w:kern w:val="0"/>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92"/>
    <w:qFormat/>
    <w:uiPriority w:val="99"/>
    <w:pPr>
      <w:spacing w:after="200" w:line="276" w:lineRule="auto"/>
      <w:jc w:val="left"/>
    </w:pPr>
    <w:rPr>
      <w:kern w:val="0"/>
    </w:rPr>
  </w:style>
  <w:style w:type="paragraph" w:styleId="27">
    <w:name w:val="Salutation"/>
    <w:basedOn w:val="1"/>
    <w:next w:val="1"/>
    <w:link w:val="258"/>
    <w:qFormat/>
    <w:uiPriority w:val="99"/>
    <w:pPr>
      <w:spacing w:after="200" w:line="276" w:lineRule="auto"/>
      <w:jc w:val="left"/>
    </w:pPr>
    <w:rPr>
      <w:kern w:val="0"/>
    </w:rPr>
  </w:style>
  <w:style w:type="paragraph" w:styleId="28">
    <w:name w:val="Body Text 3"/>
    <w:basedOn w:val="1"/>
    <w:link w:val="310"/>
    <w:qFormat/>
    <w:uiPriority w:val="99"/>
    <w:rPr>
      <w:kern w:val="0"/>
      <w:sz w:val="16"/>
      <w:szCs w:val="16"/>
    </w:rPr>
  </w:style>
  <w:style w:type="paragraph" w:styleId="29">
    <w:name w:val="Closing"/>
    <w:basedOn w:val="1"/>
    <w:link w:val="329"/>
    <w:semiHidden/>
    <w:qFormat/>
    <w:uiPriority w:val="99"/>
    <w:pPr>
      <w:spacing w:after="200" w:line="276" w:lineRule="auto"/>
      <w:ind w:left="100" w:leftChars="2100"/>
      <w:jc w:val="left"/>
    </w:pPr>
    <w:rPr>
      <w:kern w:val="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link w:val="277"/>
    <w:qFormat/>
    <w:uiPriority w:val="99"/>
    <w:pPr>
      <w:spacing w:after="120"/>
    </w:pPr>
    <w:rPr>
      <w:kern w:val="0"/>
    </w:rPr>
  </w:style>
  <w:style w:type="paragraph" w:styleId="32">
    <w:name w:val="Body Text Indent"/>
    <w:basedOn w:val="1"/>
    <w:link w:val="313"/>
    <w:qFormat/>
    <w:uiPriority w:val="0"/>
    <w:pPr>
      <w:spacing w:line="500" w:lineRule="exact"/>
      <w:ind w:left="1588" w:leftChars="832" w:firstLine="433" w:firstLineChars="196"/>
    </w:pPr>
    <w:rPr>
      <w:kern w:val="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7">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8">
    <w:name w:val="HTML Address"/>
    <w:basedOn w:val="1"/>
    <w:link w:val="317"/>
    <w:semiHidden/>
    <w:qFormat/>
    <w:uiPriority w:val="99"/>
    <w:pPr>
      <w:spacing w:after="200" w:line="276" w:lineRule="auto"/>
      <w:jc w:val="left"/>
    </w:pPr>
    <w:rPr>
      <w:i/>
      <w:iCs/>
      <w:kern w:val="0"/>
    </w:rPr>
  </w:style>
  <w:style w:type="paragraph" w:styleId="39">
    <w:name w:val="toc 5"/>
    <w:basedOn w:val="1"/>
    <w:next w:val="1"/>
    <w:qFormat/>
    <w:uiPriority w:val="0"/>
    <w:pPr>
      <w:ind w:left="840"/>
      <w:jc w:val="left"/>
    </w:pPr>
    <w:rPr>
      <w:sz w:val="18"/>
      <w:szCs w:val="18"/>
    </w:rPr>
  </w:style>
  <w:style w:type="paragraph" w:styleId="40">
    <w:name w:val="Plain Text"/>
    <w:basedOn w:val="1"/>
    <w:link w:val="306"/>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1"/>
      </w:numPr>
      <w:tabs>
        <w:tab w:val="left" w:pos="420"/>
        <w:tab w:val="clear" w:pos="360"/>
      </w:tabs>
      <w:spacing w:after="200" w:line="276" w:lineRule="auto"/>
      <w:ind w:left="420" w:hanging="420"/>
      <w:jc w:val="left"/>
    </w:pPr>
    <w:rPr>
      <w:rFonts w:ascii="Calibri" w:hAnsi="Calibri" w:cs="Calibri"/>
      <w:kern w:val="0"/>
      <w:sz w:val="22"/>
      <w:szCs w:val="22"/>
      <w:lang w:eastAsia="en-US"/>
    </w:rPr>
  </w:style>
  <w:style w:type="paragraph" w:styleId="43">
    <w:name w:val="toc 8"/>
    <w:basedOn w:val="1"/>
    <w:next w:val="1"/>
    <w:qFormat/>
    <w:uiPriority w:val="0"/>
    <w:pPr>
      <w:ind w:left="1470"/>
      <w:jc w:val="left"/>
    </w:pPr>
    <w:rPr>
      <w:sz w:val="18"/>
      <w:szCs w:val="18"/>
    </w:rPr>
  </w:style>
  <w:style w:type="paragraph" w:styleId="44">
    <w:name w:val="Date"/>
    <w:basedOn w:val="1"/>
    <w:next w:val="1"/>
    <w:link w:val="293"/>
    <w:qFormat/>
    <w:uiPriority w:val="0"/>
    <w:pPr>
      <w:ind w:left="100" w:leftChars="2500"/>
    </w:pPr>
    <w:rPr>
      <w:kern w:val="0"/>
    </w:rPr>
  </w:style>
  <w:style w:type="paragraph" w:styleId="45">
    <w:name w:val="Body Text Indent 2"/>
    <w:basedOn w:val="1"/>
    <w:link w:val="300"/>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295"/>
    <w:qFormat/>
    <w:uiPriority w:val="99"/>
    <w:rPr>
      <w:sz w:val="18"/>
      <w:szCs w:val="18"/>
    </w:rPr>
  </w:style>
  <w:style w:type="paragraph" w:styleId="48">
    <w:name w:val="footer"/>
    <w:basedOn w:val="1"/>
    <w:link w:val="325"/>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309"/>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324"/>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0"/>
    <w:pPr>
      <w:ind w:left="630"/>
      <w:jc w:val="left"/>
    </w:pPr>
    <w:rPr>
      <w:sz w:val="18"/>
      <w:szCs w:val="18"/>
    </w:rPr>
  </w:style>
  <w:style w:type="paragraph" w:styleId="55">
    <w:name w:val="Subtitle"/>
    <w:basedOn w:val="1"/>
    <w:link w:val="298"/>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0"/>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263"/>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0"/>
    <w:pPr>
      <w:ind w:left="1680"/>
      <w:jc w:val="left"/>
    </w:pPr>
    <w:rPr>
      <w:sz w:val="18"/>
      <w:szCs w:val="18"/>
    </w:rPr>
  </w:style>
  <w:style w:type="paragraph" w:styleId="64">
    <w:name w:val="Body Text 2"/>
    <w:basedOn w:val="1"/>
    <w:link w:val="302"/>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322"/>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285"/>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next w:val="1"/>
    <w:link w:val="304"/>
    <w:qFormat/>
    <w:uiPriority w:val="0"/>
    <w:pPr>
      <w:spacing w:before="240" w:after="60" w:line="276" w:lineRule="auto"/>
      <w:jc w:val="center"/>
      <w:outlineLvl w:val="0"/>
    </w:pPr>
    <w:rPr>
      <w:rFonts w:ascii="Cambria" w:hAnsi="Cambria"/>
      <w:b/>
      <w:bCs/>
      <w:kern w:val="0"/>
      <w:sz w:val="32"/>
      <w:szCs w:val="32"/>
    </w:rPr>
  </w:style>
  <w:style w:type="paragraph" w:styleId="73">
    <w:name w:val="annotation subject"/>
    <w:basedOn w:val="26"/>
    <w:next w:val="26"/>
    <w:link w:val="269"/>
    <w:semiHidden/>
    <w:qFormat/>
    <w:uiPriority w:val="99"/>
    <w:pPr>
      <w:spacing w:after="0" w:line="240" w:lineRule="auto"/>
    </w:pPr>
    <w:rPr>
      <w:rFonts w:ascii="Calibri" w:hAnsi="Calibri"/>
      <w:b/>
      <w:bCs/>
      <w:lang w:eastAsia="en-US"/>
    </w:rPr>
  </w:style>
  <w:style w:type="paragraph" w:styleId="74">
    <w:name w:val="Body Text First Indent"/>
    <w:basedOn w:val="31"/>
    <w:link w:val="283"/>
    <w:qFormat/>
    <w:uiPriority w:val="99"/>
    <w:pPr>
      <w:spacing w:line="400" w:lineRule="exact"/>
      <w:ind w:firstLine="200" w:firstLineChars="200"/>
    </w:pPr>
  </w:style>
  <w:style w:type="paragraph" w:styleId="75">
    <w:name w:val="Body Text First Indent 2"/>
    <w:basedOn w:val="32"/>
    <w:link w:val="26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微软雅黑"/>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微软雅黑"/>
        <w:b/>
        <w:bCs/>
        <w:i/>
        <w:iCs/>
      </w:rPr>
      <w:tblPr/>
      <w:tcPr>
        <w:tcBorders>
          <w:top w:val="nil"/>
          <w:left w:val="nil"/>
          <w:bottom w:val="nil"/>
          <w:right w:val="nil"/>
          <w:insideH w:val="nil"/>
          <w:insideV w:val="nil"/>
          <w:tl2br w:val="nil"/>
          <w:tr2bl w:val="nil"/>
        </w:tcBorders>
        <w:shd w:val="solid" w:color="000080" w:fill="FFFFFF"/>
      </w:tcPr>
    </w:tblStylePr>
    <w:tblStylePr w:type="nwCell">
      <w:rPr>
        <w:rFonts w:cs="微软雅黑"/>
      </w:rPr>
      <w:tblPr/>
      <w:tcPr>
        <w:tcBorders>
          <w:top w:val="nil"/>
          <w:left w:val="nil"/>
          <w:bottom w:val="nil"/>
          <w:right w:val="nil"/>
          <w:insideH w:val="nil"/>
          <w:insideV w:val="nil"/>
          <w:tl2br w:val="nil"/>
          <w:tr2bl w:val="nil"/>
        </w:tcBorders>
        <w:shd w:val="solid" w:color="00000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cs="Calibri"/>
    </w:rPr>
    <w:tblPr>
      <w:tblBorders>
        <w:bottom w:val="single" w:color="000000" w:sz="12" w:space="0"/>
      </w:tblBorders>
    </w:tblPr>
    <w:tcPr>
      <w:shd w:val="pct20" w:color="FFFF00" w:fill="FFFFFF"/>
    </w:tcPr>
    <w:tblStylePr w:type="firstRow">
      <w:rPr>
        <w:rFonts w:cs="微软雅黑"/>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微软雅黑"/>
        <w:b/>
        <w:bCs/>
        <w:i/>
        <w:iCs/>
      </w:rPr>
      <w:tblPr/>
      <w:tcPr>
        <w:tcBorders>
          <w:top w:val="nil"/>
          <w:left w:val="nil"/>
          <w:bottom w:val="nil"/>
          <w:right w:val="nil"/>
          <w:insideH w:val="nil"/>
          <w:insideV w:val="nil"/>
          <w:tl2br w:val="nil"/>
          <w:tr2bl w:val="nil"/>
        </w:tcBorders>
      </w:tcPr>
    </w:tblStylePr>
    <w:tblStylePr w:type="lastCol">
      <w:rPr>
        <w:rFonts w:cs="微软雅黑"/>
      </w:rPr>
      <w:tblPr/>
      <w:tcPr>
        <w:tcBorders>
          <w:top w:val="nil"/>
          <w:left w:val="nil"/>
          <w:bottom w:val="nil"/>
          <w:right w:val="nil"/>
          <w:insideH w:val="nil"/>
          <w:insideV w:val="nil"/>
          <w:tl2br w:val="nil"/>
          <w:tr2bl w:val="nil"/>
        </w:tcBorders>
        <w:shd w:val="solid" w:color="C0C0C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微软雅黑"/>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微软雅黑"/>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微软雅黑"/>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cs="Calibri"/>
    </w:rPr>
    <w:tblPr>
      <w:tblBorders>
        <w:top w:val="single" w:color="000000" w:sz="12" w:space="0"/>
        <w:bottom w:val="single" w:color="000000" w:sz="12" w:space="0"/>
      </w:tblBorders>
    </w:tblPr>
    <w:tblStylePr w:type="firstRow">
      <w:rPr>
        <w:rFonts w:cs="微软雅黑"/>
        <w:i/>
        <w:i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6" w:space="0"/>
          <w:insideH w:val="nil"/>
          <w:insideV w:val="nil"/>
          <w:tl2br w:val="nil"/>
          <w:tr2bl w:val="nil"/>
        </w:tcBorders>
      </w:tcPr>
    </w:tblStylePr>
    <w:tblStylePr w:type="neCell">
      <w:rPr>
        <w:rFonts w:cs="微软雅黑"/>
        <w:b/>
        <w:bCs/>
        <w:i w:val="0"/>
        <w:iCs w:val="0"/>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cs="Calibri"/>
    </w:rPr>
    <w:tblPr>
      <w:tblBorders>
        <w:top w:val="single" w:color="000000" w:sz="12" w:space="0"/>
        <w:bottom w:val="single" w:color="000000" w:sz="12" w:space="0"/>
      </w:tblBorders>
    </w:tblPr>
    <w:tblStylePr w:type="firstRow">
      <w:rPr>
        <w:rFonts w:cs="微软雅黑"/>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shd w:val="solid" w:color="C0C0C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shd w:val="solid" w:color="800080" w:fill="FFFFFF"/>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微软雅黑"/>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微软雅黑"/>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cs="Calibri"/>
    </w:rPr>
    <w:tblPr>
      <w:tblBorders>
        <w:top w:val="single" w:color="000000" w:sz="12" w:space="0"/>
        <w:left w:val="single" w:color="000000" w:sz="6" w:space="0"/>
        <w:bottom w:val="single" w:color="000000" w:sz="12" w:space="0"/>
        <w:right w:val="single" w:color="000000" w:sz="6" w:space="0"/>
      </w:tblBorders>
    </w:tbl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微软雅黑"/>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b/>
        <w:bCs/>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cs="Calibri"/>
    </w:rPr>
    <w:tblPr>
      <w:tblBorders>
        <w:top w:val="single" w:color="008000" w:sz="12" w:space="0"/>
        <w:bottom w:val="single" w:color="008000" w:sz="12" w:space="0"/>
      </w:tblBorders>
    </w:tblPr>
    <w:tblStylePr w:type="firstRow">
      <w:rPr>
        <w:rFonts w:cs="微软雅黑"/>
      </w:rPr>
      <w:tblPr/>
      <w:tcPr>
        <w:tcBorders>
          <w:top w:val="nil"/>
          <w:left w:val="nil"/>
          <w:bottom w:val="single" w:color="008000" w:sz="6" w:space="0"/>
          <w:right w:val="nil"/>
          <w:insideH w:val="nil"/>
          <w:insideV w:val="nil"/>
          <w:tl2br w:val="nil"/>
          <w:tr2bl w:val="nil"/>
        </w:tcBorders>
      </w:tcPr>
    </w:tblStylePr>
    <w:tblStylePr w:type="lastRow">
      <w:rPr>
        <w:rFonts w:cs="微软雅黑"/>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cs="Calibri"/>
    </w:rPr>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lastCol">
      <w:rPr>
        <w:rFonts w:cs="微软雅黑"/>
        <w:b/>
        <w:bCs/>
      </w:rPr>
      <w:tblPr/>
      <w:tcPr>
        <w:tcBorders>
          <w:top w:val="nil"/>
          <w:left w:val="single" w:color="000000" w:sz="6" w:space="0"/>
          <w:bottom w:val="nil"/>
          <w:right w:val="nil"/>
          <w:insideH w:val="nil"/>
          <w:insideV w:val="nil"/>
          <w:tl2br w:val="nil"/>
          <w:tr2bl w:val="nil"/>
        </w:tcBorders>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cs="Calibri"/>
    </w:rPr>
    <w:tblPr>
      <w:tblStyleRowBandSize w:val="1"/>
    </w:tblPr>
    <w:tblStylePr w:type="firstRow">
      <w:rPr>
        <w:rFonts w:cs="微软雅黑"/>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微软雅黑"/>
      </w:rPr>
      <w:tblPr/>
      <w:tcPr>
        <w:tcBorders>
          <w:top w:val="nil"/>
          <w:left w:val="nil"/>
          <w:bottom w:val="nil"/>
          <w:right w:val="single" w:color="000000" w:sz="12" w:space="0"/>
          <w:insideH w:val="nil"/>
          <w:insideV w:val="nil"/>
          <w:tl2br w:val="nil"/>
          <w:tr2bl w:val="nil"/>
        </w:tcBorders>
      </w:tcPr>
    </w:tblStylePr>
    <w:tblStylePr w:type="lastCol">
      <w:rPr>
        <w:rFonts w:cs="微软雅黑"/>
      </w:rPr>
      <w:tblPr/>
      <w:tcPr>
        <w:tcBorders>
          <w:top w:val="nil"/>
          <w:left w:val="single" w:color="000000" w:sz="12" w:space="0"/>
          <w:bottom w:val="nil"/>
          <w:right w:val="nil"/>
          <w:insideH w:val="nil"/>
          <w:insideV w:val="nil"/>
          <w:tl2br w:val="nil"/>
          <w:tr2bl w:val="nil"/>
        </w:tcBorders>
      </w:tcPr>
    </w:tblStylePr>
    <w:tblStylePr w:type="band1Horz">
      <w:rPr>
        <w:rFonts w:cs="微软雅黑"/>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cs="Calibri"/>
    </w:rPr>
    <w:tblPr>
      <w:tblBorders>
        <w:left w:val="single" w:color="000000" w:sz="6" w:space="0"/>
        <w:right w:val="single" w:color="000000" w:sz="6" w:space="0"/>
      </w:tblBorders>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微软雅黑"/>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cs="Calibri"/>
    </w:rPr>
    <w:tblPr/>
    <w:tcPr>
      <w:shd w:val="solid" w:color="C0C0C0" w:fill="FFFFFF"/>
    </w:tcPr>
    <w:tblStylePr w:type="firstRow">
      <w:rPr>
        <w:rFonts w:cs="微软雅黑"/>
        <w:b/>
        <w:bCs/>
        <w:color w:val="800080"/>
      </w:rPr>
      <w:tblPr/>
      <w:tcPr>
        <w:tcBorders>
          <w:top w:val="nil"/>
          <w:left w:val="nil"/>
          <w:bottom w:val="single" w:color="808080" w:sz="6" w:space="0"/>
          <w:right w:val="nil"/>
          <w:insideH w:val="nil"/>
          <w:insideV w:val="nil"/>
          <w:tl2br w:val="nil"/>
          <w:tr2bl w:val="nil"/>
        </w:tcBorders>
      </w:tcPr>
    </w:tblStylePr>
    <w:tblStylePr w:type="lastRow">
      <w:rPr>
        <w:rFonts w:cs="微软雅黑"/>
      </w:rPr>
      <w:tblPr/>
      <w:tcPr>
        <w:tcBorders>
          <w:top w:val="single" w:color="FFFFFF"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single" w:color="FFFFFF" w:sz="6" w:space="0"/>
          <w:bottom w:val="nil"/>
          <w:right w:val="nil"/>
          <w:insideH w:val="nil"/>
          <w:insideV w:val="nil"/>
          <w:tl2br w:val="nil"/>
          <w:tr2bl w:val="nil"/>
        </w:tcBorders>
      </w:tcPr>
    </w:tblStylePr>
    <w:tblStylePr w:type="neCell">
      <w:rPr>
        <w:rFonts w:cs="微软雅黑"/>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tcPr>
    </w:tblStylePr>
    <w:tblStylePr w:type="seCell">
      <w:rPr>
        <w:rFonts w:cs="微软雅黑"/>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cs="Calibri"/>
    </w:rPr>
    <w:tblPr>
      <w:tblStyleRowBandSize w:val="1"/>
    </w:tblPr>
    <w:tcPr>
      <w:shd w:val="solid" w:color="C0C0C0" w:fill="FFFFFF"/>
    </w:tc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cs="Calibri"/>
    </w:rPr>
    <w:tblPr>
      <w:tblStyleRowBandSize w:val="1"/>
      <w:tblStyleColBandSize w:val="1"/>
    </w:tbl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50" w:color="C0C0C0" w:fill="FFFFFF"/>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cs="Calibri"/>
    </w:rPr>
    <w:tblPr>
      <w:tblBorders>
        <w:top w:val="single" w:color="008080" w:sz="12" w:space="0"/>
        <w:left w:val="single" w:color="008080" w:sz="6" w:space="0"/>
        <w:bottom w:val="single" w:color="008080" w:sz="12" w:space="0"/>
        <w:right w:val="single" w:color="008080" w:sz="6" w:space="0"/>
      </w:tblBorders>
    </w:tblPr>
    <w:tblStylePr w:type="firstRow">
      <w:rPr>
        <w:rFonts w:cs="微软雅黑"/>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cs="Calibri"/>
    </w:rPr>
    <w:tblPr>
      <w:tblBorders>
        <w:bottom w:val="single" w:color="808080" w:sz="12" w:space="0"/>
      </w:tblBorders>
    </w:tblPr>
    <w:tblStylePr w:type="firstRow">
      <w:rPr>
        <w:rFonts w:cs="微软雅黑"/>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cs="Calibri"/>
    </w:rPr>
    <w:tblPr>
      <w:tblBorders>
        <w:top w:val="single" w:color="000000" w:sz="12" w:space="0"/>
        <w:bottom w:val="single" w:color="000000" w:sz="12" w:space="0"/>
        <w:insideH w:val="single" w:color="000000" w:sz="6" w:space="0"/>
      </w:tblBorders>
    </w:tblPr>
    <w:tblStylePr w:type="firstRow">
      <w:rPr>
        <w:rFonts w:cs="微软雅黑"/>
        <w:b/>
        <w:bCs/>
        <w:color w:val="000080"/>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swCell">
      <w:rPr>
        <w:rFonts w:cs="微软雅黑"/>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微软雅黑"/>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band1Horz">
      <w:rPr>
        <w:rFonts w:cs="微软雅黑"/>
      </w:rPr>
      <w:tblPr/>
      <w:tcPr>
        <w:tcBorders>
          <w:top w:val="nil"/>
          <w:left w:val="nil"/>
          <w:bottom w:val="nil"/>
          <w:right w:val="nil"/>
          <w:insideH w:val="nil"/>
          <w:insideV w:val="nil"/>
          <w:tl2br w:val="nil"/>
          <w:tr2bl w:val="nil"/>
        </w:tcBorders>
        <w:shd w:val="pct25" w:color="000000" w:fill="FFFFFF"/>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微软雅黑"/>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微软雅黑"/>
        <w:b/>
        <w:bCs/>
      </w:rPr>
      <w:tblPr/>
      <w:tcPr>
        <w:tcBorders>
          <w:top w:val="single" w:color="008000" w:sz="12"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微软雅黑"/>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微软雅黑"/>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微软雅黑"/>
      </w:rPr>
      <w:tblPr/>
      <w:tcPr>
        <w:tcBorders>
          <w:top w:val="nil"/>
          <w:left w:val="nil"/>
          <w:bottom w:val="nil"/>
          <w:right w:val="nil"/>
          <w:insideH w:val="nil"/>
          <w:insideV w:val="nil"/>
          <w:tl2br w:val="nil"/>
          <w:tr2bl w:val="nil"/>
        </w:tcBorders>
        <w:shd w:val="pct50" w:color="FF0000" w:fill="FFFFFF"/>
      </w:tcPr>
    </w:tblStylePr>
    <w:tblStylePr w:type="nwCell">
      <w:rPr>
        <w:rFonts w:cs="微软雅黑"/>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cs="Calibri"/>
    </w:rPr>
    <w:tblPr>
      <w:tblBorders>
        <w:insideH w:val="single" w:color="FFFFFF" w:sz="18" w:space="0"/>
        <w:insideV w:val="single" w:color="FFFFFF" w:sz="18" w:space="0"/>
      </w:tblBorders>
    </w:tblPr>
    <w:tblStylePr w:type="firstRow">
      <w:rPr>
        <w:rFonts w:cs="微软雅黑"/>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微软雅黑"/>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微软雅黑"/>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微软雅黑"/>
        <w:b w:val="0"/>
        <w:bCs w:val="0"/>
      </w:rPr>
      <w:tblPr/>
      <w:tcPr>
        <w:tcBorders>
          <w:top w:val="nil"/>
          <w:left w:val="nil"/>
          <w:bottom w:val="double" w:color="000000" w:sz="6" w:space="0"/>
          <w:right w:val="nil"/>
          <w:insideH w:val="nil"/>
          <w:insideV w:val="nil"/>
          <w:tl2br w:val="nil"/>
          <w:tr2bl w:val="nil"/>
        </w:tcBorders>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25" w:color="000000" w:fill="FFFFFF"/>
      </w:tcPr>
    </w:tblStylePr>
    <w:tblStylePr w:type="band2Vert">
      <w:rPr>
        <w:rFonts w:cs="微软雅黑"/>
        <w:color w:val="auto"/>
      </w:rPr>
      <w:tblPr/>
      <w:tcPr>
        <w:shd w:val="pct25" w:color="FF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cs="Calibri"/>
      <w:b/>
      <w:bCs/>
    </w:rPr>
    <w:tblPr>
      <w:tblStyleColBandSize w:val="1"/>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color w:val="00000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30" w:color="000000" w:fill="FFFFFF"/>
      </w:tcPr>
    </w:tblStylePr>
    <w:tblStylePr w:type="band2Vert">
      <w:rPr>
        <w:rFonts w:cs="微软雅黑"/>
        <w:color w:val="auto"/>
      </w:rPr>
      <w:tblPr/>
      <w:tcPr>
        <w:shd w:val="pct25" w:color="00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single" w:color="00008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10" w:color="000000" w:fill="FFFFFF"/>
      </w:tcPr>
    </w:tblStylePr>
    <w:tblStylePr w:type="neCell">
      <w:rPr>
        <w:rFonts w:cs="微软雅黑"/>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cs="Calibri"/>
    </w:rPr>
    <w:tblPr>
      <w:tblStyleColBandSize w:val="1"/>
    </w:tblPr>
    <w:tblStylePr w:type="firstRow">
      <w:rPr>
        <w:rFonts w:cs="微软雅黑"/>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50" w:color="008080" w:fill="FFFFFF"/>
      </w:tcPr>
    </w:tblStylePr>
    <w:tblStylePr w:type="band2Vert">
      <w:rPr>
        <w:rFonts w:cs="微软雅黑"/>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微软雅黑"/>
        <w:b/>
        <w:bCs/>
        <w:i/>
        <w:iCs/>
      </w:rPr>
      <w:tblPr/>
      <w:tcPr>
        <w:tcBorders>
          <w:top w:val="nil"/>
          <w:left w:val="nil"/>
          <w:bottom w:val="single" w:color="808080" w:sz="6" w:space="0"/>
          <w:right w:val="nil"/>
          <w:insideH w:val="nil"/>
          <w:insideV w:val="nil"/>
          <w:tl2br w:val="nil"/>
          <w:tr2bl w:val="nil"/>
        </w:tcBorders>
      </w:tcPr>
    </w:tblStylePr>
    <w:tblStylePr w:type="lastRow">
      <w:rPr>
        <w:rFonts w:cs="微软雅黑"/>
        <w:b/>
        <w:bCs/>
      </w:rPr>
      <w:tblPr/>
      <w:tcPr>
        <w:tcBorders>
          <w:top w:val="single" w:color="80808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StylePr>
  </w:style>
  <w:style w:type="table" w:styleId="109">
    <w:name w:val="Table Grid 1"/>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微软雅黑"/>
        <w:i/>
        <w:iCs/>
      </w:rPr>
      <w:tblPr/>
      <w:tcPr>
        <w:tcBorders>
          <w:top w:val="nil"/>
          <w:left w:val="nil"/>
          <w:bottom w:val="nil"/>
          <w:right w:val="nil"/>
          <w:insideH w:val="nil"/>
          <w:insideV w:val="nil"/>
          <w:tl2br w:val="nil"/>
          <w:tr2bl w:val="nil"/>
        </w:tcBorders>
      </w:tcPr>
    </w:tblStylePr>
    <w:tblStylePr w:type="lastCol">
      <w:rPr>
        <w:rFonts w:cs="微软雅黑"/>
        <w:i/>
        <w:i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cs="Calibri"/>
    </w:rPr>
    <w:tblPr>
      <w:tblBorders>
        <w:insideH w:val="single" w:color="000000" w:sz="6" w:space="0"/>
        <w:insideV w:val="single" w:color="000000" w:sz="6" w:space="0"/>
      </w:tblBorders>
    </w:tblPr>
    <w:tblStylePr w:type="firstRow">
      <w:rPr>
        <w:rFonts w:cs="微软雅黑"/>
        <w:b/>
        <w:bCs/>
      </w:rPr>
      <w:tblPr/>
      <w:tcPr>
        <w:tcBorders>
          <w:top w:val="nil"/>
          <w:left w:val="nil"/>
          <w:bottom w:val="nil"/>
          <w:right w:val="nil"/>
          <w:insideH w:val="nil"/>
          <w:insideV w:val="nil"/>
          <w:tl2br w:val="nil"/>
          <w:tr2bl w:val="nil"/>
        </w:tcBorders>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微软雅黑"/>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cs="Calibri"/>
    </w:rPr>
    <w:tblPr>
      <w:tblBorders>
        <w:left w:val="single" w:color="000000" w:sz="12" w:space="0"/>
        <w:right w:val="single" w:color="000000" w:sz="12" w:space="0"/>
        <w:insideH w:val="single" w:color="000000" w:sz="6" w:space="0"/>
        <w:insideV w:val="single" w:color="000000" w:sz="6" w:space="0"/>
      </w:tblBorders>
    </w:tblPr>
    <w:tblStylePr w:type="firstRow">
      <w:rPr>
        <w:rFonts w:cs="微软雅黑"/>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微软雅黑"/>
        <w:b/>
        <w:b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微软雅黑"/>
        <w:b w:val="0"/>
        <w:bCs w:val="0"/>
      </w:rPr>
      <w:tblPr/>
      <w:tcPr>
        <w:tcBorders>
          <w:top w:val="nil"/>
          <w:left w:val="nil"/>
          <w:bottom w:val="single" w:color="000000" w:sz="12" w:space="0"/>
          <w:right w:val="nil"/>
          <w:insideH w:val="nil"/>
          <w:insideV w:val="nil"/>
          <w:tl2br w:val="nil"/>
          <w:tr2bl w:val="nil"/>
        </w:tcBorders>
      </w:tcPr>
    </w:tblStylePr>
    <w:tblStylePr w:type="lastRow">
      <w:rPr>
        <w:rFonts w:cs="微软雅黑"/>
        <w:b w:val="0"/>
        <w:bCs w:val="0"/>
      </w:rPr>
      <w:tblPr/>
      <w:tcPr>
        <w:tcBorders>
          <w:top w:val="single" w:color="00000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微软雅黑"/>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bCs/>
        <w:color w:val="auto"/>
      </w:rPr>
      <w:tblPr/>
      <w:tcPr>
        <w:tcBorders>
          <w:top w:val="nil"/>
          <w:left w:val="nil"/>
          <w:bottom w:val="nil"/>
          <w:right w:val="nil"/>
          <w:insideH w:val="nil"/>
          <w:insideV w:val="nil"/>
          <w:tl2br w:val="nil"/>
          <w:tr2bl w:val="nil"/>
        </w:tcBorders>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微软雅黑"/>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20"/>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_Style 137"/>
    <w:unhideWhenUsed/>
    <w:qFormat/>
    <w:uiPriority w:val="99"/>
    <w:rPr>
      <w:rFonts w:ascii="Times New Roman" w:hAnsi="Times New Roman" w:eastAsia="宋体" w:cs="Times New Roman"/>
      <w:kern w:val="2"/>
      <w:sz w:val="21"/>
      <w:szCs w:val="21"/>
      <w:lang w:val="en-US" w:eastAsia="zh-CN" w:bidi="ar-SA"/>
    </w:rPr>
  </w:style>
  <w:style w:type="paragraph" w:customStyle="1" w:styleId="139">
    <w:name w:val="表内文字"/>
    <w:basedOn w:val="1"/>
    <w:qFormat/>
    <w:uiPriority w:val="0"/>
    <w:pPr>
      <w:spacing w:line="360" w:lineRule="auto"/>
      <w:jc w:val="center"/>
    </w:pPr>
    <w:rPr>
      <w:rFonts w:ascii="宋体" w:hAnsi="宋体"/>
      <w:b/>
      <w:bCs/>
      <w:sz w:val="28"/>
      <w:szCs w:val="24"/>
    </w:rPr>
  </w:style>
  <w:style w:type="paragraph" w:customStyle="1" w:styleId="140">
    <w:name w:val="1正文段落"/>
    <w:basedOn w:val="1"/>
    <w:qFormat/>
    <w:uiPriority w:val="0"/>
    <w:pPr>
      <w:spacing w:line="360" w:lineRule="auto"/>
      <w:ind w:firstLine="480" w:firstLineChars="200"/>
      <w:jc w:val="left"/>
    </w:pPr>
    <w:rPr>
      <w:snapToGrid w:val="0"/>
      <w:kern w:val="0"/>
      <w:sz w:val="24"/>
      <w:szCs w:val="24"/>
    </w:rPr>
  </w:style>
  <w:style w:type="paragraph" w:customStyle="1" w:styleId="141">
    <w:name w:val="HR标题7"/>
    <w:basedOn w:val="1"/>
    <w:next w:val="142"/>
    <w:qFormat/>
    <w:uiPriority w:val="0"/>
    <w:pPr>
      <w:numPr>
        <w:ilvl w:val="6"/>
        <w:numId w:val="1"/>
      </w:numPr>
      <w:tabs>
        <w:tab w:val="left" w:pos="1332"/>
      </w:tabs>
      <w:spacing w:line="360" w:lineRule="auto"/>
      <w:outlineLvl w:val="6"/>
    </w:pPr>
    <w:rPr>
      <w:sz w:val="24"/>
      <w:szCs w:val="24"/>
    </w:rPr>
  </w:style>
  <w:style w:type="paragraph" w:customStyle="1" w:styleId="142">
    <w:name w:val="HR正文"/>
    <w:basedOn w:val="1"/>
    <w:link w:val="282"/>
    <w:qFormat/>
    <w:uiPriority w:val="0"/>
    <w:pPr>
      <w:spacing w:line="300" w:lineRule="auto"/>
      <w:ind w:firstLine="200" w:firstLineChars="200"/>
    </w:pPr>
    <w:rPr>
      <w:rFonts w:ascii="Calibri" w:hAnsi="Calibri"/>
      <w:sz w:val="24"/>
      <w:szCs w:val="24"/>
    </w:rPr>
  </w:style>
  <w:style w:type="paragraph" w:customStyle="1" w:styleId="143">
    <w:name w:val="_Style 142"/>
    <w:basedOn w:val="2"/>
    <w:next w:val="1"/>
    <w:qFormat/>
    <w:uiPriority w:val="39"/>
    <w:pPr>
      <w:keepNext/>
      <w:keepLines/>
      <w:tabs>
        <w:tab w:val="clear" w:pos="9061"/>
      </w:tabs>
      <w:spacing w:before="340" w:after="330" w:line="578" w:lineRule="auto"/>
      <w:jc w:val="both"/>
      <w:outlineLvl w:val="9"/>
    </w:pPr>
    <w:rPr>
      <w:bCs/>
      <w:kern w:val="44"/>
      <w:sz w:val="44"/>
      <w:szCs w:val="44"/>
    </w:rPr>
  </w:style>
  <w:style w:type="paragraph" w:customStyle="1" w:styleId="144">
    <w:name w:val="Char Char 字元 字元 字元 Char Char Char Char"/>
    <w:basedOn w:val="1"/>
    <w:qFormat/>
    <w:uiPriority w:val="99"/>
    <w:pPr>
      <w:adjustRightInd w:val="0"/>
      <w:spacing w:line="360" w:lineRule="auto"/>
    </w:pPr>
    <w:rPr>
      <w:kern w:val="0"/>
      <w:sz w:val="24"/>
      <w:szCs w:val="24"/>
    </w:rPr>
  </w:style>
  <w:style w:type="paragraph" w:styleId="145">
    <w:name w:val="List Paragraph"/>
    <w:basedOn w:val="1"/>
    <w:qFormat/>
    <w:uiPriority w:val="34"/>
    <w:pPr>
      <w:ind w:firstLine="420" w:firstLineChars="200"/>
    </w:pPr>
    <w:rPr>
      <w:szCs w:val="24"/>
    </w:rPr>
  </w:style>
  <w:style w:type="paragraph" w:customStyle="1" w:styleId="146">
    <w:name w:val="111111"/>
    <w:basedOn w:val="72"/>
    <w:qFormat/>
    <w:uiPriority w:val="99"/>
    <w:pPr>
      <w:jc w:val="both"/>
    </w:pPr>
  </w:style>
  <w:style w:type="paragraph" w:customStyle="1" w:styleId="147">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14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9">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15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151">
    <w:name w:val="样式 正文文本 + 段前: 0.5 行 段后: 0.5 行3"/>
    <w:basedOn w:val="31"/>
    <w:qFormat/>
    <w:uiPriority w:val="0"/>
    <w:pPr>
      <w:numPr>
        <w:ilvl w:val="1"/>
        <w:numId w:val="2"/>
      </w:numPr>
      <w:spacing w:after="0" w:line="360" w:lineRule="auto"/>
    </w:pPr>
    <w:rPr>
      <w:rFonts w:cs="宋体"/>
      <w:kern w:val="2"/>
      <w:sz w:val="24"/>
      <w:szCs w:val="20"/>
      <w:lang w:val="zh-CN"/>
    </w:rPr>
  </w:style>
  <w:style w:type="paragraph" w:customStyle="1" w:styleId="152">
    <w:name w:val="样式4"/>
    <w:basedOn w:val="153"/>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153">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154">
    <w:name w:val="文字正文"/>
    <w:basedOn w:val="1"/>
    <w:qFormat/>
    <w:uiPriority w:val="0"/>
    <w:rPr>
      <w:szCs w:val="24"/>
    </w:rPr>
  </w:style>
  <w:style w:type="paragraph" w:customStyle="1" w:styleId="155">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列出段落3"/>
    <w:basedOn w:val="1"/>
    <w:qFormat/>
    <w:uiPriority w:val="0"/>
    <w:pPr>
      <w:ind w:firstLine="420" w:firstLineChars="200"/>
    </w:pPr>
    <w:rPr>
      <w:rFonts w:ascii="Calibri" w:hAnsi="Calibri"/>
      <w:sz w:val="22"/>
      <w:szCs w:val="22"/>
    </w:rPr>
  </w:style>
  <w:style w:type="paragraph" w:customStyle="1" w:styleId="157">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5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159">
    <w:name w:val="1列"/>
    <w:basedOn w:val="1"/>
    <w:qFormat/>
    <w:uiPriority w:val="0"/>
    <w:pPr>
      <w:numPr>
        <w:ilvl w:val="0"/>
        <w:numId w:val="3"/>
      </w:numPr>
      <w:spacing w:line="360" w:lineRule="auto"/>
    </w:pPr>
    <w:rPr>
      <w:szCs w:val="24"/>
    </w:rPr>
  </w:style>
  <w:style w:type="paragraph" w:customStyle="1" w:styleId="16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1">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2">
    <w:name w:val="HR标题4"/>
    <w:basedOn w:val="1"/>
    <w:next w:val="142"/>
    <w:qFormat/>
    <w:uiPriority w:val="0"/>
    <w:pPr>
      <w:numPr>
        <w:ilvl w:val="3"/>
        <w:numId w:val="1"/>
      </w:numPr>
      <w:tabs>
        <w:tab w:val="left" w:pos="974"/>
      </w:tabs>
      <w:spacing w:line="360" w:lineRule="auto"/>
      <w:outlineLvl w:val="3"/>
    </w:pPr>
    <w:rPr>
      <w:sz w:val="24"/>
      <w:szCs w:val="24"/>
    </w:rPr>
  </w:style>
  <w:style w:type="paragraph" w:customStyle="1" w:styleId="163">
    <w:name w:val="HR标题6"/>
    <w:basedOn w:val="1"/>
    <w:next w:val="142"/>
    <w:qFormat/>
    <w:uiPriority w:val="0"/>
    <w:pPr>
      <w:tabs>
        <w:tab w:val="left" w:pos="1134"/>
        <w:tab w:val="left" w:pos="2520"/>
      </w:tabs>
      <w:spacing w:line="360" w:lineRule="auto"/>
      <w:ind w:left="2520" w:hanging="420"/>
      <w:outlineLvl w:val="5"/>
    </w:pPr>
    <w:rPr>
      <w:sz w:val="24"/>
      <w:szCs w:val="24"/>
    </w:rPr>
  </w:style>
  <w:style w:type="paragraph" w:customStyle="1" w:styleId="164">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5">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166">
    <w:name w:val="样式目录三"/>
    <w:basedOn w:val="3"/>
    <w:semiHidden/>
    <w:qFormat/>
    <w:uiPriority w:val="99"/>
    <w:pPr>
      <w:numPr>
        <w:ilvl w:val="5"/>
        <w:numId w:val="1"/>
      </w:numPr>
      <w:tabs>
        <w:tab w:val="left" w:pos="1320"/>
        <w:tab w:val="right" w:leader="dot" w:pos="8597"/>
      </w:tabs>
      <w:ind w:left="0" w:firstLine="0"/>
      <w:outlineLvl w:val="2"/>
    </w:pPr>
    <w:rPr>
      <w:iCs w:val="0"/>
      <w:szCs w:val="24"/>
    </w:rPr>
  </w:style>
  <w:style w:type="paragraph" w:customStyle="1" w:styleId="167">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8">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9">
    <w:name w:val="列出段落4"/>
    <w:basedOn w:val="1"/>
    <w:qFormat/>
    <w:uiPriority w:val="0"/>
    <w:pPr>
      <w:ind w:firstLine="420" w:firstLineChars="200"/>
    </w:pPr>
    <w:rPr>
      <w:rFonts w:ascii="Calibri" w:hAnsi="Calibri" w:eastAsia="Times New Roman"/>
      <w:sz w:val="22"/>
      <w:szCs w:val="22"/>
    </w:rPr>
  </w:style>
  <w:style w:type="paragraph" w:customStyle="1" w:styleId="170">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171">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2">
    <w:name w:val="需求书2"/>
    <w:basedOn w:val="1"/>
    <w:qFormat/>
    <w:uiPriority w:val="0"/>
    <w:pPr>
      <w:spacing w:line="400" w:lineRule="exact"/>
    </w:pPr>
    <w:rPr>
      <w:rFonts w:ascii="黑体" w:hAnsi="Calibri" w:eastAsia="黑体"/>
      <w:b/>
      <w:bCs/>
      <w:sz w:val="32"/>
      <w:szCs w:val="20"/>
    </w:rPr>
  </w:style>
  <w:style w:type="paragraph" w:customStyle="1" w:styleId="1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样式 段前: 0.5 行 段后: 0.5 行"/>
    <w:basedOn w:val="1"/>
    <w:qFormat/>
    <w:uiPriority w:val="0"/>
    <w:pPr>
      <w:spacing w:beforeLines="50" w:afterLines="50" w:line="360" w:lineRule="auto"/>
      <w:ind w:left="420" w:leftChars="200" w:firstLine="240" w:firstLineChars="100"/>
    </w:pPr>
    <w:rPr>
      <w:rFonts w:ascii="仿宋_GB2312" w:eastAsia="仿宋_GB2312" w:cs="宋体"/>
      <w:sz w:val="24"/>
      <w:szCs w:val="20"/>
    </w:rPr>
  </w:style>
  <w:style w:type="paragraph" w:customStyle="1" w:styleId="1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7">
    <w:name w:val="xl33"/>
    <w:basedOn w:val="155"/>
    <w:qFormat/>
    <w:uiPriority w:val="99"/>
    <w:pPr>
      <w:pBdr>
        <w:bottom w:val="single" w:color="auto" w:sz="4" w:space="0"/>
        <w:right w:val="single" w:color="auto" w:sz="4" w:space="0"/>
      </w:pBdr>
      <w:jc w:val="center"/>
    </w:pPr>
    <w:rPr>
      <w:sz w:val="20"/>
      <w:szCs w:val="20"/>
    </w:rPr>
  </w:style>
  <w:style w:type="paragraph" w:customStyle="1" w:styleId="17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179">
    <w:name w:val="List Paragraph1"/>
    <w:basedOn w:val="1"/>
    <w:link w:val="268"/>
    <w:qFormat/>
    <w:uiPriority w:val="34"/>
    <w:pPr>
      <w:spacing w:line="360" w:lineRule="auto"/>
      <w:ind w:firstLine="480" w:firstLineChars="200"/>
    </w:pPr>
    <w:rPr>
      <w:color w:val="262626"/>
      <w:kern w:val="0"/>
      <w:sz w:val="20"/>
      <w:szCs w:val="20"/>
    </w:rPr>
  </w:style>
  <w:style w:type="paragraph" w:customStyle="1" w:styleId="180">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181">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3">
    <w:name w:val="标题 2（绿盟科技）"/>
    <w:basedOn w:val="4"/>
    <w:next w:val="1"/>
    <w:semiHidden/>
    <w:qFormat/>
    <w:uiPriority w:val="99"/>
    <w:pPr>
      <w:tabs>
        <w:tab w:val="left" w:pos="840"/>
        <w:tab w:val="left" w:pos="1440"/>
      </w:tabs>
      <w:spacing w:line="415" w:lineRule="auto"/>
      <w:ind w:left="840" w:hanging="420"/>
      <w:jc w:val="left"/>
    </w:pPr>
  </w:style>
  <w:style w:type="paragraph" w:customStyle="1" w:styleId="184">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185">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6">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18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88">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18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1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2">
    <w:name w:val="HR标题3"/>
    <w:basedOn w:val="1"/>
    <w:next w:val="142"/>
    <w:link w:val="305"/>
    <w:qFormat/>
    <w:uiPriority w:val="0"/>
    <w:pPr>
      <w:tabs>
        <w:tab w:val="left" w:pos="624"/>
        <w:tab w:val="left" w:pos="1260"/>
      </w:tabs>
      <w:spacing w:line="360" w:lineRule="auto"/>
      <w:ind w:left="1260" w:hanging="420"/>
      <w:outlineLvl w:val="2"/>
    </w:pPr>
    <w:rPr>
      <w:rFonts w:ascii="Calibri" w:hAnsi="Calibri"/>
      <w:sz w:val="24"/>
      <w:szCs w:val="24"/>
    </w:rPr>
  </w:style>
  <w:style w:type="paragraph" w:customStyle="1" w:styleId="193">
    <w:name w:val="正文2"/>
    <w:basedOn w:val="1"/>
    <w:semiHidden/>
    <w:qFormat/>
    <w:uiPriority w:val="99"/>
    <w:pPr>
      <w:spacing w:before="156" w:line="360" w:lineRule="auto"/>
      <w:ind w:firstLine="510" w:firstLineChars="200"/>
    </w:pPr>
    <w:rPr>
      <w:sz w:val="24"/>
      <w:szCs w:val="24"/>
    </w:rPr>
  </w:style>
  <w:style w:type="paragraph" w:customStyle="1" w:styleId="19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95">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196">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97">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98">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199">
    <w:name w:val="正文居中"/>
    <w:basedOn w:val="1"/>
    <w:next w:val="74"/>
    <w:qFormat/>
    <w:uiPriority w:val="99"/>
    <w:pPr>
      <w:jc w:val="center"/>
    </w:pPr>
    <w:rPr>
      <w:sz w:val="24"/>
      <w:szCs w:val="24"/>
    </w:rPr>
  </w:style>
  <w:style w:type="paragraph" w:customStyle="1" w:styleId="200">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1">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2">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20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5">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06">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07">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0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
    <w:name w:val="列出段落1"/>
    <w:basedOn w:val="1"/>
    <w:qFormat/>
    <w:uiPriority w:val="34"/>
    <w:pPr>
      <w:ind w:firstLine="420" w:firstLineChars="200"/>
    </w:pPr>
  </w:style>
  <w:style w:type="paragraph" w:customStyle="1" w:styleId="212">
    <w:name w:val="PP 行"/>
    <w:basedOn w:val="51"/>
    <w:qFormat/>
    <w:uiPriority w:val="99"/>
  </w:style>
  <w:style w:type="paragraph" w:customStyle="1" w:styleId="213">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4">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16">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19">
    <w:name w:val="五级无标题条"/>
    <w:basedOn w:val="1"/>
    <w:qFormat/>
    <w:uiPriority w:val="99"/>
    <w:pPr>
      <w:tabs>
        <w:tab w:val="left" w:pos="840"/>
      </w:tabs>
      <w:ind w:left="840" w:hanging="630"/>
    </w:pPr>
  </w:style>
  <w:style w:type="paragraph" w:customStyle="1" w:styleId="22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1">
    <w:name w:val="HR标题5"/>
    <w:basedOn w:val="1"/>
    <w:next w:val="142"/>
    <w:qFormat/>
    <w:uiPriority w:val="0"/>
    <w:pPr>
      <w:tabs>
        <w:tab w:val="left" w:pos="1504"/>
        <w:tab w:val="left" w:pos="2100"/>
      </w:tabs>
      <w:spacing w:line="360" w:lineRule="auto"/>
      <w:ind w:left="2100" w:hanging="420"/>
      <w:outlineLvl w:val="4"/>
    </w:pPr>
    <w:rPr>
      <w:sz w:val="24"/>
      <w:szCs w:val="24"/>
    </w:rPr>
  </w:style>
  <w:style w:type="paragraph" w:customStyle="1" w:styleId="222">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2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4">
    <w:name w:val="正文（缩进）"/>
    <w:basedOn w:val="1"/>
    <w:link w:val="262"/>
    <w:semiHidden/>
    <w:qFormat/>
    <w:uiPriority w:val="99"/>
    <w:pPr>
      <w:spacing w:beforeLines="50" w:afterLines="50" w:line="360" w:lineRule="auto"/>
      <w:ind w:firstLine="480" w:firstLineChars="200"/>
    </w:pPr>
    <w:rPr>
      <w:kern w:val="0"/>
      <w:sz w:val="24"/>
      <w:szCs w:val="20"/>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6">
    <w:name w:val="Char Char Char Char"/>
    <w:basedOn w:val="1"/>
    <w:qFormat/>
    <w:uiPriority w:val="99"/>
    <w:rPr>
      <w:rFonts w:ascii="Tahoma" w:hAnsi="Tahoma" w:cs="Tahoma"/>
      <w:sz w:val="24"/>
      <w:szCs w:val="24"/>
    </w:rPr>
  </w:style>
  <w:style w:type="paragraph" w:customStyle="1" w:styleId="227">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228">
    <w:name w:val="样式 正文文本 2 + 段前: 0.5 行 段后: 0.5 行3"/>
    <w:basedOn w:val="64"/>
    <w:qFormat/>
    <w:uiPriority w:val="0"/>
    <w:pPr>
      <w:tabs>
        <w:tab w:val="left" w:pos="1260"/>
        <w:tab w:val="left" w:pos="1571"/>
      </w:tabs>
      <w:spacing w:line="360" w:lineRule="auto"/>
      <w:ind w:left="567" w:hanging="420"/>
    </w:pPr>
    <w:rPr>
      <w:rFonts w:cs="宋体"/>
      <w:kern w:val="2"/>
      <w:sz w:val="24"/>
      <w:szCs w:val="20"/>
      <w:lang w:val="zh-CN"/>
    </w:rPr>
  </w:style>
  <w:style w:type="paragraph" w:customStyle="1" w:styleId="229">
    <w:name w:val="表格"/>
    <w:basedOn w:val="1"/>
    <w:next w:val="1"/>
    <w:qFormat/>
    <w:uiPriority w:val="0"/>
    <w:pPr>
      <w:spacing w:beforeLines="50" w:afterLines="50"/>
      <w:jc w:val="left"/>
    </w:pPr>
    <w:rPr>
      <w:rFonts w:ascii="宋体" w:hAnsi="宋体"/>
    </w:rPr>
  </w:style>
  <w:style w:type="paragraph" w:customStyle="1" w:styleId="230">
    <w:name w:val="标题 4（绿盟科技）"/>
    <w:basedOn w:val="6"/>
    <w:next w:val="1"/>
    <w:semiHidden/>
    <w:qFormat/>
    <w:uiPriority w:val="99"/>
    <w:pPr>
      <w:widowControl/>
      <w:tabs>
        <w:tab w:val="left" w:pos="360"/>
      </w:tabs>
      <w:ind w:left="1447" w:hanging="1021"/>
      <w:jc w:val="left"/>
    </w:pPr>
  </w:style>
  <w:style w:type="paragraph" w:customStyle="1" w:styleId="231">
    <w:name w:val="t4_2"/>
    <w:basedOn w:val="1"/>
    <w:qFormat/>
    <w:uiPriority w:val="99"/>
    <w:pPr>
      <w:widowControl/>
      <w:tabs>
        <w:tab w:val="left" w:pos="360"/>
      </w:tabs>
      <w:spacing w:line="360" w:lineRule="auto"/>
      <w:ind w:left="420"/>
      <w:jc w:val="left"/>
    </w:pPr>
    <w:rPr>
      <w:b/>
      <w:bCs/>
    </w:rPr>
  </w:style>
  <w:style w:type="paragraph" w:customStyle="1" w:styleId="2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2"/>
    <w:basedOn w:val="1"/>
    <w:next w:val="142"/>
    <w:qFormat/>
    <w:uiPriority w:val="0"/>
    <w:pPr>
      <w:numPr>
        <w:ilvl w:val="1"/>
        <w:numId w:val="1"/>
      </w:numPr>
      <w:tabs>
        <w:tab w:val="left" w:pos="454"/>
      </w:tabs>
      <w:spacing w:line="360" w:lineRule="auto"/>
      <w:outlineLvl w:val="1"/>
    </w:pPr>
    <w:rPr>
      <w:rFonts w:eastAsia="黑体"/>
      <w:sz w:val="24"/>
      <w:szCs w:val="24"/>
    </w:rPr>
  </w:style>
  <w:style w:type="paragraph" w:customStyle="1" w:styleId="235">
    <w:name w:val="列出段落2"/>
    <w:basedOn w:val="1"/>
    <w:link w:val="287"/>
    <w:qFormat/>
    <w:uiPriority w:val="0"/>
    <w:pPr>
      <w:ind w:firstLine="420" w:firstLineChars="200"/>
    </w:pPr>
    <w:rPr>
      <w:color w:val="262626"/>
      <w:kern w:val="0"/>
      <w:sz w:val="20"/>
      <w:szCs w:val="20"/>
    </w:rPr>
  </w:style>
  <w:style w:type="paragraph" w:customStyle="1" w:styleId="236">
    <w:name w:val="Char Char Char"/>
    <w:basedOn w:val="1"/>
    <w:qFormat/>
    <w:uiPriority w:val="99"/>
    <w:rPr>
      <w:rFonts w:ascii="宋体" w:hAnsi="宋体" w:cs="宋体"/>
      <w:b/>
      <w:bCs/>
      <w:sz w:val="28"/>
      <w:szCs w:val="28"/>
    </w:rPr>
  </w:style>
  <w:style w:type="paragraph" w:customStyle="1" w:styleId="23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cs="Arial"/>
      <w:b/>
      <w:bCs/>
      <w:kern w:val="0"/>
    </w:rPr>
  </w:style>
  <w:style w:type="paragraph" w:customStyle="1" w:styleId="23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9">
    <w:name w:val="HR标题8"/>
    <w:basedOn w:val="1"/>
    <w:next w:val="142"/>
    <w:qFormat/>
    <w:uiPriority w:val="0"/>
    <w:pPr>
      <w:numPr>
        <w:ilvl w:val="7"/>
        <w:numId w:val="1"/>
      </w:numPr>
      <w:tabs>
        <w:tab w:val="left" w:pos="1531"/>
      </w:tabs>
      <w:spacing w:line="360" w:lineRule="auto"/>
      <w:outlineLvl w:val="7"/>
    </w:pPr>
    <w:rPr>
      <w:sz w:val="24"/>
      <w:szCs w:val="24"/>
    </w:rPr>
  </w:style>
  <w:style w:type="paragraph" w:customStyle="1" w:styleId="240">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4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42">
    <w:name w:val="示例"/>
    <w:qFormat/>
    <w:uiPriority w:val="99"/>
    <w:pPr>
      <w:jc w:val="both"/>
    </w:pPr>
    <w:rPr>
      <w:rFonts w:ascii="宋体" w:hAnsi="Times New Roman" w:eastAsia="宋体" w:cs="宋体"/>
      <w:sz w:val="18"/>
      <w:szCs w:val="18"/>
      <w:lang w:val="en-US" w:eastAsia="zh-CN" w:bidi="ar-SA"/>
    </w:rPr>
  </w:style>
  <w:style w:type="paragraph" w:customStyle="1" w:styleId="243">
    <w:name w:val="段"/>
    <w:link w:val="27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4">
    <w:name w:val="简单回函地址"/>
    <w:basedOn w:val="1"/>
    <w:qFormat/>
    <w:uiPriority w:val="99"/>
  </w:style>
  <w:style w:type="paragraph" w:customStyle="1" w:styleId="24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_Style 3"/>
    <w:basedOn w:val="2"/>
    <w:next w:val="1"/>
    <w:qFormat/>
    <w:uiPriority w:val="39"/>
    <w:pPr>
      <w:keepNext/>
      <w:keepLines/>
      <w:tabs>
        <w:tab w:val="clear" w:pos="9061"/>
      </w:tabs>
      <w:spacing w:before="340" w:after="330" w:line="578" w:lineRule="auto"/>
      <w:jc w:val="both"/>
      <w:outlineLvl w:val="9"/>
    </w:pPr>
    <w:rPr>
      <w:bCs/>
      <w:kern w:val="44"/>
      <w:sz w:val="44"/>
      <w:szCs w:val="44"/>
    </w:rPr>
  </w:style>
  <w:style w:type="paragraph" w:customStyle="1" w:styleId="247">
    <w:name w:val="xl43"/>
    <w:basedOn w:val="155"/>
    <w:qFormat/>
    <w:uiPriority w:val="99"/>
    <w:pPr>
      <w:pBdr>
        <w:bottom w:val="single" w:color="auto" w:sz="4" w:space="0"/>
        <w:right w:val="single" w:color="auto" w:sz="4" w:space="0"/>
      </w:pBdr>
      <w:jc w:val="center"/>
    </w:pPr>
    <w:rPr>
      <w:sz w:val="21"/>
      <w:szCs w:val="21"/>
    </w:rPr>
  </w:style>
  <w:style w:type="paragraph" w:customStyle="1" w:styleId="248">
    <w:name w:val="Default"/>
    <w:link w:val="26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9">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250">
    <w:name w:val="表格标注（绿盟科技）"/>
    <w:basedOn w:val="147"/>
    <w:next w:val="1"/>
    <w:semiHidden/>
    <w:qFormat/>
    <w:uiPriority w:val="99"/>
    <w:pPr>
      <w:tabs>
        <w:tab w:val="left" w:pos="1620"/>
        <w:tab w:val="left" w:pos="2100"/>
        <w:tab w:val="clear" w:pos="1680"/>
      </w:tabs>
      <w:ind w:left="1620" w:hanging="360"/>
    </w:pPr>
  </w:style>
  <w:style w:type="paragraph" w:customStyle="1" w:styleId="251">
    <w:name w:val="Char"/>
    <w:basedOn w:val="1"/>
    <w:qFormat/>
    <w:uiPriority w:val="99"/>
    <w:pPr>
      <w:tabs>
        <w:tab w:val="left" w:pos="708"/>
      </w:tabs>
      <w:ind w:firstLine="420"/>
    </w:pPr>
    <w:rPr>
      <w:rFonts w:ascii="仿宋_GB2312" w:eastAsia="仿宋_GB2312" w:cs="仿宋_GB2312"/>
      <w:sz w:val="24"/>
      <w:szCs w:val="24"/>
    </w:rPr>
  </w:style>
  <w:style w:type="paragraph" w:customStyle="1" w:styleId="252">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3">
    <w:name w:val="HR标题1"/>
    <w:basedOn w:val="1"/>
    <w:next w:val="142"/>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5">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56">
    <w:name w:val="列出段落 字符"/>
    <w:qFormat/>
    <w:locked/>
    <w:uiPriority w:val="34"/>
    <w:rPr>
      <w:kern w:val="2"/>
      <w:sz w:val="21"/>
      <w:szCs w:val="24"/>
    </w:rPr>
  </w:style>
  <w:style w:type="character" w:customStyle="1" w:styleId="257">
    <w:name w:val="hover38"/>
    <w:qFormat/>
    <w:uiPriority w:val="99"/>
    <w:rPr>
      <w:rFonts w:cs="Times New Roman"/>
      <w:color w:val="auto"/>
      <w:u w:val="single"/>
    </w:rPr>
  </w:style>
  <w:style w:type="character" w:customStyle="1" w:styleId="258">
    <w:name w:val="称呼 Char"/>
    <w:link w:val="27"/>
    <w:semiHidden/>
    <w:qFormat/>
    <w:locked/>
    <w:uiPriority w:val="99"/>
    <w:rPr>
      <w:rFonts w:cs="Times New Roman"/>
      <w:sz w:val="21"/>
      <w:szCs w:val="21"/>
    </w:rPr>
  </w:style>
  <w:style w:type="character" w:customStyle="1" w:styleId="259">
    <w:name w:val="Footer Char"/>
    <w:semiHidden/>
    <w:qFormat/>
    <w:locked/>
    <w:uiPriority w:val="99"/>
    <w:rPr>
      <w:rFonts w:eastAsia="宋体"/>
      <w:sz w:val="18"/>
    </w:rPr>
  </w:style>
  <w:style w:type="character" w:customStyle="1" w:styleId="260">
    <w:name w:val="param-name1"/>
    <w:qFormat/>
    <w:uiPriority w:val="99"/>
    <w:rPr>
      <w:rFonts w:cs="Times New Roman"/>
      <w:b/>
      <w:bCs/>
    </w:rPr>
  </w:style>
  <w:style w:type="character" w:customStyle="1" w:styleId="261">
    <w:name w:val="bds_more"/>
    <w:qFormat/>
    <w:uiPriority w:val="99"/>
    <w:rPr>
      <w:rFonts w:ascii="Arial" w:hAnsi="Arial" w:cs="Arial"/>
    </w:rPr>
  </w:style>
  <w:style w:type="character" w:customStyle="1" w:styleId="262">
    <w:name w:val="正文（缩进） Char"/>
    <w:link w:val="224"/>
    <w:qFormat/>
    <w:locked/>
    <w:uiPriority w:val="99"/>
    <w:rPr>
      <w:rFonts w:eastAsia="宋体"/>
      <w:sz w:val="24"/>
    </w:rPr>
  </w:style>
  <w:style w:type="character" w:customStyle="1" w:styleId="263">
    <w:name w:val="正文文本缩进 3 Char"/>
    <w:link w:val="61"/>
    <w:qFormat/>
    <w:locked/>
    <w:uiPriority w:val="0"/>
    <w:rPr>
      <w:rFonts w:cs="Times New Roman"/>
      <w:sz w:val="16"/>
      <w:szCs w:val="16"/>
    </w:rPr>
  </w:style>
  <w:style w:type="character" w:customStyle="1" w:styleId="264">
    <w:name w:val="标题 1 Char"/>
    <w:qFormat/>
    <w:uiPriority w:val="9"/>
    <w:rPr>
      <w:rFonts w:eastAsia="宋体" w:cs="Times New Roman"/>
      <w:b/>
      <w:bCs/>
      <w:kern w:val="44"/>
      <w:sz w:val="44"/>
      <w:szCs w:val="44"/>
      <w:lang w:val="en-US" w:eastAsia="zh-CN"/>
    </w:rPr>
  </w:style>
  <w:style w:type="character" w:customStyle="1" w:styleId="265">
    <w:name w:val="正文首行缩进 2 Char"/>
    <w:link w:val="75"/>
    <w:semiHidden/>
    <w:qFormat/>
    <w:locked/>
    <w:uiPriority w:val="99"/>
    <w:rPr>
      <w:rFonts w:cs="Times New Roman"/>
      <w:sz w:val="21"/>
      <w:szCs w:val="21"/>
    </w:rPr>
  </w:style>
  <w:style w:type="character" w:customStyle="1" w:styleId="266">
    <w:name w:val="Default Char"/>
    <w:link w:val="248"/>
    <w:qFormat/>
    <w:uiPriority w:val="0"/>
    <w:rPr>
      <w:rFonts w:ascii="宋体"/>
      <w:color w:val="000000"/>
      <w:sz w:val="24"/>
      <w:szCs w:val="24"/>
      <w:lang w:val="en-US" w:eastAsia="zh-CN" w:bidi="ar-SA"/>
    </w:rPr>
  </w:style>
  <w:style w:type="character" w:customStyle="1" w:styleId="267">
    <w:name w:val="style61"/>
    <w:qFormat/>
    <w:uiPriority w:val="0"/>
    <w:rPr>
      <w:color w:val="CCCCCC"/>
    </w:rPr>
  </w:style>
  <w:style w:type="character" w:customStyle="1" w:styleId="268">
    <w:name w:val="列出段落 Char"/>
    <w:link w:val="179"/>
    <w:qFormat/>
    <w:locked/>
    <w:uiPriority w:val="34"/>
    <w:rPr>
      <w:rFonts w:eastAsia="宋体" w:cs="Times New Roman"/>
      <w:color w:val="262626"/>
    </w:rPr>
  </w:style>
  <w:style w:type="character" w:customStyle="1" w:styleId="269">
    <w:name w:val="批注主题 Char"/>
    <w:link w:val="73"/>
    <w:semiHidden/>
    <w:qFormat/>
    <w:locked/>
    <w:uiPriority w:val="99"/>
    <w:rPr>
      <w:rFonts w:ascii="Calibri" w:hAnsi="Calibri" w:eastAsia="宋体" w:cs="Calibri"/>
      <w:b/>
      <w:bCs/>
      <w:sz w:val="21"/>
      <w:szCs w:val="21"/>
      <w:lang w:val="en-US" w:eastAsia="en-US"/>
    </w:rPr>
  </w:style>
  <w:style w:type="character" w:customStyle="1" w:styleId="270">
    <w:name w:val="正文缩进 Char"/>
    <w:link w:val="20"/>
    <w:qFormat/>
    <w:locked/>
    <w:uiPriority w:val="99"/>
    <w:rPr>
      <w:rFonts w:eastAsia="宋体" w:cs="Times New Roman"/>
      <w:sz w:val="21"/>
      <w:szCs w:val="21"/>
    </w:rPr>
  </w:style>
  <w:style w:type="character" w:customStyle="1" w:styleId="271">
    <w:name w:val="纯文本 Char1"/>
    <w:semiHidden/>
    <w:qFormat/>
    <w:locked/>
    <w:uiPriority w:val="99"/>
    <w:rPr>
      <w:rFonts w:ascii="宋体" w:hAnsi="Courier New"/>
      <w:kern w:val="2"/>
      <w:sz w:val="21"/>
    </w:rPr>
  </w:style>
  <w:style w:type="character" w:customStyle="1" w:styleId="272">
    <w:name w:val="标题 3 Char"/>
    <w:link w:val="5"/>
    <w:qFormat/>
    <w:locked/>
    <w:uiPriority w:val="99"/>
    <w:rPr>
      <w:rFonts w:eastAsia="宋体" w:cs="Times New Roman"/>
      <w:b/>
      <w:bCs/>
      <w:sz w:val="32"/>
      <w:szCs w:val="32"/>
    </w:rPr>
  </w:style>
  <w:style w:type="character" w:customStyle="1" w:styleId="273">
    <w:name w:val="hei14"/>
    <w:semiHidden/>
    <w:qFormat/>
    <w:uiPriority w:val="99"/>
    <w:rPr>
      <w:rFonts w:cs="Times New Roman"/>
    </w:rPr>
  </w:style>
  <w:style w:type="character" w:customStyle="1" w:styleId="274">
    <w:name w:val="hover42"/>
    <w:qFormat/>
    <w:uiPriority w:val="99"/>
    <w:rPr>
      <w:rFonts w:cs="Times New Roman"/>
      <w:color w:val="FFFFFF"/>
      <w:shd w:val="clear" w:color="auto" w:fill="auto"/>
    </w:rPr>
  </w:style>
  <w:style w:type="character" w:customStyle="1" w:styleId="275">
    <w:name w:val="标题 5 Char"/>
    <w:link w:val="7"/>
    <w:qFormat/>
    <w:locked/>
    <w:uiPriority w:val="99"/>
    <w:rPr>
      <w:rFonts w:eastAsia="宋体" w:cs="Times New Roman"/>
      <w:b/>
      <w:bCs/>
      <w:sz w:val="28"/>
      <w:szCs w:val="28"/>
    </w:rPr>
  </w:style>
  <w:style w:type="character" w:customStyle="1" w:styleId="276">
    <w:name w:val="标题 7 Char"/>
    <w:link w:val="9"/>
    <w:semiHidden/>
    <w:qFormat/>
    <w:locked/>
    <w:uiPriority w:val="99"/>
    <w:rPr>
      <w:rFonts w:cs="Times New Roman"/>
      <w:b/>
      <w:bCs/>
      <w:sz w:val="24"/>
      <w:szCs w:val="24"/>
    </w:rPr>
  </w:style>
  <w:style w:type="character" w:customStyle="1" w:styleId="277">
    <w:name w:val="正文文本 Char"/>
    <w:link w:val="31"/>
    <w:semiHidden/>
    <w:qFormat/>
    <w:locked/>
    <w:uiPriority w:val="99"/>
    <w:rPr>
      <w:rFonts w:cs="Times New Roman"/>
      <w:sz w:val="21"/>
      <w:szCs w:val="21"/>
    </w:rPr>
  </w:style>
  <w:style w:type="character" w:customStyle="1" w:styleId="278">
    <w:name w:val="hover43"/>
    <w:qFormat/>
    <w:uiPriority w:val="99"/>
    <w:rPr>
      <w:rFonts w:cs="Times New Roman"/>
      <w:color w:val="auto"/>
      <w:u w:val="single"/>
    </w:rPr>
  </w:style>
  <w:style w:type="character" w:customStyle="1" w:styleId="279">
    <w:name w:val="段 Char"/>
    <w:link w:val="243"/>
    <w:qFormat/>
    <w:locked/>
    <w:uiPriority w:val="99"/>
    <w:rPr>
      <w:rFonts w:ascii="宋体" w:cs="宋体"/>
      <w:sz w:val="21"/>
      <w:szCs w:val="21"/>
      <w:lang w:val="en-US" w:eastAsia="zh-CN" w:bidi="ar-SA"/>
    </w:rPr>
  </w:style>
  <w:style w:type="character" w:customStyle="1" w:styleId="280">
    <w:name w:val="r-search1"/>
    <w:basedOn w:val="121"/>
    <w:qFormat/>
    <w:uiPriority w:val="0"/>
  </w:style>
  <w:style w:type="character" w:customStyle="1" w:styleId="281">
    <w:name w:val="ewm"/>
    <w:basedOn w:val="121"/>
    <w:qFormat/>
    <w:uiPriority w:val="0"/>
  </w:style>
  <w:style w:type="character" w:customStyle="1" w:styleId="282">
    <w:name w:val="HR正文 Char"/>
    <w:link w:val="142"/>
    <w:qFormat/>
    <w:uiPriority w:val="0"/>
    <w:rPr>
      <w:rFonts w:ascii="Calibri" w:hAnsi="Calibri"/>
      <w:kern w:val="2"/>
      <w:sz w:val="24"/>
      <w:szCs w:val="24"/>
    </w:rPr>
  </w:style>
  <w:style w:type="character" w:customStyle="1" w:styleId="283">
    <w:name w:val="正文首行缩进 Char"/>
    <w:link w:val="74"/>
    <w:semiHidden/>
    <w:qFormat/>
    <w:locked/>
    <w:uiPriority w:val="99"/>
    <w:rPr>
      <w:rFonts w:eastAsia="宋体" w:cs="Times New Roman"/>
      <w:sz w:val="21"/>
      <w:szCs w:val="21"/>
    </w:rPr>
  </w:style>
  <w:style w:type="character" w:customStyle="1" w:styleId="284">
    <w:name w:val="标题 2 Char"/>
    <w:link w:val="4"/>
    <w:qFormat/>
    <w:locked/>
    <w:uiPriority w:val="9"/>
    <w:rPr>
      <w:rFonts w:ascii="Arial" w:hAnsi="Arial" w:eastAsia="黑体" w:cs="Arial"/>
      <w:b/>
      <w:bCs/>
      <w:sz w:val="32"/>
      <w:szCs w:val="32"/>
    </w:rPr>
  </w:style>
  <w:style w:type="character" w:customStyle="1" w:styleId="285">
    <w:name w:val="HTML 预设格式 Char"/>
    <w:link w:val="68"/>
    <w:semiHidden/>
    <w:qFormat/>
    <w:locked/>
    <w:uiPriority w:val="99"/>
    <w:rPr>
      <w:rFonts w:ascii="Courier New" w:hAnsi="Courier New" w:cs="Courier New"/>
      <w:sz w:val="20"/>
      <w:szCs w:val="20"/>
    </w:rPr>
  </w:style>
  <w:style w:type="character" w:customStyle="1" w:styleId="286">
    <w:name w:val="Body Text Char"/>
    <w:qFormat/>
    <w:locked/>
    <w:uiPriority w:val="99"/>
    <w:rPr>
      <w:rFonts w:eastAsia="宋体"/>
      <w:sz w:val="21"/>
    </w:rPr>
  </w:style>
  <w:style w:type="character" w:customStyle="1" w:styleId="287">
    <w:name w:val="List Paragraph Char"/>
    <w:link w:val="235"/>
    <w:qFormat/>
    <w:locked/>
    <w:uiPriority w:val="0"/>
    <w:rPr>
      <w:color w:val="262626"/>
    </w:rPr>
  </w:style>
  <w:style w:type="character" w:customStyle="1" w:styleId="288">
    <w:name w:val="z-crt4"/>
    <w:qFormat/>
    <w:uiPriority w:val="0"/>
    <w:rPr>
      <w:color w:val="FFFFFF"/>
      <w:bdr w:val="single" w:color="5294E5" w:sz="4" w:space="0"/>
      <w:shd w:val="clear" w:color="auto" w:fill="5294E5"/>
    </w:rPr>
  </w:style>
  <w:style w:type="character" w:customStyle="1" w:styleId="289">
    <w:name w:val="Comment Text Char"/>
    <w:qFormat/>
    <w:locked/>
    <w:uiPriority w:val="99"/>
    <w:rPr>
      <w:rFonts w:ascii="Calibri" w:hAnsi="Calibri" w:eastAsia="宋体"/>
      <w:sz w:val="22"/>
      <w:lang w:val="en-US" w:eastAsia="en-US"/>
    </w:rPr>
  </w:style>
  <w:style w:type="character" w:customStyle="1" w:styleId="290">
    <w:name w:val="标题 6 Char"/>
    <w:link w:val="8"/>
    <w:qFormat/>
    <w:locked/>
    <w:uiPriority w:val="99"/>
    <w:rPr>
      <w:rFonts w:ascii="Arial" w:hAnsi="Arial" w:eastAsia="黑体" w:cs="Arial"/>
      <w:b/>
      <w:bCs/>
    </w:rPr>
  </w:style>
  <w:style w:type="character" w:customStyle="1" w:styleId="291">
    <w:name w:val="r-search"/>
    <w:basedOn w:val="121"/>
    <w:qFormat/>
    <w:uiPriority w:val="0"/>
  </w:style>
  <w:style w:type="character" w:customStyle="1" w:styleId="292">
    <w:name w:val="批注文字 Char"/>
    <w:link w:val="26"/>
    <w:qFormat/>
    <w:locked/>
    <w:uiPriority w:val="99"/>
    <w:rPr>
      <w:rFonts w:cs="Times New Roman"/>
      <w:sz w:val="21"/>
      <w:szCs w:val="21"/>
    </w:rPr>
  </w:style>
  <w:style w:type="character" w:customStyle="1" w:styleId="293">
    <w:name w:val="日期 Char"/>
    <w:link w:val="44"/>
    <w:qFormat/>
    <w:locked/>
    <w:uiPriority w:val="0"/>
    <w:rPr>
      <w:rFonts w:cs="Times New Roman"/>
      <w:sz w:val="21"/>
      <w:szCs w:val="21"/>
    </w:rPr>
  </w:style>
  <w:style w:type="character" w:customStyle="1" w:styleId="294">
    <w:name w:val="标题 4 Char"/>
    <w:link w:val="6"/>
    <w:qFormat/>
    <w:locked/>
    <w:uiPriority w:val="99"/>
    <w:rPr>
      <w:rFonts w:ascii="Arial" w:hAnsi="Arial" w:eastAsia="黑体" w:cs="Arial"/>
      <w:b/>
      <w:bCs/>
      <w:sz w:val="28"/>
      <w:szCs w:val="28"/>
    </w:rPr>
  </w:style>
  <w:style w:type="character" w:customStyle="1" w:styleId="295">
    <w:name w:val="批注框文本 Char"/>
    <w:link w:val="47"/>
    <w:qFormat/>
    <w:uiPriority w:val="99"/>
    <w:rPr>
      <w:kern w:val="2"/>
      <w:sz w:val="18"/>
      <w:szCs w:val="18"/>
    </w:rPr>
  </w:style>
  <w:style w:type="character" w:customStyle="1" w:styleId="296">
    <w:name w:val="Document Map Char"/>
    <w:semiHidden/>
    <w:qFormat/>
    <w:locked/>
    <w:uiPriority w:val="99"/>
    <w:rPr>
      <w:rFonts w:eastAsia="宋体"/>
      <w:sz w:val="21"/>
    </w:rPr>
  </w:style>
  <w:style w:type="character" w:customStyle="1" w:styleId="297">
    <w:name w:val="HR正文 Char1"/>
    <w:qFormat/>
    <w:uiPriority w:val="0"/>
    <w:rPr>
      <w:kern w:val="2"/>
      <w:sz w:val="24"/>
      <w:szCs w:val="24"/>
    </w:rPr>
  </w:style>
  <w:style w:type="character" w:customStyle="1" w:styleId="298">
    <w:name w:val="副标题 Char"/>
    <w:link w:val="55"/>
    <w:qFormat/>
    <w:locked/>
    <w:uiPriority w:val="99"/>
    <w:rPr>
      <w:rFonts w:ascii="Cambria" w:hAnsi="Cambria" w:cs="Cambria"/>
      <w:b/>
      <w:bCs/>
      <w:kern w:val="28"/>
      <w:sz w:val="32"/>
      <w:szCs w:val="32"/>
    </w:rPr>
  </w:style>
  <w:style w:type="character" w:customStyle="1" w:styleId="299">
    <w:name w:val="hover44"/>
    <w:qFormat/>
    <w:uiPriority w:val="99"/>
    <w:rPr>
      <w:rFonts w:ascii="微软雅黑" w:hAnsi="微软雅黑" w:eastAsia="微软雅黑" w:cs="微软雅黑"/>
      <w:b/>
      <w:bCs/>
      <w:color w:val="auto"/>
      <w:sz w:val="22"/>
      <w:szCs w:val="22"/>
      <w:u w:val="single"/>
    </w:rPr>
  </w:style>
  <w:style w:type="character" w:customStyle="1" w:styleId="300">
    <w:name w:val="正文文本缩进 2 Char"/>
    <w:link w:val="45"/>
    <w:qFormat/>
    <w:locked/>
    <w:uiPriority w:val="0"/>
    <w:rPr>
      <w:rFonts w:cs="Times New Roman"/>
      <w:sz w:val="21"/>
      <w:szCs w:val="21"/>
    </w:rPr>
  </w:style>
  <w:style w:type="character" w:customStyle="1" w:styleId="301">
    <w:name w:val="Header Char"/>
    <w:semiHidden/>
    <w:qFormat/>
    <w:locked/>
    <w:uiPriority w:val="99"/>
    <w:rPr>
      <w:rFonts w:eastAsia="宋体"/>
      <w:sz w:val="18"/>
    </w:rPr>
  </w:style>
  <w:style w:type="character" w:customStyle="1" w:styleId="302">
    <w:name w:val="正文文本 2 Char"/>
    <w:link w:val="64"/>
    <w:semiHidden/>
    <w:qFormat/>
    <w:locked/>
    <w:uiPriority w:val="99"/>
    <w:rPr>
      <w:rFonts w:cs="Times New Roman"/>
      <w:sz w:val="21"/>
      <w:szCs w:val="21"/>
    </w:rPr>
  </w:style>
  <w:style w:type="character" w:customStyle="1" w:styleId="303">
    <w:name w:val="电子邮件签名 Char"/>
    <w:link w:val="18"/>
    <w:semiHidden/>
    <w:qFormat/>
    <w:locked/>
    <w:uiPriority w:val="99"/>
    <w:rPr>
      <w:rFonts w:cs="Times New Roman"/>
      <w:sz w:val="21"/>
      <w:szCs w:val="21"/>
    </w:rPr>
  </w:style>
  <w:style w:type="character" w:customStyle="1" w:styleId="304">
    <w:name w:val="标题 Char"/>
    <w:link w:val="72"/>
    <w:qFormat/>
    <w:locked/>
    <w:uiPriority w:val="0"/>
    <w:rPr>
      <w:rFonts w:ascii="Cambria" w:hAnsi="Cambria" w:cs="Cambria"/>
      <w:b/>
      <w:bCs/>
      <w:sz w:val="32"/>
      <w:szCs w:val="32"/>
    </w:rPr>
  </w:style>
  <w:style w:type="character" w:customStyle="1" w:styleId="305">
    <w:name w:val="HR标题3 Char"/>
    <w:link w:val="192"/>
    <w:qFormat/>
    <w:uiPriority w:val="0"/>
    <w:rPr>
      <w:rFonts w:ascii="Calibri" w:hAnsi="Calibri"/>
      <w:kern w:val="2"/>
      <w:sz w:val="24"/>
      <w:szCs w:val="24"/>
    </w:rPr>
  </w:style>
  <w:style w:type="character" w:customStyle="1" w:styleId="306">
    <w:name w:val="纯文本 Char"/>
    <w:link w:val="40"/>
    <w:qFormat/>
    <w:locked/>
    <w:uiPriority w:val="0"/>
    <w:rPr>
      <w:rFonts w:ascii="宋体" w:hAnsi="Courier New" w:cs="宋体"/>
      <w:sz w:val="21"/>
      <w:szCs w:val="21"/>
    </w:rPr>
  </w:style>
  <w:style w:type="character" w:customStyle="1" w:styleId="307">
    <w:name w:val="hover39"/>
    <w:qFormat/>
    <w:uiPriority w:val="99"/>
    <w:rPr>
      <w:rFonts w:cs="Times New Roman"/>
      <w:color w:val="FFFFFF"/>
      <w:shd w:val="clear" w:color="auto" w:fill="auto"/>
    </w:rPr>
  </w:style>
  <w:style w:type="character" w:customStyle="1" w:styleId="308">
    <w:name w:val="hover40"/>
    <w:qFormat/>
    <w:uiPriority w:val="99"/>
    <w:rPr>
      <w:rFonts w:cs="Times New Roman"/>
      <w:color w:val="auto"/>
      <w:u w:val="single"/>
    </w:rPr>
  </w:style>
  <w:style w:type="character" w:customStyle="1" w:styleId="309">
    <w:name w:val="页眉 Char"/>
    <w:link w:val="50"/>
    <w:qFormat/>
    <w:locked/>
    <w:uiPriority w:val="0"/>
    <w:rPr>
      <w:rFonts w:cs="Times New Roman"/>
      <w:sz w:val="18"/>
      <w:szCs w:val="18"/>
    </w:rPr>
  </w:style>
  <w:style w:type="character" w:customStyle="1" w:styleId="310">
    <w:name w:val="正文文本 3 Char"/>
    <w:link w:val="28"/>
    <w:semiHidden/>
    <w:qFormat/>
    <w:locked/>
    <w:uiPriority w:val="99"/>
    <w:rPr>
      <w:rFonts w:cs="Times New Roman"/>
      <w:sz w:val="16"/>
      <w:szCs w:val="16"/>
    </w:rPr>
  </w:style>
  <w:style w:type="character" w:customStyle="1" w:styleId="311">
    <w:name w:val="z-crt3"/>
    <w:qFormat/>
    <w:uiPriority w:val="0"/>
    <w:rPr>
      <w:color w:val="FFFFFF"/>
      <w:bdr w:val="single" w:color="5295E6" w:sz="4" w:space="0"/>
      <w:shd w:val="clear" w:color="auto" w:fill="5295E6"/>
    </w:rPr>
  </w:style>
  <w:style w:type="character" w:customStyle="1" w:styleId="312">
    <w:name w:val="标题 9 Char"/>
    <w:link w:val="11"/>
    <w:semiHidden/>
    <w:qFormat/>
    <w:locked/>
    <w:uiPriority w:val="99"/>
    <w:rPr>
      <w:rFonts w:ascii="Cambria" w:hAnsi="Cambria" w:eastAsia="宋体" w:cs="Cambria"/>
      <w:sz w:val="21"/>
      <w:szCs w:val="21"/>
    </w:rPr>
  </w:style>
  <w:style w:type="character" w:customStyle="1" w:styleId="313">
    <w:name w:val="正文文本缩进 Char"/>
    <w:link w:val="32"/>
    <w:qFormat/>
    <w:locked/>
    <w:uiPriority w:val="0"/>
    <w:rPr>
      <w:rFonts w:cs="Times New Roman"/>
      <w:sz w:val="21"/>
      <w:szCs w:val="21"/>
    </w:rPr>
  </w:style>
  <w:style w:type="character" w:customStyle="1" w:styleId="314">
    <w:name w:val="HTML Markup"/>
    <w:qFormat/>
    <w:uiPriority w:val="0"/>
    <w:rPr>
      <w:vanish/>
      <w:color w:val="FF0000"/>
    </w:rPr>
  </w:style>
  <w:style w:type="character" w:customStyle="1" w:styleId="315">
    <w:name w:val="文档结构图 Char"/>
    <w:link w:val="24"/>
    <w:qFormat/>
    <w:locked/>
    <w:uiPriority w:val="0"/>
    <w:rPr>
      <w:rFonts w:cs="Times New Roman"/>
      <w:sz w:val="2"/>
      <w:szCs w:val="2"/>
    </w:rPr>
  </w:style>
  <w:style w:type="character" w:customStyle="1" w:styleId="316">
    <w:name w:val="纯文本 字符"/>
    <w:qFormat/>
    <w:uiPriority w:val="0"/>
    <w:rPr>
      <w:rFonts w:ascii="宋体" w:hAnsi="Courier New"/>
      <w:kern w:val="2"/>
      <w:sz w:val="21"/>
      <w:szCs w:val="21"/>
    </w:rPr>
  </w:style>
  <w:style w:type="character" w:customStyle="1" w:styleId="317">
    <w:name w:val="HTML 地址 Char"/>
    <w:link w:val="38"/>
    <w:semiHidden/>
    <w:qFormat/>
    <w:locked/>
    <w:uiPriority w:val="99"/>
    <w:rPr>
      <w:rFonts w:cs="Times New Roman"/>
      <w:i/>
      <w:iCs/>
      <w:sz w:val="21"/>
      <w:szCs w:val="21"/>
    </w:rPr>
  </w:style>
  <w:style w:type="character" w:customStyle="1" w:styleId="318">
    <w:name w:val="apple-converted-space"/>
    <w:qFormat/>
    <w:uiPriority w:val="99"/>
  </w:style>
  <w:style w:type="character" w:customStyle="1" w:styleId="319">
    <w:name w:val="Body Text First Indent Char"/>
    <w:qFormat/>
    <w:locked/>
    <w:uiPriority w:val="99"/>
    <w:rPr>
      <w:rFonts w:ascii="宋体" w:hAnsi="宋体" w:eastAsia="宋体"/>
      <w:spacing w:val="20"/>
      <w:sz w:val="24"/>
    </w:rPr>
  </w:style>
  <w:style w:type="character" w:customStyle="1" w:styleId="320">
    <w:name w:val="Char Char3"/>
    <w:qFormat/>
    <w:uiPriority w:val="99"/>
    <w:rPr>
      <w:rFonts w:ascii="Calibri" w:hAnsi="Calibri" w:eastAsia="宋体" w:cs="Calibri"/>
      <w:sz w:val="22"/>
      <w:szCs w:val="22"/>
      <w:lang w:eastAsia="en-US"/>
    </w:rPr>
  </w:style>
  <w:style w:type="character" w:customStyle="1" w:styleId="321">
    <w:name w:val="页眉 Char1"/>
    <w:semiHidden/>
    <w:qFormat/>
    <w:locked/>
    <w:uiPriority w:val="0"/>
    <w:rPr>
      <w:rFonts w:ascii="Calibri" w:hAnsi="Calibri"/>
      <w:sz w:val="18"/>
      <w:szCs w:val="18"/>
    </w:rPr>
  </w:style>
  <w:style w:type="character" w:customStyle="1" w:styleId="322">
    <w:name w:val="信息标题 Char"/>
    <w:link w:val="67"/>
    <w:semiHidden/>
    <w:qFormat/>
    <w:locked/>
    <w:uiPriority w:val="99"/>
    <w:rPr>
      <w:rFonts w:ascii="Cambria" w:hAnsi="Cambria" w:eastAsia="宋体" w:cs="Cambria"/>
      <w:sz w:val="24"/>
      <w:szCs w:val="24"/>
      <w:shd w:val="pct20" w:color="auto" w:fill="auto"/>
    </w:rPr>
  </w:style>
  <w:style w:type="character" w:customStyle="1" w:styleId="323">
    <w:name w:val="first-child"/>
    <w:basedOn w:val="121"/>
    <w:qFormat/>
    <w:uiPriority w:val="0"/>
  </w:style>
  <w:style w:type="character" w:customStyle="1" w:styleId="324">
    <w:name w:val="签名 Char"/>
    <w:link w:val="51"/>
    <w:semiHidden/>
    <w:qFormat/>
    <w:locked/>
    <w:uiPriority w:val="99"/>
    <w:rPr>
      <w:rFonts w:cs="Times New Roman"/>
      <w:sz w:val="21"/>
      <w:szCs w:val="21"/>
    </w:rPr>
  </w:style>
  <w:style w:type="character" w:customStyle="1" w:styleId="325">
    <w:name w:val="页脚 Char"/>
    <w:link w:val="48"/>
    <w:qFormat/>
    <w:locked/>
    <w:uiPriority w:val="99"/>
    <w:rPr>
      <w:rFonts w:cs="Times New Roman"/>
      <w:sz w:val="18"/>
      <w:szCs w:val="18"/>
    </w:rPr>
  </w:style>
  <w:style w:type="character" w:customStyle="1" w:styleId="326">
    <w:name w:val="标题 8 Char"/>
    <w:link w:val="10"/>
    <w:semiHidden/>
    <w:qFormat/>
    <w:locked/>
    <w:uiPriority w:val="99"/>
    <w:rPr>
      <w:rFonts w:ascii="Cambria" w:hAnsi="Cambria" w:eastAsia="宋体" w:cs="Cambria"/>
      <w:sz w:val="24"/>
      <w:szCs w:val="24"/>
    </w:rPr>
  </w:style>
  <w:style w:type="character" w:customStyle="1" w:styleId="327">
    <w:name w:val="正文文本缩进 2 Char1"/>
    <w:semiHidden/>
    <w:qFormat/>
    <w:locked/>
    <w:uiPriority w:val="99"/>
    <w:rPr>
      <w:sz w:val="21"/>
      <w:szCs w:val="21"/>
    </w:rPr>
  </w:style>
  <w:style w:type="character" w:customStyle="1" w:styleId="328">
    <w:name w:val="标题 1 Char1"/>
    <w:link w:val="2"/>
    <w:qFormat/>
    <w:locked/>
    <w:uiPriority w:val="99"/>
    <w:rPr>
      <w:b/>
      <w:iCs/>
      <w:kern w:val="2"/>
      <w:sz w:val="36"/>
    </w:rPr>
  </w:style>
  <w:style w:type="character" w:customStyle="1" w:styleId="329">
    <w:name w:val="结束语 Char"/>
    <w:link w:val="29"/>
    <w:semiHidden/>
    <w:qFormat/>
    <w:locked/>
    <w:uiPriority w:val="99"/>
    <w:rPr>
      <w:rFonts w:cs="Times New Roman"/>
      <w:sz w:val="21"/>
      <w:szCs w:val="21"/>
    </w:rPr>
  </w:style>
  <w:style w:type="character" w:customStyle="1" w:styleId="330">
    <w:name w:val="注释标题 Char"/>
    <w:link w:val="16"/>
    <w:semiHidden/>
    <w:qFormat/>
    <w:locked/>
    <w:uiPriority w:val="99"/>
    <w:rPr>
      <w:rFonts w:cs="Times New Roman"/>
      <w:sz w:val="21"/>
      <w:szCs w:val="21"/>
    </w:rPr>
  </w:style>
  <w:style w:type="character" w:customStyle="1" w:styleId="331">
    <w:name w:val="hover34"/>
    <w:qFormat/>
    <w:uiPriority w:val="0"/>
    <w:rPr>
      <w:color w:val="FFFFFF"/>
      <w:bdr w:val="single" w:color="5294E5" w:sz="4" w:space="0"/>
      <w:shd w:val="clear" w:color="auto" w:fill="5294E5"/>
    </w:rPr>
  </w:style>
  <w:style w:type="table" w:customStyle="1" w:styleId="33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Courier New"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Courier New"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Courier New" w:cs="Times New Roman"/>
        <w:b/>
        <w:bCs/>
      </w:rPr>
    </w:tblStylePr>
    <w:tblStylePr w:type="lastCol">
      <w:rPr>
        <w:rFonts w:eastAsia="Courier New"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character" w:customStyle="1" w:styleId="334">
    <w:name w:val="font11"/>
    <w:basedOn w:val="121"/>
    <w:qFormat/>
    <w:uiPriority w:val="0"/>
    <w:rPr>
      <w:rFonts w:hint="default" w:ascii="Arial" w:hAnsi="Arial" w:cs="Arial"/>
      <w:color w:val="000000"/>
      <w:sz w:val="24"/>
      <w:szCs w:val="24"/>
      <w:u w:val="none"/>
    </w:rPr>
  </w:style>
  <w:style w:type="character" w:customStyle="1" w:styleId="335">
    <w:name w:val="font21"/>
    <w:basedOn w:val="121"/>
    <w:qFormat/>
    <w:uiPriority w:val="0"/>
    <w:rPr>
      <w:rFonts w:hint="eastAsia" w:ascii="仿宋" w:hAnsi="仿宋" w:eastAsia="仿宋" w:cs="仿宋"/>
      <w:color w:val="000000"/>
      <w:sz w:val="24"/>
      <w:szCs w:val="24"/>
      <w:u w:val="none"/>
    </w:rPr>
  </w:style>
  <w:style w:type="paragraph" w:customStyle="1" w:styleId="336">
    <w:name w:val="Text"/>
    <w:basedOn w:val="1"/>
    <w:qFormat/>
    <w:uiPriority w:val="0"/>
    <w:pPr>
      <w:widowControl/>
      <w:tabs>
        <w:tab w:val="left" w:pos="1134"/>
      </w:tabs>
      <w:ind w:left="1134"/>
    </w:pPr>
    <w:rPr>
      <w:rFonts w:ascii="Arial" w:hAnsi="Arial"/>
      <w:kern w:val="0"/>
      <w:sz w:val="22"/>
      <w:szCs w:val="20"/>
      <w:lang w:val="de-DE"/>
    </w:rPr>
  </w:style>
  <w:style w:type="paragraph" w:customStyle="1" w:styleId="337">
    <w:name w:val="1"/>
    <w:basedOn w:val="1"/>
    <w:qFormat/>
    <w:uiPriority w:val="0"/>
    <w:rPr>
      <w:b/>
      <w:szCs w:val="24"/>
    </w:rPr>
  </w:style>
  <w:style w:type="paragraph" w:customStyle="1" w:styleId="338">
    <w:name w:val="1.1"/>
    <w:basedOn w:val="1"/>
    <w:qFormat/>
    <w:uiPriority w:val="0"/>
    <w:pPr>
      <w:widowControl/>
      <w:tabs>
        <w:tab w:val="left" w:pos="425"/>
        <w:tab w:val="left" w:pos="851"/>
      </w:tabs>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CDE34-A6DB-4588-90B3-51091C0D7734}">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58</Pages>
  <Words>31584</Words>
  <Characters>33811</Characters>
  <Lines>282</Lines>
  <Paragraphs>79</Paragraphs>
  <TotalTime>0</TotalTime>
  <ScaleCrop>false</ScaleCrop>
  <LinksUpToDate>false</LinksUpToDate>
  <CharactersWithSpaces>34912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2021-02-24T11:43:00Z</dcterms:created>
  <dc:creator>USER</dc:creator>
  <cp:lastModifiedBy>Yuxin</cp:lastModifiedBy>
  <cp:lastPrinted>2020-10-17T02:27:00Z</cp:lastPrinted>
  <dcterms:modified xsi:type="dcterms:W3CDTF">2022-11-14T06:09:07Z</dcterms:modified>
  <dc:title>招标文件目录</dc:title>
  <cp:revision>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BAB38775499C4D5494022983CC568281</vt:lpwstr>
  </property>
</Properties>
</file>