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1"/>
        <w:adjustRightInd w:val="0"/>
        <w:ind w:firstLine="0" w:firstLineChars="0"/>
        <w:jc w:val="center"/>
        <w:rPr>
          <w:rFonts w:ascii="黑体" w:hAnsi="华文仿宋" w:eastAsia="黑体"/>
          <w:b/>
          <w:sz w:val="52"/>
          <w:szCs w:val="52"/>
        </w:rPr>
      </w:pPr>
      <w:bookmarkStart w:id="0" w:name="_Toc129420251"/>
      <w:bookmarkStart w:id="1" w:name="_Toc398595265"/>
      <w:bookmarkStart w:id="2" w:name="_Toc171433421"/>
      <w:bookmarkStart w:id="3" w:name="_Toc290401050"/>
    </w:p>
    <w:p>
      <w:pPr>
        <w:spacing w:beforeLines="50" w:afterLines="50"/>
        <w:jc w:val="center"/>
        <w:rPr>
          <w:rFonts w:ascii="宋体" w:hAnsi="宋体" w:cs="宋体"/>
          <w:b/>
          <w:sz w:val="48"/>
          <w:szCs w:val="48"/>
        </w:rPr>
      </w:pPr>
      <w:bookmarkStart w:id="4" w:name="_Hlk979784"/>
      <w:bookmarkStart w:id="5" w:name="_Toc533251924"/>
      <w:bookmarkStart w:id="6" w:name="_Toc290401046"/>
      <w:bookmarkStart w:id="7" w:name="_Toc287879065"/>
      <w:r>
        <w:rPr>
          <w:rFonts w:hint="eastAsia" w:ascii="宋体" w:hAnsi="宋体" w:cs="宋体"/>
          <w:b/>
          <w:sz w:val="48"/>
          <w:szCs w:val="48"/>
        </w:rPr>
        <w:t>章丘工业园部分区域重大风险智能防控系统建设项目（B包）</w:t>
      </w:r>
    </w:p>
    <w:bookmarkEnd w:id="4"/>
    <w:p>
      <w:pPr>
        <w:spacing w:beforeLines="50" w:afterLines="50"/>
        <w:jc w:val="center"/>
        <w:rPr>
          <w:rFonts w:ascii="宋体" w:hAnsi="宋体" w:cs="宋体"/>
          <w:b/>
          <w:sz w:val="48"/>
          <w:szCs w:val="48"/>
        </w:rPr>
      </w:pPr>
    </w:p>
    <w:p>
      <w:pPr>
        <w:spacing w:beforeLines="50" w:afterLines="50"/>
        <w:jc w:val="center"/>
        <w:rPr>
          <w:rFonts w:ascii="宋体" w:hAnsi="宋体" w:cs="宋体"/>
          <w:b/>
          <w:sz w:val="48"/>
          <w:szCs w:val="48"/>
        </w:rPr>
      </w:pPr>
    </w:p>
    <w:p>
      <w:pPr>
        <w:spacing w:beforeLines="50" w:afterLines="50"/>
        <w:jc w:val="center"/>
        <w:rPr>
          <w:rFonts w:ascii="宋体" w:hAnsi="宋体" w:cs="宋体"/>
          <w:b/>
          <w:sz w:val="48"/>
          <w:szCs w:val="48"/>
        </w:rPr>
      </w:pPr>
      <w:r>
        <w:rPr>
          <w:rFonts w:hint="eastAsia" w:ascii="宋体" w:hAnsi="宋体" w:cs="宋体"/>
          <w:b/>
          <w:sz w:val="48"/>
          <w:szCs w:val="48"/>
        </w:rPr>
        <w:t>招</w:t>
      </w:r>
    </w:p>
    <w:p>
      <w:pPr>
        <w:spacing w:beforeLines="50" w:afterLines="50"/>
        <w:jc w:val="center"/>
        <w:rPr>
          <w:rFonts w:ascii="宋体" w:hAnsi="宋体" w:cs="宋体"/>
          <w:b/>
          <w:sz w:val="48"/>
          <w:szCs w:val="48"/>
        </w:rPr>
      </w:pPr>
      <w:r>
        <w:rPr>
          <w:rFonts w:hint="eastAsia" w:ascii="宋体" w:hAnsi="宋体" w:cs="宋体"/>
          <w:b/>
          <w:sz w:val="48"/>
          <w:szCs w:val="48"/>
        </w:rPr>
        <w:t>标</w:t>
      </w:r>
    </w:p>
    <w:p>
      <w:pPr>
        <w:spacing w:beforeLines="50" w:afterLines="50"/>
        <w:jc w:val="center"/>
        <w:rPr>
          <w:rFonts w:ascii="宋体" w:hAnsi="宋体" w:cs="宋体"/>
          <w:b/>
          <w:sz w:val="48"/>
          <w:szCs w:val="48"/>
        </w:rPr>
      </w:pPr>
      <w:r>
        <w:rPr>
          <w:rFonts w:hint="eastAsia" w:ascii="宋体" w:hAnsi="宋体" w:cs="宋体"/>
          <w:b/>
          <w:sz w:val="48"/>
          <w:szCs w:val="48"/>
        </w:rPr>
        <w:t>文</w:t>
      </w:r>
    </w:p>
    <w:p>
      <w:pPr>
        <w:spacing w:beforeLines="50" w:afterLines="50"/>
        <w:jc w:val="center"/>
        <w:rPr>
          <w:rFonts w:ascii="宋体" w:hAnsi="宋体" w:cs="宋体"/>
          <w:b/>
          <w:sz w:val="48"/>
          <w:szCs w:val="48"/>
        </w:rPr>
      </w:pPr>
      <w:r>
        <w:rPr>
          <w:rFonts w:hint="eastAsia" w:ascii="宋体" w:hAnsi="宋体" w:cs="宋体"/>
          <w:b/>
          <w:sz w:val="48"/>
          <w:szCs w:val="48"/>
        </w:rPr>
        <w:t>件</w:t>
      </w:r>
    </w:p>
    <w:p>
      <w:pPr>
        <w:spacing w:beforeLines="50" w:afterLines="50"/>
        <w:jc w:val="center"/>
        <w:rPr>
          <w:rFonts w:ascii="宋体" w:hAnsi="宋体" w:cs="宋体"/>
          <w:b/>
          <w:sz w:val="48"/>
          <w:szCs w:val="48"/>
        </w:rPr>
      </w:pPr>
    </w:p>
    <w:p>
      <w:pPr>
        <w:spacing w:beforeLines="50" w:afterLines="50"/>
        <w:rPr>
          <w:rFonts w:ascii="宋体" w:hAnsi="宋体" w:cs="宋体"/>
          <w:b/>
          <w:sz w:val="48"/>
          <w:szCs w:val="48"/>
        </w:rPr>
      </w:pPr>
    </w:p>
    <w:p>
      <w:pPr>
        <w:spacing w:beforeLines="50" w:afterLines="50"/>
        <w:jc w:val="center"/>
        <w:rPr>
          <w:rFonts w:ascii="宋体" w:hAnsi="宋体" w:cs="宋体"/>
          <w:b/>
          <w:sz w:val="48"/>
          <w:szCs w:val="48"/>
        </w:rPr>
      </w:pPr>
    </w:p>
    <w:p>
      <w:pPr>
        <w:spacing w:beforeLines="50" w:afterLines="50"/>
        <w:jc w:val="center"/>
        <w:rPr>
          <w:rFonts w:ascii="宋体" w:hAnsi="宋体" w:cs="宋体"/>
          <w:b/>
          <w:sz w:val="44"/>
          <w:szCs w:val="44"/>
        </w:rPr>
      </w:pPr>
    </w:p>
    <w:p>
      <w:pPr>
        <w:spacing w:beforeLines="50" w:afterLines="50"/>
        <w:jc w:val="center"/>
        <w:rPr>
          <w:rFonts w:ascii="宋体" w:hAnsi="宋体" w:cs="宋体"/>
          <w:b/>
          <w:sz w:val="44"/>
          <w:szCs w:val="44"/>
        </w:rPr>
      </w:pPr>
    </w:p>
    <w:p>
      <w:pPr>
        <w:spacing w:beforeLines="50" w:afterLines="50"/>
        <w:jc w:val="center"/>
        <w:rPr>
          <w:rFonts w:ascii="宋体" w:hAnsi="宋体" w:cs="宋体"/>
          <w:b/>
          <w:sz w:val="44"/>
          <w:szCs w:val="44"/>
        </w:rPr>
      </w:pPr>
    </w:p>
    <w:p>
      <w:pPr>
        <w:spacing w:beforeLines="50" w:afterLines="50"/>
        <w:jc w:val="center"/>
        <w:rPr>
          <w:rFonts w:ascii="宋体" w:hAnsi="宋体" w:cs="宋体"/>
          <w:b/>
          <w:sz w:val="44"/>
          <w:szCs w:val="44"/>
        </w:rPr>
      </w:pPr>
      <w:r>
        <w:rPr>
          <w:rFonts w:hint="eastAsia" w:ascii="宋体" w:hAnsi="宋体" w:cs="宋体"/>
          <w:b/>
          <w:sz w:val="44"/>
          <w:szCs w:val="44"/>
        </w:rPr>
        <w:t>中国重汽集团济南商用车有限公司</w:t>
      </w:r>
    </w:p>
    <w:p>
      <w:pPr>
        <w:spacing w:beforeLines="50" w:afterLines="50"/>
        <w:jc w:val="center"/>
        <w:rPr>
          <w:rFonts w:ascii="宋体" w:hAnsi="宋体" w:cs="宋体"/>
          <w:b/>
          <w:sz w:val="48"/>
          <w:szCs w:val="48"/>
        </w:rPr>
      </w:pPr>
      <w:r>
        <w:rPr>
          <w:rFonts w:hint="eastAsia" w:ascii="宋体" w:hAnsi="宋体" w:cs="宋体"/>
          <w:b/>
          <w:sz w:val="44"/>
          <w:szCs w:val="44"/>
        </w:rPr>
        <w:t>二〇二一年九月</w:t>
      </w:r>
    </w:p>
    <w:p>
      <w:pPr>
        <w:pStyle w:val="5"/>
        <w:spacing w:line="360" w:lineRule="auto"/>
        <w:ind w:left="0"/>
        <w:jc w:val="center"/>
        <w:rPr>
          <w:sz w:val="32"/>
          <w:szCs w:val="32"/>
        </w:rPr>
      </w:pPr>
    </w:p>
    <w:bookmarkEnd w:id="5"/>
    <w:bookmarkEnd w:id="6"/>
    <w:bookmarkEnd w:id="7"/>
    <w:p>
      <w:pPr>
        <w:pStyle w:val="26"/>
        <w:spacing w:line="360" w:lineRule="auto"/>
        <w:jc w:val="center"/>
        <w:rPr>
          <w:rFonts w:ascii="黑体" w:hAnsi="Times New Roman" w:eastAsia="黑体"/>
          <w:sz w:val="28"/>
          <w:szCs w:val="28"/>
        </w:rPr>
      </w:pPr>
      <w:r>
        <w:rPr>
          <w:rFonts w:hint="eastAsia" w:ascii="黑体" w:eastAsia="黑体"/>
          <w:b/>
          <w:bCs/>
          <w:sz w:val="32"/>
        </w:rPr>
        <w:t>招标文件</w:t>
      </w:r>
    </w:p>
    <w:p>
      <w:pPr>
        <w:pStyle w:val="3"/>
        <w:tabs>
          <w:tab w:val="left" w:pos="7939"/>
        </w:tabs>
        <w:rPr>
          <w:rStyle w:val="46"/>
          <w:b/>
          <w:bCs w:val="0"/>
        </w:rPr>
      </w:pPr>
      <w:r>
        <w:rPr>
          <w:rStyle w:val="46"/>
          <w:rFonts w:hint="eastAsia"/>
          <w:b/>
          <w:bCs w:val="0"/>
        </w:rPr>
        <w:t>一、项目名称</w:t>
      </w:r>
      <w:r>
        <w:rPr>
          <w:rStyle w:val="46"/>
          <w:b/>
          <w:bCs w:val="0"/>
        </w:rPr>
        <w:tab/>
      </w:r>
    </w:p>
    <w:p>
      <w:pPr>
        <w:pStyle w:val="61"/>
        <w:adjustRightInd w:val="0"/>
        <w:ind w:firstLine="0" w:firstLineChars="0"/>
        <w:rPr>
          <w:rFonts w:cs="宋体"/>
          <w:b/>
          <w:kern w:val="0"/>
        </w:rPr>
      </w:pPr>
      <w:r>
        <w:rPr>
          <w:rFonts w:hint="eastAsia" w:cs="宋体"/>
          <w:kern w:val="0"/>
        </w:rPr>
        <w:t>项目名称：章丘工业园部分区域重大风险智能防控系统建设项目</w:t>
      </w:r>
    </w:p>
    <w:p>
      <w:pPr>
        <w:pStyle w:val="3"/>
        <w:rPr>
          <w:rStyle w:val="46"/>
          <w:b/>
          <w:bCs w:val="0"/>
        </w:rPr>
      </w:pPr>
      <w:bookmarkStart w:id="8" w:name="_Toc290401048"/>
      <w:bookmarkStart w:id="9" w:name="_Toc533251926"/>
      <w:r>
        <w:rPr>
          <w:rStyle w:val="46"/>
          <w:rFonts w:hint="eastAsia"/>
          <w:b/>
          <w:bCs w:val="0"/>
        </w:rPr>
        <w:t>二、</w:t>
      </w:r>
      <w:bookmarkEnd w:id="8"/>
      <w:r>
        <w:rPr>
          <w:rStyle w:val="46"/>
          <w:rFonts w:hint="eastAsia"/>
          <w:b/>
          <w:bCs w:val="0"/>
        </w:rPr>
        <w:t>招标内容</w:t>
      </w:r>
      <w:bookmarkEnd w:id="9"/>
      <w:r>
        <w:rPr>
          <w:rStyle w:val="46"/>
          <w:rFonts w:hint="eastAsia"/>
          <w:b/>
          <w:bCs w:val="0"/>
        </w:rPr>
        <w:t>及形式</w:t>
      </w:r>
    </w:p>
    <w:p>
      <w:pPr>
        <w:spacing w:line="360" w:lineRule="auto"/>
        <w:ind w:firstLine="480" w:firstLineChars="200"/>
        <w:rPr>
          <w:rFonts w:ascii="宋体" w:hAnsi="宋体" w:cs="宋体"/>
          <w:kern w:val="0"/>
          <w:sz w:val="24"/>
        </w:rPr>
      </w:pPr>
      <w:r>
        <w:rPr>
          <w:rFonts w:hint="eastAsia" w:ascii="宋体" w:hAnsi="宋体"/>
          <w:sz w:val="24"/>
        </w:rPr>
        <w:t>1</w:t>
      </w:r>
      <w:r>
        <w:rPr>
          <w:rFonts w:hint="eastAsia" w:ascii="Calibri Light" w:hAnsi="Calibri Light"/>
          <w:sz w:val="24"/>
        </w:rPr>
        <w:t>、对</w:t>
      </w:r>
      <w:r>
        <w:rPr>
          <w:rFonts w:hint="eastAsia" w:ascii="宋体" w:hAnsi="宋体" w:cs="宋体"/>
          <w:kern w:val="0"/>
          <w:sz w:val="24"/>
        </w:rPr>
        <w:t>章丘工业园部分区域重点防火部位进行重大风险智能防控系统建设。</w:t>
      </w:r>
    </w:p>
    <w:p>
      <w:pPr>
        <w:spacing w:line="360" w:lineRule="auto"/>
        <w:ind w:firstLine="480" w:firstLineChars="200"/>
        <w:rPr>
          <w:rFonts w:ascii="Calibri Light" w:hAnsi="Calibri Light"/>
          <w:szCs w:val="30"/>
        </w:rPr>
      </w:pPr>
      <w:r>
        <w:rPr>
          <w:rFonts w:hint="eastAsia" w:ascii="宋体" w:hAnsi="宋体" w:cs="宋体"/>
          <w:kern w:val="0"/>
          <w:sz w:val="24"/>
        </w:rPr>
        <w:t>2、招标形式-公开招标。</w:t>
      </w:r>
    </w:p>
    <w:p>
      <w:pPr>
        <w:pStyle w:val="3"/>
        <w:rPr>
          <w:rStyle w:val="46"/>
          <w:b/>
          <w:bCs w:val="0"/>
        </w:rPr>
      </w:pPr>
      <w:r>
        <w:rPr>
          <w:rStyle w:val="46"/>
          <w:rFonts w:hint="eastAsia"/>
          <w:b/>
          <w:bCs w:val="0"/>
        </w:rPr>
        <w:t>三、有关说明</w:t>
      </w:r>
    </w:p>
    <w:p>
      <w:pPr>
        <w:tabs>
          <w:tab w:val="left" w:pos="0"/>
        </w:tabs>
        <w:spacing w:line="360" w:lineRule="auto"/>
        <w:ind w:firstLine="482" w:firstLineChars="200"/>
        <w:rPr>
          <w:rFonts w:ascii="宋体" w:hAnsi="宋体" w:cs="宋体"/>
          <w:b/>
          <w:kern w:val="0"/>
          <w:sz w:val="24"/>
        </w:rPr>
      </w:pPr>
      <w:bookmarkStart w:id="10" w:name="_Toc533251928"/>
      <w:r>
        <w:rPr>
          <w:rFonts w:hint="eastAsia" w:ascii="宋体" w:hAnsi="宋体" w:cs="宋体"/>
          <w:b/>
          <w:kern w:val="0"/>
          <w:sz w:val="24"/>
        </w:rPr>
        <w:t>本次项目清单详见技术协议书与图纸</w:t>
      </w:r>
    </w:p>
    <w:bookmarkEnd w:id="10"/>
    <w:p>
      <w:pPr>
        <w:pStyle w:val="3"/>
        <w:rPr>
          <w:rStyle w:val="46"/>
          <w:b/>
          <w:bCs w:val="0"/>
        </w:rPr>
      </w:pPr>
      <w:r>
        <w:rPr>
          <w:rStyle w:val="46"/>
          <w:rFonts w:hint="eastAsia"/>
          <w:b/>
          <w:bCs w:val="0"/>
        </w:rPr>
        <w:t>四、交货及付款</w:t>
      </w:r>
    </w:p>
    <w:p>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1、项目实施小组进驻时间：收到中标通知书</w:t>
      </w:r>
      <w:r>
        <w:rPr>
          <w:rFonts w:ascii="宋体" w:hAnsi="宋体" w:cs="宋体"/>
          <w:kern w:val="0"/>
          <w:sz w:val="24"/>
        </w:rPr>
        <w:t>3</w:t>
      </w:r>
      <w:r>
        <w:rPr>
          <w:rFonts w:hint="eastAsia" w:ascii="宋体" w:hAnsi="宋体" w:cs="宋体"/>
          <w:kern w:val="0"/>
          <w:sz w:val="24"/>
        </w:rPr>
        <w:t>个工作日内。</w:t>
      </w:r>
    </w:p>
    <w:p>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2、实施地点：中国重汽章丘工业园部分区域（详见图纸）</w:t>
      </w:r>
    </w:p>
    <w:p>
      <w:pPr>
        <w:tabs>
          <w:tab w:val="left" w:pos="0"/>
        </w:tabs>
        <w:spacing w:line="360" w:lineRule="auto"/>
        <w:ind w:firstLine="480" w:firstLineChars="200"/>
      </w:pPr>
      <w:r>
        <w:rPr>
          <w:rFonts w:hint="eastAsia" w:ascii="宋体" w:hAnsi="宋体" w:cs="宋体"/>
          <w:kern w:val="0"/>
          <w:sz w:val="24"/>
        </w:rPr>
        <w:t>3、交货方式：交钥匙</w:t>
      </w:r>
    </w:p>
    <w:p>
      <w:pPr>
        <w:spacing w:line="360" w:lineRule="auto"/>
        <w:ind w:firstLine="480" w:firstLineChars="200"/>
        <w:rPr>
          <w:rFonts w:ascii="宋体" w:hAnsi="宋体" w:cs="宋体"/>
          <w:kern w:val="0"/>
          <w:sz w:val="24"/>
        </w:rPr>
      </w:pPr>
      <w:r>
        <w:rPr>
          <w:rFonts w:hint="eastAsia" w:ascii="宋体" w:hAnsi="宋体" w:cs="宋体"/>
          <w:kern w:val="0"/>
          <w:sz w:val="24"/>
        </w:rPr>
        <w:t>4、付款方式：银行承兑汇票</w:t>
      </w:r>
    </w:p>
    <w:p>
      <w:pPr>
        <w:spacing w:line="360" w:lineRule="auto"/>
        <w:ind w:firstLine="480" w:firstLineChars="200"/>
        <w:rPr>
          <w:rFonts w:ascii="宋体" w:hAnsi="宋体" w:cs="宋体"/>
          <w:kern w:val="0"/>
          <w:sz w:val="24"/>
        </w:rPr>
      </w:pPr>
      <w:r>
        <w:rPr>
          <w:rFonts w:hint="eastAsia" w:ascii="宋体" w:hAnsi="宋体" w:cs="宋体"/>
          <w:kern w:val="0"/>
          <w:sz w:val="24"/>
        </w:rPr>
        <w:t>4.1合同生效，本项目完工50%后，卖方提交金额为合同价款 30 %的收据及不低于本次付款额的增值税专用发票（正本一份，复印件二份），经买方依照财务制度审核无误后支付。</w:t>
      </w:r>
    </w:p>
    <w:p>
      <w:pPr>
        <w:spacing w:line="360" w:lineRule="auto"/>
        <w:ind w:firstLine="480" w:firstLineChars="200"/>
        <w:rPr>
          <w:rFonts w:ascii="宋体" w:hAnsi="宋体" w:cs="宋体"/>
          <w:kern w:val="0"/>
          <w:sz w:val="24"/>
        </w:rPr>
      </w:pPr>
      <w:r>
        <w:rPr>
          <w:rFonts w:ascii="宋体" w:hAnsi="宋体" w:cs="宋体"/>
          <w:kern w:val="0"/>
          <w:sz w:val="24"/>
        </w:rPr>
        <w:t>4.</w:t>
      </w:r>
      <w:r>
        <w:rPr>
          <w:rFonts w:hint="eastAsia" w:ascii="宋体" w:hAnsi="宋体" w:cs="宋体"/>
          <w:kern w:val="0"/>
          <w:sz w:val="24"/>
        </w:rPr>
        <w:t>2项目施工、调试验收合格后，卖方提交金额为合同价款 60 %的收据及合同总额剩余未开部分的增值税专用发票（正本一份，复印件二份），并附带该项目最终验收报告的原件及其复印件两份，经买方依照财务制度审核无误后支付。</w:t>
      </w:r>
    </w:p>
    <w:p>
      <w:pPr>
        <w:spacing w:line="360" w:lineRule="auto"/>
        <w:ind w:firstLine="480" w:firstLineChars="200"/>
        <w:rPr>
          <w:rFonts w:ascii="宋体" w:hAnsi="宋体" w:cs="宋体"/>
          <w:kern w:val="0"/>
          <w:sz w:val="24"/>
        </w:rPr>
      </w:pPr>
      <w:r>
        <w:rPr>
          <w:rFonts w:ascii="宋体" w:hAnsi="宋体" w:cs="宋体"/>
          <w:kern w:val="0"/>
          <w:sz w:val="24"/>
        </w:rPr>
        <w:t>4.</w:t>
      </w:r>
      <w:r>
        <w:rPr>
          <w:rFonts w:hint="eastAsia" w:ascii="宋体" w:hAnsi="宋体" w:cs="宋体"/>
          <w:kern w:val="0"/>
          <w:sz w:val="24"/>
        </w:rPr>
        <w:t>3合同总价款的 10 %作为本合同约定设备的质量保证金，质量保证金在质量保证期内不计利息。待该系统正常运行满一年后，卖方向买方提交金额为合同价款10%的收据（正本一份，复印件二份）及设备使用单位的使用情况说明，经买方依照财务制度审核无误后支付。如有质量问题，质量保证金予以相应扣除。</w:t>
      </w:r>
    </w:p>
    <w:p>
      <w:pPr>
        <w:pStyle w:val="3"/>
      </w:pPr>
      <w:r>
        <w:rPr>
          <w:rStyle w:val="46"/>
          <w:rFonts w:hint="eastAsia"/>
          <w:b/>
          <w:bCs w:val="0"/>
        </w:rPr>
        <w:t>五、投标说明</w:t>
      </w:r>
    </w:p>
    <w:p>
      <w:pPr>
        <w:ind w:firstLine="480"/>
        <w:outlineLvl w:val="2"/>
        <w:rPr>
          <w:rFonts w:ascii="宋体" w:hAnsi="宋体" w:cs="宋体"/>
          <w:kern w:val="0"/>
          <w:sz w:val="24"/>
        </w:rPr>
      </w:pPr>
      <w:r>
        <w:rPr>
          <w:rFonts w:hint="eastAsia" w:ascii="宋体" w:hAnsi="宋体" w:cs="宋体"/>
          <w:kern w:val="0"/>
          <w:sz w:val="24"/>
        </w:rPr>
        <w:t>1、投标要求</w:t>
      </w:r>
    </w:p>
    <w:p/>
    <w:tbl>
      <w:tblPr>
        <w:tblStyle w:val="43"/>
        <w:tblW w:w="90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7"/>
        <w:gridCol w:w="6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序号</w:t>
            </w:r>
          </w:p>
        </w:tc>
        <w:tc>
          <w:tcPr>
            <w:tcW w:w="21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内容</w:t>
            </w:r>
          </w:p>
        </w:tc>
        <w:tc>
          <w:tcPr>
            <w:tcW w:w="6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1</w:t>
            </w:r>
          </w:p>
        </w:tc>
        <w:tc>
          <w:tcPr>
            <w:tcW w:w="2107" w:type="dxa"/>
            <w:tcBorders>
              <w:top w:val="single" w:color="auto" w:sz="4" w:space="0"/>
              <w:left w:val="single" w:color="auto" w:sz="4" w:space="0"/>
              <w:bottom w:val="single" w:color="auto" w:sz="4" w:space="0"/>
              <w:right w:val="single" w:color="auto" w:sz="4" w:space="0"/>
            </w:tcBorders>
            <w:vAlign w:val="center"/>
          </w:tcPr>
          <w:p>
            <w:pPr>
              <w:pStyle w:val="73"/>
              <w:keepNext w:val="0"/>
              <w:keepLines w:val="0"/>
              <w:tabs>
                <w:tab w:val="left" w:pos="420"/>
              </w:tabs>
              <w:spacing w:before="0" w:after="0"/>
              <w:ind w:left="0" w:leftChars="0" w:firstLine="205" w:firstLineChars="98"/>
              <w:jc w:val="both"/>
              <w:rPr>
                <w:rFonts w:ascii="宋体" w:hAnsi="宋体" w:eastAsia="宋体"/>
                <w:b w:val="0"/>
                <w:bCs w:val="0"/>
                <w:color w:val="000000"/>
                <w:sz w:val="21"/>
                <w:szCs w:val="21"/>
              </w:rPr>
            </w:pPr>
            <w:r>
              <w:rPr>
                <w:rFonts w:hint="eastAsia" w:ascii="宋体" w:hAnsi="宋体" w:eastAsia="宋体"/>
                <w:b w:val="0"/>
                <w:bCs w:val="0"/>
                <w:color w:val="000000"/>
                <w:sz w:val="21"/>
                <w:szCs w:val="21"/>
              </w:rPr>
              <w:t>邀标人名称</w:t>
            </w:r>
          </w:p>
        </w:tc>
        <w:tc>
          <w:tcPr>
            <w:tcW w:w="6263" w:type="dxa"/>
            <w:tcBorders>
              <w:top w:val="single" w:color="auto" w:sz="4" w:space="0"/>
              <w:left w:val="single" w:color="auto" w:sz="4" w:space="0"/>
              <w:bottom w:val="single" w:color="auto" w:sz="4" w:space="0"/>
              <w:right w:val="single" w:color="auto" w:sz="4" w:space="0"/>
            </w:tcBorders>
            <w:vAlign w:val="center"/>
          </w:tcPr>
          <w:p>
            <w:pPr>
              <w:pStyle w:val="72"/>
              <w:keepNext w:val="0"/>
              <w:keepLines w:val="0"/>
              <w:spacing w:before="0" w:after="0" w:line="240" w:lineRule="auto"/>
              <w:ind w:left="820" w:hanging="400"/>
              <w:jc w:val="center"/>
              <w:rPr>
                <w:szCs w:val="21"/>
              </w:rPr>
            </w:pPr>
            <w:r>
              <w:rPr>
                <w:rFonts w:hint="eastAsia"/>
                <w:szCs w:val="21"/>
              </w:rPr>
              <w:t>中国重型汽车集团济南动力有限公司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2</w:t>
            </w:r>
          </w:p>
        </w:tc>
        <w:tc>
          <w:tcPr>
            <w:tcW w:w="2107" w:type="dxa"/>
            <w:tcBorders>
              <w:top w:val="single" w:color="auto" w:sz="4" w:space="0"/>
              <w:left w:val="single" w:color="auto" w:sz="4" w:space="0"/>
              <w:bottom w:val="single" w:color="auto" w:sz="4" w:space="0"/>
              <w:right w:val="single" w:color="auto" w:sz="4" w:space="0"/>
            </w:tcBorders>
            <w:vAlign w:val="center"/>
          </w:tcPr>
          <w:p>
            <w:pPr>
              <w:tabs>
                <w:tab w:val="left" w:pos="2532"/>
              </w:tabs>
              <w:jc w:val="left"/>
              <w:rPr>
                <w:rFonts w:ascii="宋体" w:hAnsi="宋体"/>
                <w:color w:val="000000"/>
                <w:szCs w:val="21"/>
              </w:rPr>
            </w:pPr>
            <w:r>
              <w:rPr>
                <w:rFonts w:hint="eastAsia" w:ascii="宋体" w:hAnsi="宋体"/>
                <w:color w:val="000000"/>
                <w:szCs w:val="21"/>
              </w:rPr>
              <w:t>投标人要求</w:t>
            </w:r>
          </w:p>
        </w:tc>
        <w:tc>
          <w:tcPr>
            <w:tcW w:w="6263" w:type="dxa"/>
            <w:tcBorders>
              <w:top w:val="single" w:color="auto" w:sz="4" w:space="0"/>
              <w:left w:val="single" w:color="auto" w:sz="4" w:space="0"/>
              <w:bottom w:val="single" w:color="auto" w:sz="4" w:space="0"/>
              <w:right w:val="single" w:color="auto" w:sz="4" w:space="0"/>
            </w:tcBorders>
            <w:vAlign w:val="center"/>
          </w:tcPr>
          <w:p>
            <w:pPr>
              <w:tabs>
                <w:tab w:val="left" w:pos="2532"/>
              </w:tabs>
              <w:jc w:val="left"/>
              <w:rPr>
                <w:rFonts w:ascii="宋体" w:hAnsi="宋体" w:cs="宋体"/>
                <w:szCs w:val="21"/>
              </w:rPr>
            </w:pPr>
            <w:r>
              <w:rPr>
                <w:rFonts w:hint="eastAsia" w:ascii="宋体" w:hAnsi="宋体" w:cs="宋体"/>
                <w:color w:val="000000"/>
                <w:kern w:val="0"/>
                <w:sz w:val="24"/>
              </w:rPr>
              <w:t>★</w:t>
            </w:r>
            <w:r>
              <w:rPr>
                <w:rFonts w:hint="eastAsia" w:ascii="宋体" w:hAnsi="宋体" w:cs="宋体"/>
                <w:szCs w:val="21"/>
              </w:rPr>
              <w:t>（1）投标人须遵守《中华人民共和国招标投标法》、《中华人民共和国民法典》、《中华人民共和国消防法》及其它有关的法律和法规及技术标准；为中华人民共和国境内注册的独立法人或其授权的分支机构，具有独立承担民事责任能力；投标人成立三年以上，至开标之日计算，注册资金不低于2000万元人民币，并具有良好信誉和业绩；</w:t>
            </w:r>
          </w:p>
          <w:p>
            <w:pPr>
              <w:tabs>
                <w:tab w:val="left" w:pos="2532"/>
              </w:tabs>
              <w:jc w:val="left"/>
              <w:rPr>
                <w:rFonts w:ascii="宋体" w:hAnsi="宋体" w:cs="宋体"/>
                <w:color w:val="000000"/>
                <w:szCs w:val="21"/>
              </w:rPr>
            </w:pPr>
            <w:r>
              <w:rPr>
                <w:rFonts w:hint="eastAsia" w:ascii="宋体" w:hAnsi="宋体" w:cs="宋体"/>
                <w:color w:val="000000"/>
                <w:szCs w:val="21"/>
              </w:rPr>
              <w:t>（2）投标人应具有相关招标项目的实施及服务能力。</w:t>
            </w:r>
          </w:p>
          <w:p>
            <w:pPr>
              <w:tabs>
                <w:tab w:val="left" w:pos="2532"/>
              </w:tabs>
              <w:jc w:val="left"/>
              <w:rPr>
                <w:rFonts w:ascii="宋体" w:hAnsi="宋体" w:cs="宋体"/>
                <w:color w:val="000000"/>
                <w:szCs w:val="21"/>
              </w:rPr>
            </w:pPr>
            <w:r>
              <w:rPr>
                <w:rFonts w:hint="eastAsia" w:ascii="宋体" w:hAnsi="宋体" w:cs="宋体"/>
                <w:color w:val="000000"/>
                <w:kern w:val="0"/>
                <w:sz w:val="24"/>
              </w:rPr>
              <w:t>★</w:t>
            </w:r>
            <w:r>
              <w:rPr>
                <w:rFonts w:hint="eastAsia" w:ascii="宋体" w:hAnsi="宋体" w:cs="宋体"/>
                <w:color w:val="000000"/>
                <w:szCs w:val="21"/>
              </w:rPr>
              <w:t>（3）投标人遵守执业准则和执业规范，近</w:t>
            </w:r>
            <w:r>
              <w:rPr>
                <w:rFonts w:ascii="宋体" w:hAnsi="宋体" w:cs="宋体"/>
                <w:color w:val="000000"/>
                <w:szCs w:val="21"/>
              </w:rPr>
              <w:t>3</w:t>
            </w:r>
            <w:r>
              <w:rPr>
                <w:rFonts w:hint="eastAsia" w:ascii="宋体" w:hAnsi="宋体" w:cs="宋体"/>
                <w:color w:val="000000"/>
                <w:szCs w:val="21"/>
              </w:rPr>
              <w:t>年内没有违法、违规或行业自律惩戒记录，无行政罚款或失信记录；</w:t>
            </w:r>
          </w:p>
          <w:p>
            <w:pPr>
              <w:tabs>
                <w:tab w:val="left" w:pos="2532"/>
              </w:tabs>
              <w:jc w:val="left"/>
              <w:rPr>
                <w:rFonts w:ascii="宋体"/>
                <w:szCs w:val="21"/>
              </w:rPr>
            </w:pPr>
            <w:r>
              <w:rPr>
                <w:rFonts w:hint="eastAsia" w:ascii="宋体" w:hAnsi="宋体" w:cs="宋体"/>
                <w:color w:val="000000"/>
                <w:szCs w:val="21"/>
              </w:rPr>
              <w:t>（4）</w:t>
            </w:r>
            <w:r>
              <w:rPr>
                <w:rFonts w:hint="eastAsia" w:ascii="宋体"/>
                <w:szCs w:val="21"/>
              </w:rPr>
              <w:t>投标人必须了解招标人业务特点；</w:t>
            </w:r>
          </w:p>
          <w:p>
            <w:pPr>
              <w:tabs>
                <w:tab w:val="left" w:pos="2532"/>
              </w:tabs>
              <w:jc w:val="left"/>
              <w:rPr>
                <w:rFonts w:ascii="宋体"/>
                <w:szCs w:val="21"/>
              </w:rPr>
            </w:pPr>
            <w:r>
              <w:rPr>
                <w:rFonts w:hint="eastAsia" w:ascii="宋体" w:hAnsi="宋体" w:cs="宋体"/>
                <w:color w:val="000000"/>
                <w:kern w:val="0"/>
                <w:sz w:val="24"/>
              </w:rPr>
              <w:t>★</w:t>
            </w:r>
            <w:r>
              <w:rPr>
                <w:rFonts w:hint="eastAsia" w:ascii="宋体"/>
                <w:szCs w:val="21"/>
              </w:rPr>
              <w:t>（5）投标人须确保产品的功能和指标满足招标文件要求；</w:t>
            </w:r>
          </w:p>
          <w:p>
            <w:pPr>
              <w:tabs>
                <w:tab w:val="left" w:pos="2532"/>
              </w:tabs>
              <w:jc w:val="left"/>
              <w:rPr>
                <w:rFonts w:ascii="宋体"/>
                <w:szCs w:val="21"/>
              </w:rPr>
            </w:pPr>
            <w:r>
              <w:rPr>
                <w:rFonts w:hint="eastAsia" w:ascii="宋体"/>
                <w:szCs w:val="21"/>
              </w:rPr>
              <w:t>（6）具有专业化的实施队伍，具有丰富的实施经验。</w:t>
            </w:r>
          </w:p>
          <w:p>
            <w:pPr>
              <w:tabs>
                <w:tab w:val="left" w:pos="2532"/>
              </w:tabs>
              <w:jc w:val="left"/>
              <w:rPr>
                <w:rFonts w:ascii="宋体" w:hAnsi="宋体" w:cs="宋体"/>
                <w:szCs w:val="21"/>
              </w:rPr>
            </w:pPr>
            <w:r>
              <w:rPr>
                <w:rFonts w:hint="eastAsia" w:ascii="宋体" w:hAnsi="宋体" w:cs="宋体"/>
                <w:color w:val="000000"/>
                <w:kern w:val="0"/>
                <w:sz w:val="24"/>
              </w:rPr>
              <w:t>★</w:t>
            </w:r>
            <w:r>
              <w:rPr>
                <w:rFonts w:hint="eastAsia" w:ascii="宋体" w:hAnsi="宋体" w:cs="宋体"/>
                <w:szCs w:val="21"/>
              </w:rPr>
              <w:t>（7）投标人须具有良好财务状况，需提供经会计师事务所出具的近三年的财务审计报告</w:t>
            </w:r>
            <w:r>
              <w:rPr>
                <w:rFonts w:ascii="宋体" w:hAnsi="宋体" w:cs="宋体"/>
                <w:szCs w:val="21"/>
              </w:rPr>
              <w:t>复印件</w:t>
            </w:r>
            <w:r>
              <w:rPr>
                <w:rFonts w:hint="eastAsia" w:ascii="宋体" w:hAnsi="宋体" w:cs="宋体"/>
                <w:szCs w:val="21"/>
              </w:rPr>
              <w:t>加盖公章，原件备查。</w:t>
            </w:r>
          </w:p>
          <w:p>
            <w:pPr>
              <w:tabs>
                <w:tab w:val="left" w:pos="2532"/>
              </w:tabs>
              <w:jc w:val="left"/>
              <w:rPr>
                <w:rFonts w:ascii="宋体" w:hAnsi="宋体" w:cs="宋体"/>
                <w:szCs w:val="21"/>
              </w:rPr>
            </w:pPr>
            <w:r>
              <w:rPr>
                <w:rFonts w:hint="eastAsia" w:ascii="宋体" w:hAnsi="宋体" w:cs="宋体"/>
                <w:color w:val="000000"/>
                <w:kern w:val="0"/>
                <w:sz w:val="24"/>
              </w:rPr>
              <w:t>★</w:t>
            </w:r>
            <w:r>
              <w:rPr>
                <w:rFonts w:hint="eastAsia" w:ascii="宋体" w:hAnsi="宋体" w:cs="宋体"/>
                <w:szCs w:val="21"/>
              </w:rPr>
              <w:t>（8）单位负责人为同一人或者存在直接控股、管理关系的不同投标人，不得参加同一合同项。</w:t>
            </w:r>
          </w:p>
          <w:p>
            <w:pPr>
              <w:tabs>
                <w:tab w:val="left" w:pos="2532"/>
              </w:tabs>
              <w:jc w:val="left"/>
              <w:rPr>
                <w:rFonts w:ascii="宋体" w:hAnsi="宋体" w:cs="宋体"/>
                <w:szCs w:val="21"/>
              </w:rPr>
            </w:pPr>
            <w:r>
              <w:rPr>
                <w:rFonts w:hint="eastAsia" w:ascii="宋体" w:hAnsi="宋体" w:cs="宋体"/>
                <w:color w:val="000000"/>
                <w:kern w:val="0"/>
                <w:sz w:val="24"/>
              </w:rPr>
              <w:t>★</w:t>
            </w:r>
            <w:r>
              <w:rPr>
                <w:rFonts w:hint="eastAsia" w:ascii="宋体" w:hAnsi="宋体" w:cs="宋体"/>
                <w:szCs w:val="21"/>
              </w:rPr>
              <w:t>（9）投标人需具备消防设施工程承包一级资质</w:t>
            </w:r>
          </w:p>
          <w:p>
            <w:pPr>
              <w:tabs>
                <w:tab w:val="left" w:pos="2532"/>
              </w:tabs>
              <w:jc w:val="left"/>
              <w:rPr>
                <w:rFonts w:ascii="宋体" w:hAnsi="宋体" w:cs="宋体"/>
                <w:szCs w:val="21"/>
              </w:rPr>
            </w:pPr>
            <w:r>
              <w:rPr>
                <w:rFonts w:hint="eastAsia" w:ascii="宋体" w:hAnsi="宋体" w:cs="宋体"/>
                <w:color w:val="000000"/>
                <w:kern w:val="0"/>
                <w:sz w:val="24"/>
              </w:rPr>
              <w:t>★</w:t>
            </w:r>
            <w:r>
              <w:rPr>
                <w:rFonts w:hint="eastAsia" w:ascii="宋体" w:hAnsi="宋体" w:cs="宋体"/>
                <w:szCs w:val="21"/>
              </w:rPr>
              <w:t>（10）投标人的直接或间接股东、法定代表人、董事、监事、高管应非中国重型汽车集团有限公司及其下属单位的员工及其亲属。</w:t>
            </w:r>
          </w:p>
          <w:p>
            <w:pPr>
              <w:tabs>
                <w:tab w:val="left" w:pos="2532"/>
              </w:tabs>
              <w:jc w:val="left"/>
              <w:rPr>
                <w:rFonts w:ascii="宋体" w:hAnsi="宋体" w:cs="宋体"/>
                <w:szCs w:val="21"/>
              </w:rPr>
            </w:pPr>
            <w:r>
              <w:rPr>
                <w:rFonts w:hint="eastAsia" w:ascii="宋体" w:hAnsi="宋体" w:cs="宋体"/>
                <w:color w:val="000000"/>
                <w:kern w:val="0"/>
                <w:sz w:val="24"/>
              </w:rPr>
              <w:t>★</w:t>
            </w:r>
            <w:r>
              <w:rPr>
                <w:rFonts w:hint="eastAsia" w:ascii="宋体" w:hAnsi="宋体" w:cs="宋体"/>
                <w:szCs w:val="21"/>
              </w:rPr>
              <w:t>（11）投标人需确认本项目与中国重汽智慧消防试点单位智慧消防平台进行对接，并出具加盖单位公章的确认函。</w:t>
            </w:r>
          </w:p>
          <w:p>
            <w:pPr>
              <w:tabs>
                <w:tab w:val="left" w:pos="2532"/>
              </w:tabs>
              <w:jc w:val="left"/>
              <w:rPr>
                <w:rFonts w:ascii="宋体" w:hAnsi="宋体" w:cs="宋体"/>
                <w:szCs w:val="21"/>
              </w:rPr>
            </w:pPr>
            <w:r>
              <w:rPr>
                <w:rFonts w:hint="eastAsia" w:ascii="宋体" w:hAnsi="宋体" w:cs="宋体"/>
                <w:szCs w:val="21"/>
              </w:rPr>
              <w:t>（12）投标人应根据上述★项内容进行自查，如不能提供或提供材料存在虚假情况的，将视为废标处理。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3</w:t>
            </w:r>
          </w:p>
        </w:tc>
        <w:tc>
          <w:tcPr>
            <w:tcW w:w="21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是否允许代理商投标</w:t>
            </w:r>
          </w:p>
        </w:tc>
        <w:tc>
          <w:tcPr>
            <w:tcW w:w="6263" w:type="dxa"/>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szCs w:val="21"/>
              </w:rPr>
            </w:pPr>
            <w:r>
              <w:rPr>
                <w:rFonts w:hint="eastAsia" w:ascii="宋体" w:hAnsi="宋体"/>
                <w:bCs/>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4</w:t>
            </w:r>
          </w:p>
        </w:tc>
        <w:tc>
          <w:tcPr>
            <w:tcW w:w="21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投标人应提交的</w:t>
            </w:r>
          </w:p>
          <w:p>
            <w:pPr>
              <w:ind w:firstLine="308" w:firstLineChars="147"/>
              <w:rPr>
                <w:rFonts w:ascii="宋体" w:hAnsi="宋体"/>
                <w:color w:val="000000"/>
                <w:szCs w:val="21"/>
              </w:rPr>
            </w:pPr>
            <w:r>
              <w:rPr>
                <w:rFonts w:hint="eastAsia" w:ascii="宋体" w:hAnsi="宋体"/>
                <w:color w:val="000000"/>
                <w:szCs w:val="21"/>
              </w:rPr>
              <w:t>商务文件</w:t>
            </w:r>
          </w:p>
        </w:tc>
        <w:tc>
          <w:tcPr>
            <w:tcW w:w="6263" w:type="dxa"/>
            <w:tcBorders>
              <w:top w:val="single" w:color="auto" w:sz="4" w:space="0"/>
              <w:left w:val="single" w:color="auto" w:sz="4" w:space="0"/>
              <w:bottom w:val="single" w:color="auto" w:sz="4" w:space="0"/>
              <w:right w:val="single" w:color="auto" w:sz="4" w:space="0"/>
            </w:tcBorders>
            <w:vAlign w:val="center"/>
          </w:tcPr>
          <w:p>
            <w:pPr>
              <w:numPr>
                <w:ilvl w:val="0"/>
                <w:numId w:val="6"/>
              </w:numPr>
              <w:tabs>
                <w:tab w:val="left" w:pos="556"/>
              </w:tabs>
              <w:ind w:left="554" w:leftChars="-3" w:hanging="560" w:hangingChars="267"/>
              <w:jc w:val="left"/>
              <w:rPr>
                <w:rFonts w:ascii="宋体" w:hAnsi="宋体"/>
                <w:color w:val="000000"/>
                <w:szCs w:val="21"/>
              </w:rPr>
            </w:pPr>
            <w:r>
              <w:rPr>
                <w:rFonts w:hint="eastAsia" w:ascii="宋体" w:hAnsi="宋体"/>
                <w:color w:val="000000"/>
                <w:szCs w:val="21"/>
              </w:rPr>
              <w:t>法定代表人授权委托书；</w:t>
            </w:r>
          </w:p>
          <w:p>
            <w:pPr>
              <w:numPr>
                <w:ilvl w:val="0"/>
                <w:numId w:val="6"/>
              </w:numPr>
              <w:tabs>
                <w:tab w:val="left" w:pos="556"/>
              </w:tabs>
              <w:ind w:left="554" w:leftChars="-3" w:hanging="560" w:hangingChars="267"/>
              <w:jc w:val="left"/>
              <w:rPr>
                <w:rFonts w:ascii="宋体" w:hAnsi="宋体"/>
                <w:color w:val="000000"/>
                <w:szCs w:val="21"/>
              </w:rPr>
            </w:pPr>
            <w:r>
              <w:rPr>
                <w:rFonts w:hint="eastAsia" w:ascii="宋体" w:hAnsi="宋体"/>
                <w:color w:val="000000"/>
                <w:szCs w:val="21"/>
              </w:rPr>
              <w:t>营业执照原件及加盖公章复印件；</w:t>
            </w:r>
          </w:p>
          <w:p>
            <w:pPr>
              <w:numPr>
                <w:ilvl w:val="0"/>
                <w:numId w:val="6"/>
              </w:numPr>
              <w:tabs>
                <w:tab w:val="left" w:pos="556"/>
              </w:tabs>
              <w:ind w:left="554" w:leftChars="-3" w:hanging="560" w:hangingChars="267"/>
              <w:jc w:val="left"/>
              <w:rPr>
                <w:rFonts w:ascii="宋体" w:hAnsi="宋体"/>
                <w:color w:val="000000"/>
                <w:szCs w:val="21"/>
              </w:rPr>
            </w:pPr>
            <w:r>
              <w:rPr>
                <w:rFonts w:hint="eastAsia" w:ascii="宋体" w:hAnsi="宋体"/>
                <w:color w:val="000000"/>
                <w:szCs w:val="21"/>
              </w:rPr>
              <w:t>开标一览表；</w:t>
            </w:r>
          </w:p>
          <w:p>
            <w:pPr>
              <w:numPr>
                <w:ilvl w:val="0"/>
                <w:numId w:val="6"/>
              </w:numPr>
              <w:tabs>
                <w:tab w:val="left" w:pos="556"/>
              </w:tabs>
              <w:ind w:left="554" w:leftChars="-3" w:hanging="560" w:hangingChars="267"/>
              <w:jc w:val="left"/>
              <w:rPr>
                <w:rFonts w:ascii="宋体" w:hAnsi="宋体"/>
                <w:color w:val="000000"/>
                <w:szCs w:val="21"/>
              </w:rPr>
            </w:pPr>
            <w:r>
              <w:rPr>
                <w:rFonts w:hint="eastAsia" w:ascii="宋体" w:hAnsi="宋体"/>
                <w:color w:val="000000"/>
                <w:szCs w:val="21"/>
              </w:rPr>
              <w:t>投标报价表；</w:t>
            </w:r>
          </w:p>
          <w:p>
            <w:pPr>
              <w:numPr>
                <w:ilvl w:val="0"/>
                <w:numId w:val="6"/>
              </w:numPr>
              <w:tabs>
                <w:tab w:val="left" w:pos="556"/>
              </w:tabs>
              <w:ind w:left="554" w:leftChars="-3" w:hanging="560" w:hangingChars="267"/>
              <w:jc w:val="left"/>
              <w:rPr>
                <w:rFonts w:ascii="宋体" w:hAnsi="宋体"/>
                <w:color w:val="000000"/>
                <w:szCs w:val="21"/>
              </w:rPr>
            </w:pPr>
            <w:r>
              <w:rPr>
                <w:rFonts w:hint="eastAsia" w:ascii="宋体" w:hAnsi="宋体"/>
                <w:color w:val="000000"/>
                <w:szCs w:val="21"/>
              </w:rPr>
              <w:t>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5</w:t>
            </w:r>
          </w:p>
        </w:tc>
        <w:tc>
          <w:tcPr>
            <w:tcW w:w="21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投标软件商软件平台要求</w:t>
            </w:r>
          </w:p>
        </w:tc>
        <w:tc>
          <w:tcPr>
            <w:tcW w:w="6263" w:type="dxa"/>
            <w:tcBorders>
              <w:top w:val="single" w:color="auto" w:sz="4" w:space="0"/>
              <w:left w:val="single" w:color="auto" w:sz="4" w:space="0"/>
              <w:bottom w:val="single" w:color="auto" w:sz="4" w:space="0"/>
              <w:right w:val="single" w:color="auto" w:sz="4" w:space="0"/>
            </w:tcBorders>
            <w:vAlign w:val="center"/>
          </w:tcPr>
          <w:p>
            <w:pPr>
              <w:tabs>
                <w:tab w:val="left" w:pos="2532"/>
              </w:tabs>
              <w:ind w:firstLine="105" w:firstLineChars="50"/>
              <w:jc w:val="left"/>
              <w:rPr>
                <w:rFonts w:ascii="宋体" w:hAnsi="宋体"/>
                <w:color w:val="00000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6</w:t>
            </w:r>
          </w:p>
        </w:tc>
        <w:tc>
          <w:tcPr>
            <w:tcW w:w="21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服务说明</w:t>
            </w:r>
          </w:p>
        </w:tc>
        <w:tc>
          <w:tcPr>
            <w:tcW w:w="62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投标人有完善售后服务组织体系，拥有常驻服务和技术支持机构，并配有专业的技术队伍，能提供快捷的售后服务响应。卖方在系统运行状态下出现问题，卖方需在24小时内到达现场并提供技术支持。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7</w:t>
            </w:r>
          </w:p>
        </w:tc>
        <w:tc>
          <w:tcPr>
            <w:tcW w:w="21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投标人应提交的</w:t>
            </w:r>
          </w:p>
          <w:p>
            <w:pPr>
              <w:ind w:firstLine="205" w:firstLineChars="98"/>
              <w:rPr>
                <w:rFonts w:ascii="宋体" w:hAnsi="宋体"/>
                <w:color w:val="000000"/>
                <w:szCs w:val="21"/>
              </w:rPr>
            </w:pPr>
            <w:r>
              <w:rPr>
                <w:rFonts w:hint="eastAsia" w:ascii="宋体" w:hAnsi="宋体"/>
                <w:color w:val="000000"/>
                <w:szCs w:val="21"/>
              </w:rPr>
              <w:t>技术文件</w:t>
            </w:r>
          </w:p>
        </w:tc>
        <w:tc>
          <w:tcPr>
            <w:tcW w:w="62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（1）投标文件技术部分包括所投系统设备技术方案、技术规格偏离表、配置情况说明等，由投标人视需要自行编制；</w:t>
            </w:r>
          </w:p>
          <w:p>
            <w:pPr>
              <w:rPr>
                <w:rFonts w:ascii="宋体" w:hAnsi="宋体"/>
                <w:color w:val="000000"/>
                <w:szCs w:val="21"/>
              </w:rPr>
            </w:pPr>
            <w:r>
              <w:rPr>
                <w:rFonts w:hint="eastAsia" w:ascii="宋体" w:hAnsi="宋体"/>
                <w:color w:val="000000"/>
                <w:szCs w:val="21"/>
              </w:rPr>
              <w:t>（2）投标人针对本项目采购产品特点提出完善的售后服务解决方案，服务偏离表及优惠条件；</w:t>
            </w:r>
          </w:p>
          <w:p>
            <w:pPr>
              <w:rPr>
                <w:rFonts w:ascii="宋体" w:hAnsi="宋体"/>
                <w:color w:val="000000"/>
                <w:szCs w:val="21"/>
              </w:rPr>
            </w:pPr>
            <w:r>
              <w:rPr>
                <w:rFonts w:hint="eastAsia" w:ascii="宋体" w:hAnsi="宋体"/>
                <w:color w:val="000000"/>
                <w:szCs w:val="21"/>
              </w:rPr>
              <w:t>（3）货物质量承诺；</w:t>
            </w:r>
          </w:p>
          <w:p>
            <w:pPr>
              <w:rPr>
                <w:rFonts w:ascii="宋体" w:hAnsi="宋体"/>
                <w:color w:val="000000"/>
                <w:szCs w:val="21"/>
              </w:rPr>
            </w:pPr>
            <w:r>
              <w:rPr>
                <w:rFonts w:hint="eastAsia" w:ascii="宋体" w:hAnsi="宋体"/>
                <w:color w:val="000000"/>
                <w:szCs w:val="21"/>
              </w:rPr>
              <w:t>（4）企业人员、规模、资质、经营状况、技术力量；</w:t>
            </w:r>
          </w:p>
          <w:p>
            <w:pPr>
              <w:rPr>
                <w:rFonts w:ascii="宋体" w:hAnsi="宋体"/>
                <w:color w:val="000000"/>
                <w:szCs w:val="21"/>
              </w:rPr>
            </w:pPr>
            <w:r>
              <w:rPr>
                <w:rFonts w:hint="eastAsia" w:ascii="宋体" w:hAnsi="宋体"/>
                <w:color w:val="000000"/>
                <w:szCs w:val="21"/>
              </w:rPr>
              <w:t>（5）200万及以上消防项目施工业绩及证明材料；</w:t>
            </w:r>
          </w:p>
          <w:p>
            <w:pPr>
              <w:rPr>
                <w:rFonts w:ascii="宋体" w:hAnsi="宋体"/>
                <w:color w:val="000000"/>
                <w:szCs w:val="21"/>
              </w:rPr>
            </w:pPr>
            <w:r>
              <w:rPr>
                <w:rFonts w:hint="eastAsia" w:ascii="宋体" w:hAnsi="宋体"/>
                <w:color w:val="000000"/>
                <w:szCs w:val="21"/>
              </w:rPr>
              <w:t>（6）评标所需的认证证书材料；</w:t>
            </w:r>
          </w:p>
          <w:p>
            <w:pPr>
              <w:rPr>
                <w:rFonts w:ascii="宋体" w:hAnsi="宋体"/>
                <w:color w:val="000000"/>
                <w:szCs w:val="21"/>
              </w:rPr>
            </w:pPr>
            <w:r>
              <w:rPr>
                <w:rFonts w:hint="eastAsia" w:ascii="宋体" w:hAnsi="宋体"/>
                <w:color w:val="000000"/>
                <w:szCs w:val="21"/>
              </w:rPr>
              <w:t>（7）评标所需的检测报告材料；</w:t>
            </w:r>
          </w:p>
          <w:p>
            <w:pPr>
              <w:rPr>
                <w:rFonts w:ascii="宋体" w:hAnsi="宋体"/>
                <w:color w:val="000000"/>
                <w:szCs w:val="21"/>
              </w:rPr>
            </w:pPr>
            <w:r>
              <w:rPr>
                <w:rFonts w:hint="eastAsia" w:ascii="宋体" w:hAnsi="宋体"/>
                <w:color w:val="000000"/>
                <w:szCs w:val="21"/>
              </w:rPr>
              <w:t>（8）本项目的投标人若在济南范围内具有办事处或分公司办公场所的证明材料；</w:t>
            </w:r>
          </w:p>
          <w:p>
            <w:pPr>
              <w:tabs>
                <w:tab w:val="left" w:pos="556"/>
              </w:tabs>
              <w:rPr>
                <w:rFonts w:ascii="宋体" w:hAnsi="宋体"/>
                <w:color w:val="000000"/>
                <w:szCs w:val="21"/>
              </w:rPr>
            </w:pPr>
            <w:r>
              <w:rPr>
                <w:rFonts w:hint="eastAsia" w:ascii="宋体" w:hAnsi="宋体"/>
                <w:color w:val="000000"/>
                <w:szCs w:val="21"/>
              </w:rPr>
              <w:t>（9）投标人认为需要提供的其它说明和资料。</w:t>
            </w:r>
          </w:p>
          <w:p>
            <w:pPr>
              <w:tabs>
                <w:tab w:val="left" w:pos="556"/>
              </w:tabs>
              <w:rPr>
                <w:rFonts w:ascii="宋体" w:hAnsi="宋体"/>
                <w:color w:val="000000"/>
                <w:szCs w:val="21"/>
              </w:rPr>
            </w:pPr>
            <w:r>
              <w:rPr>
                <w:rFonts w:hint="eastAsia" w:ascii="宋体" w:hAnsi="宋体"/>
                <w:color w:val="000000"/>
                <w:szCs w:val="21"/>
              </w:rPr>
              <w:t>（10）特殊资质证书原件：消防设施工程承包一级资质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8</w:t>
            </w:r>
          </w:p>
        </w:tc>
        <w:tc>
          <w:tcPr>
            <w:tcW w:w="21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投标人自行编写的</w:t>
            </w:r>
          </w:p>
          <w:p>
            <w:pPr>
              <w:jc w:val="center"/>
              <w:rPr>
                <w:rFonts w:ascii="宋体" w:hAnsi="宋体"/>
                <w:color w:val="000000"/>
                <w:szCs w:val="21"/>
              </w:rPr>
            </w:pPr>
            <w:r>
              <w:rPr>
                <w:rFonts w:hint="eastAsia" w:ascii="宋体" w:hAnsi="宋体"/>
                <w:color w:val="000000"/>
                <w:szCs w:val="21"/>
              </w:rPr>
              <w:t>技术文件应包含内容</w:t>
            </w:r>
          </w:p>
        </w:tc>
        <w:tc>
          <w:tcPr>
            <w:tcW w:w="6263" w:type="dxa"/>
            <w:tcBorders>
              <w:top w:val="single" w:color="auto" w:sz="4" w:space="0"/>
              <w:left w:val="single" w:color="auto" w:sz="4" w:space="0"/>
              <w:bottom w:val="single" w:color="auto" w:sz="4" w:space="0"/>
              <w:right w:val="single" w:color="auto" w:sz="4" w:space="0"/>
            </w:tcBorders>
            <w:vAlign w:val="center"/>
          </w:tcPr>
          <w:p>
            <w:pPr>
              <w:numPr>
                <w:ilvl w:val="0"/>
                <w:numId w:val="7"/>
              </w:numPr>
              <w:tabs>
                <w:tab w:val="left" w:pos="556"/>
                <w:tab w:val="left" w:pos="612"/>
              </w:tabs>
              <w:ind w:left="556" w:hanging="567"/>
              <w:rPr>
                <w:rFonts w:ascii="宋体" w:hAnsi="宋体"/>
                <w:color w:val="000000"/>
                <w:szCs w:val="21"/>
              </w:rPr>
            </w:pPr>
            <w:r>
              <w:rPr>
                <w:rFonts w:hint="eastAsia" w:ascii="宋体" w:hAnsi="宋体"/>
                <w:color w:val="000000"/>
                <w:szCs w:val="21"/>
              </w:rPr>
              <w:t>建设方案</w:t>
            </w:r>
          </w:p>
          <w:p>
            <w:pPr>
              <w:numPr>
                <w:ilvl w:val="0"/>
                <w:numId w:val="7"/>
              </w:numPr>
              <w:tabs>
                <w:tab w:val="left" w:pos="556"/>
                <w:tab w:val="left" w:pos="612"/>
              </w:tabs>
              <w:ind w:left="556" w:hanging="567"/>
              <w:rPr>
                <w:rFonts w:ascii="宋体" w:hAnsi="宋体"/>
                <w:color w:val="000000"/>
                <w:szCs w:val="21"/>
              </w:rPr>
            </w:pPr>
            <w:r>
              <w:rPr>
                <w:rFonts w:ascii="宋体" w:hAnsi="宋体"/>
                <w:color w:val="000000"/>
                <w:szCs w:val="21"/>
              </w:rPr>
              <w:t>货物主要技术指标和运行性能的详细描述</w:t>
            </w:r>
          </w:p>
          <w:p>
            <w:pPr>
              <w:numPr>
                <w:ilvl w:val="0"/>
                <w:numId w:val="7"/>
              </w:numPr>
              <w:tabs>
                <w:tab w:val="left" w:pos="556"/>
                <w:tab w:val="left" w:pos="612"/>
              </w:tabs>
              <w:ind w:left="556" w:hanging="567"/>
              <w:rPr>
                <w:rFonts w:ascii="宋体" w:hAnsi="宋体"/>
                <w:color w:val="000000"/>
                <w:szCs w:val="21"/>
              </w:rPr>
            </w:pPr>
            <w:r>
              <w:rPr>
                <w:rFonts w:hint="eastAsia" w:ascii="宋体" w:hAnsi="宋体"/>
                <w:color w:val="000000"/>
                <w:szCs w:val="21"/>
              </w:rPr>
              <w:t>实施方案</w:t>
            </w:r>
          </w:p>
          <w:p>
            <w:pPr>
              <w:numPr>
                <w:ilvl w:val="0"/>
                <w:numId w:val="7"/>
              </w:numPr>
              <w:tabs>
                <w:tab w:val="left" w:pos="556"/>
                <w:tab w:val="left" w:pos="612"/>
              </w:tabs>
              <w:ind w:left="556" w:hanging="567"/>
              <w:rPr>
                <w:rFonts w:ascii="宋体" w:hAnsi="宋体"/>
                <w:color w:val="000000"/>
                <w:szCs w:val="21"/>
              </w:rPr>
            </w:pPr>
            <w:r>
              <w:rPr>
                <w:rFonts w:hint="eastAsia" w:ascii="宋体" w:hAnsi="宋体"/>
                <w:color w:val="000000"/>
                <w:szCs w:val="21"/>
              </w:rPr>
              <w:t>服务方案</w:t>
            </w:r>
          </w:p>
          <w:p>
            <w:pPr>
              <w:numPr>
                <w:ilvl w:val="0"/>
                <w:numId w:val="7"/>
              </w:numPr>
              <w:tabs>
                <w:tab w:val="left" w:pos="556"/>
                <w:tab w:val="left" w:pos="612"/>
              </w:tabs>
              <w:ind w:left="556" w:hanging="567"/>
              <w:rPr>
                <w:rFonts w:ascii="宋体" w:hAnsi="宋体"/>
                <w:color w:val="000000"/>
                <w:szCs w:val="21"/>
              </w:rPr>
            </w:pPr>
            <w:r>
              <w:rPr>
                <w:rFonts w:hint="eastAsia" w:ascii="宋体" w:hAnsi="宋体"/>
                <w:color w:val="000000"/>
                <w:szCs w:val="21"/>
              </w:rPr>
              <w:t>投标人所提供的服务，应符合本文件提出的要求，如果投标人对技术规格提出合理建议或更改，应在报价服务规格性能偏离表中注明；</w:t>
            </w:r>
          </w:p>
          <w:p>
            <w:pPr>
              <w:numPr>
                <w:ilvl w:val="0"/>
                <w:numId w:val="7"/>
              </w:numPr>
              <w:tabs>
                <w:tab w:val="left" w:pos="556"/>
                <w:tab w:val="left" w:pos="612"/>
              </w:tabs>
              <w:ind w:left="556" w:hanging="567"/>
              <w:rPr>
                <w:rFonts w:ascii="宋体" w:hAnsi="宋体"/>
                <w:color w:val="000000"/>
                <w:szCs w:val="21"/>
              </w:rPr>
            </w:pPr>
            <w:r>
              <w:rPr>
                <w:rFonts w:hint="eastAsia" w:ascii="宋体" w:hAnsi="宋体"/>
                <w:color w:val="000000"/>
                <w:szCs w:val="21"/>
              </w:rPr>
              <w:t>其他需要说明的问题。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9</w:t>
            </w:r>
          </w:p>
        </w:tc>
        <w:tc>
          <w:tcPr>
            <w:tcW w:w="2107" w:type="dxa"/>
            <w:tcBorders>
              <w:top w:val="single" w:color="auto" w:sz="4" w:space="0"/>
              <w:left w:val="single" w:color="auto" w:sz="4" w:space="0"/>
              <w:bottom w:val="single" w:color="auto" w:sz="4" w:space="0"/>
              <w:right w:val="single" w:color="auto" w:sz="4" w:space="0"/>
            </w:tcBorders>
            <w:vAlign w:val="center"/>
          </w:tcPr>
          <w:p>
            <w:pPr>
              <w:pStyle w:val="71"/>
              <w:keepNext w:val="0"/>
              <w:keepLines w:val="0"/>
              <w:spacing w:before="0" w:after="0"/>
              <w:jc w:val="both"/>
              <w:rPr>
                <w:rFonts w:ascii="宋体" w:hAnsi="宋体"/>
                <w:b w:val="0"/>
                <w:bCs w:val="0"/>
                <w:color w:val="000000"/>
                <w:szCs w:val="21"/>
              </w:rPr>
            </w:pPr>
            <w:r>
              <w:rPr>
                <w:rFonts w:hint="eastAsia" w:ascii="宋体" w:hAnsi="宋体"/>
                <w:b w:val="0"/>
                <w:bCs w:val="0"/>
                <w:color w:val="000000"/>
                <w:szCs w:val="21"/>
              </w:rPr>
              <w:t>是否允许投标人将项目非主体、非关键性工作交由他人完成</w:t>
            </w:r>
          </w:p>
        </w:tc>
        <w:tc>
          <w:tcPr>
            <w:tcW w:w="62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b/>
                <w:bCs/>
                <w:sz w:val="28"/>
                <w:szCs w:val="28"/>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10</w:t>
            </w:r>
          </w:p>
        </w:tc>
        <w:tc>
          <w:tcPr>
            <w:tcW w:w="21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投标文件份数</w:t>
            </w:r>
          </w:p>
        </w:tc>
        <w:tc>
          <w:tcPr>
            <w:tcW w:w="6263"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000000"/>
                <w:szCs w:val="21"/>
              </w:rPr>
            </w:pPr>
            <w:r>
              <w:rPr>
                <w:rFonts w:hint="eastAsia" w:ascii="宋体" w:hAnsi="宋体"/>
                <w:color w:val="000000"/>
                <w:szCs w:val="21"/>
              </w:rPr>
              <w:t>文件一式</w:t>
            </w:r>
            <w:r>
              <w:rPr>
                <w:rFonts w:hint="eastAsia" w:ascii="宋体" w:hAnsi="宋体"/>
                <w:color w:val="000000"/>
                <w:szCs w:val="21"/>
                <w:u w:val="single"/>
              </w:rPr>
              <w:t>5份</w:t>
            </w:r>
            <w:r>
              <w:rPr>
                <w:rFonts w:hint="eastAsia" w:ascii="宋体" w:hAnsi="宋体"/>
                <w:color w:val="000000"/>
                <w:szCs w:val="21"/>
              </w:rPr>
              <w:t>，其中正本</w:t>
            </w:r>
            <w:r>
              <w:rPr>
                <w:rFonts w:hint="eastAsia" w:ascii="宋体" w:hAnsi="宋体"/>
                <w:color w:val="000000"/>
                <w:szCs w:val="21"/>
                <w:u w:val="single"/>
              </w:rPr>
              <w:t>1份</w:t>
            </w:r>
            <w:r>
              <w:rPr>
                <w:rFonts w:hint="eastAsia" w:ascii="宋体" w:hAnsi="宋体"/>
                <w:color w:val="000000"/>
                <w:szCs w:val="21"/>
              </w:rPr>
              <w:t>，副本</w:t>
            </w:r>
            <w:r>
              <w:rPr>
                <w:rFonts w:hint="eastAsia" w:ascii="宋体" w:hAnsi="宋体"/>
                <w:color w:val="000000"/>
                <w:szCs w:val="21"/>
                <w:u w:val="single"/>
              </w:rPr>
              <w:t>4份</w:t>
            </w:r>
          </w:p>
        </w:tc>
      </w:tr>
    </w:tbl>
    <w:p>
      <w:pPr>
        <w:tabs>
          <w:tab w:val="left" w:pos="0"/>
        </w:tabs>
        <w:spacing w:line="360" w:lineRule="auto"/>
        <w:ind w:firstLine="480" w:firstLineChars="200"/>
        <w:jc w:val="left"/>
        <w:outlineLvl w:val="2"/>
        <w:rPr>
          <w:rFonts w:ascii="宋体" w:hAnsi="宋体" w:cs="宋体"/>
          <w:kern w:val="0"/>
          <w:sz w:val="24"/>
        </w:rPr>
      </w:pPr>
      <w:r>
        <w:rPr>
          <w:rFonts w:hint="eastAsia" w:ascii="宋体" w:hAnsi="宋体" w:cs="宋体"/>
          <w:kern w:val="0"/>
          <w:sz w:val="24"/>
        </w:rPr>
        <w:t>2、投标报价</w:t>
      </w:r>
    </w:p>
    <w:p>
      <w:pPr>
        <w:tabs>
          <w:tab w:val="left" w:pos="0"/>
        </w:tabs>
        <w:spacing w:line="360" w:lineRule="auto"/>
        <w:jc w:val="left"/>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（1）</w:t>
      </w:r>
      <w:r>
        <w:rPr>
          <w:rFonts w:hint="eastAsia" w:ascii="宋体" w:hAnsi="宋体" w:cs="宋体"/>
          <w:b/>
          <w:kern w:val="0"/>
          <w:sz w:val="24"/>
        </w:rPr>
        <w:t>本次招投标为公开招标，</w:t>
      </w:r>
      <w:r>
        <w:rPr>
          <w:rFonts w:hint="eastAsia" w:ascii="宋体" w:hAnsi="宋体" w:cs="宋体"/>
          <w:kern w:val="0"/>
          <w:sz w:val="24"/>
        </w:rPr>
        <w:t>投标总报价应包括所采购软、硬件产品许可以及实施服务、及随机资料、保险、税费、运杂、安装调试等全部费用，并对各主要报价构成项列报价清单。</w:t>
      </w:r>
    </w:p>
    <w:p>
      <w:pPr>
        <w:spacing w:line="360" w:lineRule="auto"/>
        <w:ind w:firstLine="480"/>
        <w:jc w:val="left"/>
        <w:rPr>
          <w:rFonts w:ascii="宋体" w:hAnsi="宋体" w:cs="宋体"/>
          <w:bCs/>
          <w:kern w:val="0"/>
          <w:sz w:val="24"/>
        </w:rPr>
      </w:pPr>
      <w:r>
        <w:rPr>
          <w:rFonts w:hint="eastAsia" w:ascii="宋体" w:hAnsi="宋体" w:cs="宋体"/>
          <w:bCs/>
          <w:kern w:val="0"/>
          <w:sz w:val="24"/>
        </w:rPr>
        <w:t>（2）所有参加投标的单位必须结合自身的实际情况，对此次招标项目建设周期与实施难度的估量以及所制定的实施组织计划，以实际产生的费用，据实报价。</w:t>
      </w:r>
    </w:p>
    <w:p>
      <w:pPr>
        <w:spacing w:line="360" w:lineRule="auto"/>
        <w:ind w:firstLine="480"/>
        <w:jc w:val="left"/>
        <w:rPr>
          <w:rFonts w:ascii="宋体" w:hAnsi="宋体" w:cs="宋体"/>
          <w:kern w:val="0"/>
        </w:rPr>
      </w:pPr>
      <w:r>
        <w:rPr>
          <w:rFonts w:hint="eastAsia" w:ascii="宋体" w:hAnsi="宋体" w:cs="宋体"/>
          <w:kern w:val="0"/>
          <w:sz w:val="24"/>
        </w:rPr>
        <w:t>（3）供应商免费提供的项目，应先填写该项目的实际价格，并注明免费。此项不计入总报价。</w:t>
      </w:r>
    </w:p>
    <w:p>
      <w:pPr>
        <w:tabs>
          <w:tab w:val="left" w:pos="0"/>
        </w:tabs>
        <w:spacing w:line="360" w:lineRule="auto"/>
        <w:jc w:val="left"/>
        <w:rPr>
          <w:rFonts w:ascii="宋体" w:hAnsi="宋体" w:cs="宋体"/>
          <w:kern w:val="0"/>
          <w:sz w:val="24"/>
        </w:rPr>
      </w:pPr>
      <w:r>
        <w:rPr>
          <w:rFonts w:ascii="宋体" w:hAnsi="宋体" w:cs="宋体"/>
          <w:kern w:val="0"/>
          <w:sz w:val="24"/>
        </w:rPr>
        <w:t xml:space="preserve">    </w:t>
      </w:r>
      <w:r>
        <w:rPr>
          <w:rFonts w:hint="eastAsia" w:ascii="宋体" w:hAnsi="宋体" w:cs="宋体"/>
          <w:kern w:val="0"/>
          <w:sz w:val="24"/>
        </w:rPr>
        <w:t>（4）所有产品、软件、服务的报价货币单位为：人民币（含税）。</w:t>
      </w:r>
    </w:p>
    <w:p>
      <w:pPr>
        <w:spacing w:line="360" w:lineRule="auto"/>
        <w:jc w:val="left"/>
        <w:rPr>
          <w:rFonts w:ascii="宋体" w:hAnsi="宋体" w:cs="宋体"/>
          <w:kern w:val="0"/>
          <w:sz w:val="24"/>
        </w:rPr>
      </w:pPr>
      <w:r>
        <w:rPr>
          <w:rFonts w:ascii="宋体" w:hAnsi="宋体" w:cs="宋体"/>
          <w:kern w:val="0"/>
          <w:sz w:val="24"/>
        </w:rPr>
        <w:t xml:space="preserve">    </w:t>
      </w:r>
      <w:r>
        <w:rPr>
          <w:rFonts w:hint="eastAsia" w:ascii="宋体" w:hAnsi="宋体" w:cs="宋体"/>
          <w:kern w:val="0"/>
          <w:sz w:val="24"/>
        </w:rPr>
        <w:t>（5）最后磋商报价在合同执行过程中是固定不变的，不得以任何理由予以变更。</w:t>
      </w:r>
    </w:p>
    <w:p>
      <w:pPr>
        <w:pStyle w:val="26"/>
        <w:spacing w:line="360" w:lineRule="auto"/>
        <w:outlineLvl w:val="1"/>
        <w:rPr>
          <w:rFonts w:ascii="黑体" w:eastAsia="黑体"/>
          <w:b/>
          <w:bCs/>
          <w:color w:val="FF0000"/>
          <w:sz w:val="28"/>
        </w:rPr>
      </w:pPr>
      <w:r>
        <w:rPr>
          <w:rFonts w:hint="eastAsia" w:ascii="黑体" w:eastAsia="黑体"/>
          <w:b/>
          <w:bCs/>
          <w:sz w:val="28"/>
        </w:rPr>
        <w:t>六、议程安排</w:t>
      </w:r>
    </w:p>
    <w:p>
      <w:pPr>
        <w:spacing w:line="360" w:lineRule="auto"/>
        <w:ind w:firstLine="420" w:firstLineChars="200"/>
        <w:rPr>
          <w:rFonts w:ascii="宋体" w:hAnsi="Courier New"/>
          <w:szCs w:val="20"/>
        </w:rPr>
      </w:pPr>
      <w:r>
        <w:rPr>
          <w:rFonts w:hint="eastAsia" w:ascii="宋体" w:hAnsi="Courier New"/>
          <w:szCs w:val="20"/>
        </w:rPr>
        <w:t xml:space="preserve">1、发标时间:2021年9月 10 日 </w:t>
      </w:r>
    </w:p>
    <w:p>
      <w:pPr>
        <w:spacing w:line="360" w:lineRule="auto"/>
        <w:ind w:firstLine="420" w:firstLineChars="200"/>
        <w:rPr>
          <w:rFonts w:ascii="宋体" w:hAnsi="Courier New"/>
          <w:szCs w:val="20"/>
        </w:rPr>
      </w:pPr>
      <w:r>
        <w:rPr>
          <w:rFonts w:hint="eastAsia" w:ascii="宋体" w:hAnsi="Courier New"/>
          <w:szCs w:val="20"/>
        </w:rPr>
        <w:t>2、答疑时间：截止至 2021年 9月</w:t>
      </w:r>
      <w:r>
        <w:rPr>
          <w:rFonts w:hint="eastAsia" w:ascii="宋体" w:hAnsi="Courier New"/>
          <w:szCs w:val="20"/>
          <w:lang w:val="en-US" w:eastAsia="zh-CN"/>
        </w:rPr>
        <w:t>26</w:t>
      </w:r>
      <w:r>
        <w:rPr>
          <w:rFonts w:hint="eastAsia" w:ascii="宋体" w:hAnsi="Courier New"/>
          <w:szCs w:val="20"/>
        </w:rPr>
        <w:t>日 ，逾期不受理</w:t>
      </w:r>
    </w:p>
    <w:p>
      <w:pPr>
        <w:spacing w:line="360" w:lineRule="auto"/>
        <w:ind w:firstLine="735"/>
        <w:rPr>
          <w:rFonts w:ascii="宋体" w:hAnsi="Courier New"/>
          <w:szCs w:val="20"/>
        </w:rPr>
      </w:pPr>
      <w:r>
        <w:rPr>
          <w:rFonts w:hint="eastAsia" w:ascii="宋体" w:hAnsi="Courier New"/>
          <w:szCs w:val="20"/>
        </w:rPr>
        <w:t xml:space="preserve">联 系 人：徐鹏 </w:t>
      </w:r>
      <w:r>
        <w:rPr>
          <w:rFonts w:ascii="宋体" w:hAnsi="Courier New"/>
          <w:szCs w:val="20"/>
        </w:rPr>
        <w:t xml:space="preserve"> </w:t>
      </w:r>
      <w:r>
        <w:rPr>
          <w:rFonts w:hint="eastAsia" w:ascii="宋体" w:hAnsi="Courier New"/>
          <w:szCs w:val="20"/>
        </w:rPr>
        <w:t>15069003095</w:t>
      </w:r>
      <w:r>
        <w:rPr>
          <w:rFonts w:ascii="宋体" w:hAnsi="Courier New"/>
          <w:szCs w:val="20"/>
        </w:rPr>
        <w:t xml:space="preserve">  </w:t>
      </w:r>
      <w:r>
        <w:rPr>
          <w:rFonts w:hint="eastAsia" w:ascii="宋体" w:hAnsi="Courier New"/>
          <w:szCs w:val="20"/>
        </w:rPr>
        <w:t>崔洁  18560204079</w:t>
      </w:r>
    </w:p>
    <w:p>
      <w:pPr>
        <w:spacing w:line="360" w:lineRule="auto"/>
        <w:ind w:firstLine="420" w:firstLineChars="200"/>
        <w:rPr>
          <w:rFonts w:ascii="宋体" w:hAnsi="Courier New"/>
          <w:szCs w:val="20"/>
        </w:rPr>
      </w:pPr>
      <w:r>
        <w:rPr>
          <w:rFonts w:hint="eastAsia" w:ascii="宋体" w:hAnsi="Courier New"/>
          <w:szCs w:val="20"/>
        </w:rPr>
        <w:t>3、开标时间：另行通知</w:t>
      </w:r>
      <w:bookmarkStart w:id="24" w:name="_GoBack"/>
      <w:bookmarkEnd w:id="24"/>
    </w:p>
    <w:p>
      <w:pPr>
        <w:spacing w:line="360" w:lineRule="auto"/>
        <w:ind w:firstLine="420" w:firstLineChars="200"/>
        <w:rPr>
          <w:rFonts w:ascii="宋体" w:hAnsi="Courier New"/>
          <w:szCs w:val="20"/>
        </w:rPr>
      </w:pPr>
      <w:r>
        <w:rPr>
          <w:rFonts w:ascii="宋体" w:hAnsi="Courier New"/>
          <w:szCs w:val="20"/>
        </w:rPr>
        <w:t xml:space="preserve"> </w:t>
      </w:r>
      <w:r>
        <w:rPr>
          <w:rFonts w:hint="eastAsia" w:ascii="宋体" w:hAnsi="Courier New"/>
          <w:szCs w:val="20"/>
        </w:rPr>
        <w:t xml:space="preserve">  投标人应提供法定代表人资格证明、法人授权委托书原件。</w:t>
      </w:r>
    </w:p>
    <w:p>
      <w:pPr>
        <w:spacing w:line="360" w:lineRule="auto"/>
        <w:ind w:firstLine="735"/>
        <w:rPr>
          <w:rFonts w:ascii="宋体" w:hAnsi="Courier New"/>
          <w:szCs w:val="20"/>
        </w:rPr>
      </w:pPr>
      <w:r>
        <w:rPr>
          <w:rFonts w:hint="eastAsia" w:ascii="宋体" w:hAnsi="Courier New"/>
          <w:szCs w:val="20"/>
        </w:rPr>
        <w:t xml:space="preserve">投标地点：中国重汽集团济南商用车公司第二会议室 </w:t>
      </w:r>
    </w:p>
    <w:p>
      <w:pPr>
        <w:spacing w:line="360" w:lineRule="auto"/>
        <w:ind w:left="1890" w:hanging="1890" w:hangingChars="900"/>
        <w:rPr>
          <w:rFonts w:ascii="宋体" w:hAnsi="Courier New"/>
          <w:szCs w:val="20"/>
        </w:rPr>
      </w:pPr>
      <w:r>
        <w:rPr>
          <w:rFonts w:hint="eastAsia" w:ascii="宋体" w:hAnsi="Courier New"/>
          <w:szCs w:val="20"/>
        </w:rPr>
        <w:t xml:space="preserve">       地    址： 济南市章丘区重汽工业园5号门中国重汽济南商用车有限公司</w:t>
      </w:r>
    </w:p>
    <w:p>
      <w:pPr>
        <w:pStyle w:val="26"/>
        <w:spacing w:line="360" w:lineRule="auto"/>
        <w:outlineLvl w:val="1"/>
        <w:rPr>
          <w:rFonts w:ascii="黑体" w:eastAsia="黑体"/>
          <w:b/>
          <w:bCs/>
          <w:sz w:val="28"/>
        </w:rPr>
      </w:pPr>
      <w:r>
        <w:rPr>
          <w:rFonts w:hint="eastAsia" w:ascii="黑体" w:eastAsia="黑体"/>
          <w:b/>
          <w:bCs/>
          <w:sz w:val="28"/>
        </w:rPr>
        <w:t>七、投标保证金</w:t>
      </w:r>
    </w:p>
    <w:p>
      <w:pPr>
        <w:spacing w:line="360" w:lineRule="auto"/>
        <w:ind w:left="1890" w:hanging="1890" w:hangingChars="900"/>
        <w:rPr>
          <w:rFonts w:ascii="宋体" w:hAnsi="Courier New"/>
          <w:szCs w:val="20"/>
        </w:rPr>
      </w:pPr>
      <w:r>
        <w:rPr>
          <w:rFonts w:hint="eastAsia" w:ascii="宋体" w:hAnsi="Courier New"/>
          <w:szCs w:val="20"/>
        </w:rPr>
        <w:t xml:space="preserve">    1、投标前应缴纳投标保证金20000元。</w:t>
      </w:r>
    </w:p>
    <w:p>
      <w:pPr>
        <w:spacing w:line="360" w:lineRule="auto"/>
        <w:ind w:left="1890" w:hanging="1890" w:hangingChars="900"/>
        <w:rPr>
          <w:rFonts w:ascii="宋体" w:hAnsi="Courier New"/>
          <w:szCs w:val="20"/>
        </w:rPr>
      </w:pPr>
      <w:r>
        <w:rPr>
          <w:rFonts w:hint="eastAsia" w:ascii="宋体" w:hAnsi="Courier New"/>
          <w:szCs w:val="20"/>
        </w:rPr>
        <w:t xml:space="preserve">    2、户名：中国重汽集团济南商用车有限公司</w:t>
      </w:r>
    </w:p>
    <w:p>
      <w:pPr>
        <w:spacing w:line="360" w:lineRule="auto"/>
        <w:ind w:left="1890" w:hanging="1890" w:hangingChars="900"/>
        <w:rPr>
          <w:rFonts w:ascii="宋体" w:hAnsi="Courier New"/>
          <w:szCs w:val="20"/>
        </w:rPr>
      </w:pPr>
      <w:r>
        <w:rPr>
          <w:rFonts w:hint="eastAsia" w:ascii="宋体" w:hAnsi="Courier New"/>
          <w:szCs w:val="20"/>
        </w:rPr>
        <w:t xml:space="preserve">    3、账号：7372610182600034841</w:t>
      </w:r>
    </w:p>
    <w:p>
      <w:pPr>
        <w:spacing w:line="360" w:lineRule="auto"/>
        <w:ind w:left="1890" w:hanging="1890" w:hangingChars="900"/>
        <w:rPr>
          <w:rFonts w:ascii="宋体" w:hAnsi="Courier New"/>
          <w:szCs w:val="20"/>
        </w:rPr>
      </w:pPr>
      <w:r>
        <w:rPr>
          <w:rFonts w:hint="eastAsia" w:ascii="宋体" w:hAnsi="Courier New"/>
          <w:szCs w:val="20"/>
        </w:rPr>
        <w:t xml:space="preserve">    4、开户行名称：中信银行济南舜耕支行</w:t>
      </w:r>
    </w:p>
    <w:p>
      <w:pPr>
        <w:spacing w:line="360" w:lineRule="auto"/>
        <w:ind w:left="1890" w:hanging="1890" w:hangingChars="900"/>
        <w:rPr>
          <w:rFonts w:ascii="宋体" w:hAnsi="Courier New"/>
          <w:szCs w:val="20"/>
        </w:rPr>
      </w:pPr>
      <w:r>
        <w:rPr>
          <w:rFonts w:hint="eastAsia" w:ascii="宋体" w:hAnsi="Courier New"/>
          <w:szCs w:val="20"/>
        </w:rPr>
        <w:t xml:space="preserve">    5、出现下列情况有权没收投标保证金。</w:t>
      </w:r>
    </w:p>
    <w:p>
      <w:pPr>
        <w:spacing w:line="360" w:lineRule="auto"/>
        <w:ind w:left="1890" w:hanging="1890" w:hangingChars="900"/>
        <w:rPr>
          <w:rFonts w:ascii="宋体" w:hAnsi="Courier New"/>
          <w:szCs w:val="20"/>
        </w:rPr>
      </w:pPr>
      <w:r>
        <w:rPr>
          <w:rFonts w:hint="eastAsia" w:ascii="宋体" w:hAnsi="Courier New"/>
          <w:szCs w:val="20"/>
        </w:rPr>
        <w:t xml:space="preserve">   （1）截至开标前3天供应商无正当理由，未以书面形式递交说明而在投标截止日不来投标的。</w:t>
      </w:r>
    </w:p>
    <w:p>
      <w:pPr>
        <w:spacing w:line="360" w:lineRule="auto"/>
        <w:ind w:left="1890" w:hanging="1890" w:hangingChars="900"/>
        <w:rPr>
          <w:rFonts w:ascii="宋体" w:hAnsi="Courier New"/>
          <w:szCs w:val="20"/>
        </w:rPr>
      </w:pPr>
      <w:r>
        <w:rPr>
          <w:rFonts w:hint="eastAsia" w:ascii="宋体" w:hAnsi="Courier New"/>
          <w:szCs w:val="20"/>
        </w:rPr>
        <w:t xml:space="preserve">   （2）供应商递交文件后，无正当理由放弃投标的。</w:t>
      </w:r>
    </w:p>
    <w:p>
      <w:pPr>
        <w:spacing w:line="360" w:lineRule="auto"/>
        <w:ind w:left="1890" w:hanging="1890" w:hangingChars="900"/>
        <w:rPr>
          <w:rFonts w:ascii="宋体" w:hAnsi="Courier New"/>
          <w:szCs w:val="20"/>
        </w:rPr>
      </w:pPr>
      <w:r>
        <w:rPr>
          <w:rFonts w:hint="eastAsia" w:ascii="宋体" w:hAnsi="Courier New"/>
          <w:szCs w:val="20"/>
        </w:rPr>
        <w:t xml:space="preserve">   （3）自中标（成交）通知书发放之日起30日内，中标（成交）供应商无正当理由不签订合同的</w:t>
      </w:r>
    </w:p>
    <w:p>
      <w:pPr>
        <w:spacing w:line="360" w:lineRule="auto"/>
        <w:ind w:left="1890" w:hanging="1890" w:hangingChars="900"/>
        <w:rPr>
          <w:rFonts w:ascii="宋体" w:hAnsi="Courier New"/>
          <w:szCs w:val="20"/>
        </w:rPr>
      </w:pPr>
      <w:r>
        <w:rPr>
          <w:rFonts w:hint="eastAsia" w:ascii="宋体" w:hAnsi="Courier New"/>
          <w:szCs w:val="20"/>
        </w:rPr>
        <w:t xml:space="preserve">   （4）投标过程中被查实有串标、围标、陪标等违规违纪行为的。</w:t>
      </w:r>
    </w:p>
    <w:p>
      <w:pPr>
        <w:spacing w:line="360" w:lineRule="auto"/>
        <w:ind w:firstLine="315" w:firstLineChars="150"/>
        <w:rPr>
          <w:rFonts w:ascii="宋体" w:hAnsi="Courier New"/>
          <w:szCs w:val="20"/>
        </w:rPr>
      </w:pPr>
      <w:r>
        <w:rPr>
          <w:rFonts w:hint="eastAsia" w:ascii="宋体" w:hAnsi="Courier New"/>
          <w:szCs w:val="20"/>
        </w:rPr>
        <w:t>（5）供应商有违约违规行为被投诉、举报的，在调查处理期间，保证金暂不退还，待调查处理结束后按有关规定处理。</w:t>
      </w:r>
    </w:p>
    <w:p>
      <w:pPr>
        <w:pStyle w:val="26"/>
        <w:spacing w:line="360" w:lineRule="auto"/>
        <w:outlineLvl w:val="1"/>
        <w:rPr>
          <w:rFonts w:ascii="黑体" w:eastAsia="黑体"/>
          <w:b/>
          <w:bCs/>
          <w:sz w:val="28"/>
        </w:rPr>
      </w:pPr>
      <w:r>
        <w:rPr>
          <w:rFonts w:hint="eastAsia" w:ascii="黑体" w:eastAsia="黑体"/>
          <w:b/>
          <w:bCs/>
          <w:sz w:val="28"/>
        </w:rPr>
        <w:t>八、评标</w:t>
      </w:r>
    </w:p>
    <w:p>
      <w:pPr>
        <w:tabs>
          <w:tab w:val="left" w:pos="0"/>
        </w:tabs>
        <w:spacing w:line="360" w:lineRule="auto"/>
        <w:rPr>
          <w:rFonts w:ascii="宋体" w:hAnsi="宋体" w:cs="宋体"/>
          <w:kern w:val="0"/>
          <w:sz w:val="24"/>
        </w:rPr>
      </w:pPr>
      <w:r>
        <w:rPr>
          <w:rFonts w:hint="eastAsia" w:ascii="宋体" w:hAnsi="宋体" w:cs="宋体"/>
          <w:kern w:val="0"/>
          <w:sz w:val="24"/>
        </w:rPr>
        <w:t>1、评标</w:t>
      </w:r>
    </w:p>
    <w:p>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为保证项目顺利实施，由招标人组织、按国家法律法规及公司相关规章制度要求，设立评标工作小组，采用综合评定法，本着公平、公正、公开的原则，在最大限度地满足招标文件实质性要求的前提下，对招标文件中规定的各项因素进行综合评审，确定中标候选供应商或者中标供应商</w:t>
      </w:r>
      <w:r>
        <w:rPr>
          <w:rFonts w:hint="eastAsia" w:ascii="宋体" w:hAnsi="宋体" w:cs="宋体"/>
          <w:b/>
          <w:bCs/>
          <w:kern w:val="0"/>
          <w:sz w:val="24"/>
        </w:rPr>
        <w:t>（不保证最低价格中标）</w:t>
      </w:r>
      <w:r>
        <w:rPr>
          <w:rFonts w:hint="eastAsia" w:ascii="宋体" w:hAnsi="宋体" w:cs="宋体"/>
          <w:kern w:val="0"/>
          <w:sz w:val="24"/>
        </w:rPr>
        <w:t>。</w:t>
      </w:r>
    </w:p>
    <w:p>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本次评标采用技术标和商务标分级开标的模式。首先进行技术标评审，由评标专家组对所有投标方的技术标部分综合评定和打分，确定进入商务标评比资格的投标方。然后进行商务标的评标及商务标的评分，招标人有权根据项目情况，采取多级评标模式，最终根据技术标及商务标的总得分确定各投标人排序。</w:t>
      </w:r>
    </w:p>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评分细则：下表项目中所要求的资质及证书提供原件或加盖公章的复印件，不提供不得分。</w:t>
      </w:r>
      <w:bookmarkStart w:id="11" w:name="_Toc290401052"/>
      <w:bookmarkStart w:id="12" w:name="_Toc533251933"/>
    </w:p>
    <w:tbl>
      <w:tblPr>
        <w:tblStyle w:val="43"/>
        <w:tblW w:w="9500" w:type="dxa"/>
        <w:tblInd w:w="96" w:type="dxa"/>
        <w:tblLayout w:type="autofit"/>
        <w:tblCellMar>
          <w:top w:w="0" w:type="dxa"/>
          <w:left w:w="108" w:type="dxa"/>
          <w:bottom w:w="0" w:type="dxa"/>
          <w:right w:w="108" w:type="dxa"/>
        </w:tblCellMar>
      </w:tblPr>
      <w:tblGrid>
        <w:gridCol w:w="1360"/>
        <w:gridCol w:w="1280"/>
        <w:gridCol w:w="820"/>
        <w:gridCol w:w="6040"/>
      </w:tblGrid>
      <w:tr>
        <w:tblPrEx>
          <w:tblCellMar>
            <w:top w:w="0" w:type="dxa"/>
            <w:left w:w="108" w:type="dxa"/>
            <w:bottom w:w="0" w:type="dxa"/>
            <w:right w:w="108" w:type="dxa"/>
          </w:tblCellMar>
        </w:tblPrEx>
        <w:trPr>
          <w:trHeight w:val="312"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评审要素</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评分项目</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60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评分标准</w:t>
            </w:r>
          </w:p>
        </w:tc>
      </w:tr>
      <w:tr>
        <w:tblPrEx>
          <w:tblCellMar>
            <w:top w:w="0" w:type="dxa"/>
            <w:left w:w="108" w:type="dxa"/>
            <w:bottom w:w="0" w:type="dxa"/>
            <w:right w:w="108" w:type="dxa"/>
          </w:tblCellMar>
        </w:tblPrEx>
        <w:trPr>
          <w:trHeight w:val="588" w:hRule="atLeast"/>
        </w:trPr>
        <w:tc>
          <w:tcPr>
            <w:tcW w:w="13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w:t>
            </w:r>
          </w:p>
        </w:tc>
        <w:tc>
          <w:tcPr>
            <w:tcW w:w="12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1、企业实力</w:t>
            </w:r>
          </w:p>
        </w:tc>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20</w:t>
            </w:r>
          </w:p>
        </w:tc>
        <w:tc>
          <w:tcPr>
            <w:tcW w:w="6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1、依据企业人员、规模、资质、经营状况、技术力量及设施设备等综合评定。优：10-7分、良：6-3分、一般：2-0分；</w:t>
            </w:r>
            <w:r>
              <w:rPr>
                <w:rFonts w:hint="eastAsia" w:ascii="宋体" w:hAnsi="宋体" w:cs="宋体"/>
                <w:color w:val="000000"/>
                <w:kern w:val="0"/>
                <w:sz w:val="24"/>
              </w:rPr>
              <w:br w:type="textWrapping"/>
            </w:r>
            <w:r>
              <w:rPr>
                <w:rFonts w:hint="eastAsia" w:ascii="宋体" w:hAnsi="宋体" w:cs="宋体"/>
                <w:color w:val="000000"/>
                <w:kern w:val="0"/>
                <w:sz w:val="24"/>
              </w:rPr>
              <w:t>2、投标人具有200万及以上消防项目施工业绩的，每个得2分，最高得6分；</w:t>
            </w:r>
            <w:r>
              <w:rPr>
                <w:rFonts w:hint="eastAsia" w:ascii="宋体" w:hAnsi="宋体" w:cs="宋体"/>
                <w:color w:val="000000"/>
                <w:kern w:val="0"/>
                <w:sz w:val="24"/>
              </w:rPr>
              <w:br w:type="textWrapping"/>
            </w:r>
            <w:r>
              <w:rPr>
                <w:rFonts w:hint="eastAsia" w:ascii="宋体" w:hAnsi="宋体" w:cs="宋体"/>
                <w:color w:val="000000"/>
                <w:kern w:val="0"/>
                <w:sz w:val="24"/>
              </w:rPr>
              <w:t>3、投标人或设备生产厂家获得由中国电子工业标准化技术协会信息技术服务分会颁发的ITSS信息技术服务运行维护标准符合性证书得4分、不满足得0分（提供加盖厂家公章的证书复印件证明）；</w:t>
            </w:r>
          </w:p>
        </w:tc>
      </w:tr>
      <w:tr>
        <w:tblPrEx>
          <w:tblCellMar>
            <w:top w:w="0" w:type="dxa"/>
            <w:left w:w="108" w:type="dxa"/>
            <w:bottom w:w="0" w:type="dxa"/>
            <w:right w:w="108" w:type="dxa"/>
          </w:tblCellMar>
        </w:tblPrEx>
        <w:trPr>
          <w:trHeight w:val="600" w:hRule="atLeast"/>
        </w:trPr>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2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6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1524" w:hRule="atLeast"/>
        </w:trPr>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2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6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1872" w:hRule="atLeast"/>
        </w:trPr>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2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2、企业生产研发能力</w:t>
            </w:r>
          </w:p>
        </w:tc>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6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1、招标内容及技术要求”技术参数中带“★”条款的要求。须提供公安部权威检测机构出具的检验报告（须体现相关功能）复印件并加盖生产厂家公章，每满足一项条款得0.5分，本项最高得7分。未提供或提供的不体现相关功能的或提供的评委不认可的不得分。</w:t>
            </w:r>
            <w:r>
              <w:rPr>
                <w:rFonts w:hint="eastAsia" w:ascii="宋体" w:hAnsi="宋体" w:cs="宋体"/>
                <w:color w:val="000000"/>
                <w:kern w:val="0"/>
                <w:sz w:val="24"/>
              </w:rPr>
              <w:br w:type="textWrapping"/>
            </w:r>
            <w:r>
              <w:rPr>
                <w:rFonts w:hint="eastAsia" w:ascii="宋体" w:hAnsi="宋体" w:cs="宋体"/>
                <w:color w:val="000000"/>
                <w:kern w:val="0"/>
                <w:sz w:val="24"/>
              </w:rPr>
              <w:t>2、投标人或设备生产厂家获得由中国电子技术标准化研究院工信部绿色工程评价（提供加盖厂家公章的证书复印件证明及管网链接截图证明）。</w:t>
            </w:r>
          </w:p>
        </w:tc>
      </w:tr>
      <w:tr>
        <w:tblPrEx>
          <w:tblCellMar>
            <w:top w:w="0" w:type="dxa"/>
            <w:left w:w="108" w:type="dxa"/>
            <w:bottom w:w="0" w:type="dxa"/>
            <w:right w:w="108" w:type="dxa"/>
          </w:tblCellMar>
        </w:tblPrEx>
        <w:trPr>
          <w:trHeight w:val="960" w:hRule="atLeast"/>
        </w:trPr>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2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6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2496" w:hRule="atLeast"/>
        </w:trPr>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280"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售后服务及答疑</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20</w:t>
            </w:r>
          </w:p>
        </w:tc>
        <w:tc>
          <w:tcPr>
            <w:tcW w:w="6040"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1、投标人针对本项目采购产品特点提出完善的售后服务解决方案，方案全面、可靠，制度体系完整，安全、质量及应急等保障措施到位，评委分三个档次打分：优：5～4分，中：3～2分，差：1～0分；</w:t>
            </w:r>
            <w:r>
              <w:rPr>
                <w:rFonts w:hint="eastAsia" w:ascii="宋体" w:hAnsi="宋体" w:cs="宋体"/>
                <w:color w:val="000000"/>
                <w:kern w:val="0"/>
                <w:sz w:val="24"/>
              </w:rPr>
              <w:br w:type="textWrapping"/>
            </w:r>
            <w:r>
              <w:rPr>
                <w:rFonts w:hint="eastAsia" w:ascii="宋体" w:hAnsi="宋体" w:cs="宋体"/>
                <w:color w:val="000000"/>
                <w:kern w:val="0"/>
                <w:sz w:val="24"/>
              </w:rPr>
              <w:t>2、本项目的投标人若在济南范围内具有办事处或分公司办公场所的（具有租房合同证明或房产证明复印件加盖投标人公章）得5分；</w:t>
            </w:r>
            <w:r>
              <w:rPr>
                <w:rFonts w:hint="eastAsia" w:ascii="宋体" w:hAnsi="宋体" w:cs="宋体"/>
                <w:color w:val="000000"/>
                <w:kern w:val="0"/>
                <w:sz w:val="24"/>
              </w:rPr>
              <w:br w:type="textWrapping"/>
            </w:r>
            <w:r>
              <w:rPr>
                <w:rFonts w:hint="eastAsia" w:ascii="宋体" w:hAnsi="宋体" w:cs="宋体"/>
                <w:color w:val="000000"/>
                <w:kern w:val="0"/>
                <w:sz w:val="24"/>
              </w:rPr>
              <w:t>3、技术人员专业问答，最高得10分。</w:t>
            </w:r>
          </w:p>
        </w:tc>
      </w:tr>
      <w:tr>
        <w:tblPrEx>
          <w:tblCellMar>
            <w:top w:w="0" w:type="dxa"/>
            <w:left w:w="108" w:type="dxa"/>
            <w:bottom w:w="0" w:type="dxa"/>
            <w:right w:w="108" w:type="dxa"/>
          </w:tblCellMar>
        </w:tblPrEx>
        <w:trPr>
          <w:trHeight w:val="1032" w:hRule="atLeast"/>
        </w:trPr>
        <w:tc>
          <w:tcPr>
            <w:tcW w:w="13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商务</w:t>
            </w:r>
          </w:p>
        </w:tc>
        <w:tc>
          <w:tcPr>
            <w:tcW w:w="12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投标报价</w:t>
            </w:r>
          </w:p>
        </w:tc>
        <w:tc>
          <w:tcPr>
            <w:tcW w:w="8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50</w:t>
            </w:r>
          </w:p>
        </w:tc>
        <w:tc>
          <w:tcPr>
            <w:tcW w:w="60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1.经初审合格的投标文件其投标报价为有效报价；满足招标文件要求且投标报价最低的投标报价为评标基准价，其价格分为满分（标准分）；</w:t>
            </w:r>
            <w:r>
              <w:rPr>
                <w:rFonts w:hint="eastAsia" w:ascii="宋体" w:hAnsi="宋体" w:cs="宋体"/>
                <w:color w:val="000000"/>
                <w:kern w:val="0"/>
                <w:sz w:val="24"/>
              </w:rPr>
              <w:br w:type="textWrapping"/>
            </w:r>
            <w:r>
              <w:rPr>
                <w:rFonts w:hint="eastAsia" w:ascii="宋体" w:hAnsi="宋体" w:cs="宋体"/>
                <w:color w:val="000000"/>
                <w:kern w:val="0"/>
                <w:sz w:val="24"/>
              </w:rPr>
              <w:t>2.其他投标人的价格分统一按照下列公式计算：投标报价得分=(评标基准价／投标报价)×50；</w:t>
            </w:r>
            <w:r>
              <w:rPr>
                <w:rFonts w:hint="eastAsia" w:ascii="宋体" w:hAnsi="宋体" w:cs="宋体"/>
                <w:color w:val="000000"/>
                <w:kern w:val="0"/>
                <w:sz w:val="24"/>
              </w:rPr>
              <w:br w:type="textWrapping"/>
            </w:r>
            <w:r>
              <w:rPr>
                <w:rFonts w:hint="eastAsia" w:ascii="宋体" w:hAnsi="宋体" w:cs="宋体"/>
                <w:color w:val="000000"/>
                <w:kern w:val="0"/>
                <w:sz w:val="24"/>
              </w:rPr>
              <w:t>3.百分率、得分值小数点后保留二位，第三位四舍五入。</w:t>
            </w:r>
          </w:p>
        </w:tc>
      </w:tr>
      <w:tr>
        <w:tblPrEx>
          <w:tblCellMar>
            <w:top w:w="0" w:type="dxa"/>
            <w:left w:w="108" w:type="dxa"/>
            <w:bottom w:w="0" w:type="dxa"/>
            <w:right w:w="108" w:type="dxa"/>
          </w:tblCellMar>
        </w:tblPrEx>
        <w:trPr>
          <w:trHeight w:val="624" w:hRule="atLeast"/>
        </w:trPr>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8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60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456" w:hRule="atLeast"/>
        </w:trPr>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8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60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660" w:hRule="atLeast"/>
        </w:trPr>
        <w:tc>
          <w:tcPr>
            <w:tcW w:w="2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备注</w:t>
            </w:r>
          </w:p>
        </w:tc>
        <w:tc>
          <w:tcPr>
            <w:tcW w:w="68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1、企业实力中所要求证书及合同业绩开标现场均需提供原件或盖章复印件，否则不作得分依据；</w:t>
            </w:r>
          </w:p>
        </w:tc>
      </w:tr>
    </w:tbl>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2、投标要求</w:t>
      </w:r>
      <w:bookmarkEnd w:id="11"/>
      <w:bookmarkEnd w:id="12"/>
    </w:p>
    <w:p>
      <w:pPr>
        <w:tabs>
          <w:tab w:val="left" w:pos="0"/>
        </w:tabs>
        <w:spacing w:line="360" w:lineRule="auto"/>
        <w:ind w:firstLine="480" w:firstLineChars="200"/>
        <w:rPr>
          <w:rFonts w:ascii="宋体" w:hAnsi="宋体" w:cs="宋体"/>
          <w:bCs/>
          <w:kern w:val="0"/>
          <w:sz w:val="24"/>
        </w:rPr>
      </w:pPr>
      <w:r>
        <w:rPr>
          <w:rFonts w:hint="eastAsia" w:ascii="宋体" w:hAnsi="宋体" w:cs="宋体"/>
          <w:bCs/>
          <w:kern w:val="0"/>
          <w:sz w:val="24"/>
        </w:rPr>
        <w:t>（1）合格的竞标人应符合以下条件：有独立法人资格，为本次采购硬件资源的实施公司。1、投标人须遵守《中华人民共和国招标投标法》、《中华人民共和国民法典》、《中华人民共和国消防法》及其它有关的法律和法规及技术标准；为中华人民共和国境内注册的独立法人或其授权的分支机构，具有独立承担民事责任能力；投标人成立三年以上，至开标之日计算，注册资金不低于2000万元人民币，并具有良好信誉和业绩；2、投标人应具有相关招标项目的实施及服务能力；3、投标人遵守执业准则和执业规范，近3年内没有违法、违规或行业自律惩戒记录，无行政罚款或失信记录；4、投标人必须了解招标人业务特点；5、投标人须确保产品的功能和指标满足招标文件要求；6、具有专业化的实施队伍，具有丰富的实施经验；7、投标人须具有良好财务状况，需提供经会计师事务所出具的近三年的财务审计报告复印件加盖公章，原件备查；8、单位负责人为同一人或者存在直接控股、管理关系的不同投标人，不得参加同一合同项；9、投标人需具备消防设施工程承包一级资质；10、投标人的直接或间接股东、法定代表人、董事、监事、高管应非中国重型汽车集团有限公司及其下属单位的员工及其亲属；11、投标人需确认本项目与中国重汽智慧消防试点单位智慧消防平台进行对接，并出具加盖单位公章的确认函；12、投标人应根据上述内容进行自查，如不能提供或提供材料存在虚假情况的，将视为废标处理。</w:t>
      </w:r>
    </w:p>
    <w:p>
      <w:pPr>
        <w:tabs>
          <w:tab w:val="left" w:pos="0"/>
        </w:tabs>
        <w:spacing w:line="360" w:lineRule="auto"/>
        <w:ind w:firstLine="480" w:firstLineChars="200"/>
        <w:rPr>
          <w:rFonts w:ascii="宋体" w:hAnsi="宋体" w:cs="宋体"/>
          <w:bCs/>
          <w:kern w:val="0"/>
          <w:sz w:val="24"/>
        </w:rPr>
      </w:pPr>
      <w:r>
        <w:rPr>
          <w:rFonts w:hint="eastAsia" w:ascii="宋体" w:hAnsi="宋体" w:cs="宋体"/>
          <w:bCs/>
          <w:kern w:val="0"/>
          <w:sz w:val="24"/>
        </w:rPr>
        <w:t>（2）参加谈判的人员应为法定代表人或其授权代理人。若法定代表人不能到场的，其授权代理人参加竞标时，必须提供《法定代表人授权委托书》原件和代理人身份证复印件（必要时出示原件）。如果是法定代表人出席，则只需提供法定代表人的身份证复印件。</w:t>
      </w:r>
    </w:p>
    <w:p>
      <w:pPr>
        <w:tabs>
          <w:tab w:val="left" w:pos="0"/>
        </w:tabs>
        <w:spacing w:line="360" w:lineRule="auto"/>
        <w:ind w:firstLine="480" w:firstLineChars="200"/>
        <w:rPr>
          <w:rFonts w:ascii="宋体" w:hAnsi="宋体" w:cs="宋体"/>
          <w:bCs/>
          <w:kern w:val="0"/>
          <w:sz w:val="24"/>
        </w:rPr>
      </w:pPr>
      <w:r>
        <w:rPr>
          <w:rFonts w:hint="eastAsia" w:ascii="宋体" w:hAnsi="宋体" w:cs="宋体"/>
          <w:bCs/>
          <w:kern w:val="0"/>
          <w:sz w:val="24"/>
        </w:rPr>
        <w:t>（3）</w:t>
      </w:r>
      <w:r>
        <w:rPr>
          <w:rFonts w:ascii="宋体" w:hAnsi="宋体" w:cs="宋体"/>
          <w:bCs/>
          <w:kern w:val="0"/>
          <w:sz w:val="24"/>
        </w:rPr>
        <w:t>具有足够能力保证按照招标方提出的要求按时、按质按期完成系统的安装调试、培训</w:t>
      </w:r>
      <w:r>
        <w:rPr>
          <w:rFonts w:hint="eastAsia" w:ascii="宋体" w:hAnsi="宋体" w:cs="宋体"/>
          <w:bCs/>
          <w:kern w:val="0"/>
          <w:sz w:val="24"/>
        </w:rPr>
        <w:t>和提供过硬的</w:t>
      </w:r>
      <w:r>
        <w:rPr>
          <w:rFonts w:ascii="宋体" w:hAnsi="宋体" w:cs="宋体"/>
          <w:bCs/>
          <w:kern w:val="0"/>
          <w:sz w:val="24"/>
        </w:rPr>
        <w:t>售后服务</w:t>
      </w:r>
      <w:r>
        <w:rPr>
          <w:rFonts w:hint="eastAsia" w:ascii="宋体" w:hAnsi="宋体" w:cs="宋体"/>
          <w:bCs/>
          <w:kern w:val="0"/>
          <w:sz w:val="24"/>
        </w:rPr>
        <w:t>支持体系；</w:t>
      </w:r>
    </w:p>
    <w:p>
      <w:pPr>
        <w:tabs>
          <w:tab w:val="left" w:pos="0"/>
        </w:tabs>
        <w:spacing w:line="360" w:lineRule="auto"/>
        <w:ind w:firstLine="480" w:firstLineChars="200"/>
        <w:rPr>
          <w:rFonts w:ascii="宋体" w:hAnsi="宋体" w:cs="宋体"/>
          <w:bCs/>
          <w:kern w:val="0"/>
          <w:sz w:val="24"/>
        </w:rPr>
      </w:pPr>
      <w:r>
        <w:rPr>
          <w:rFonts w:hint="eastAsia" w:ascii="宋体" w:hAnsi="宋体" w:cs="宋体"/>
          <w:bCs/>
          <w:kern w:val="0"/>
          <w:sz w:val="24"/>
        </w:rPr>
        <w:t>（4）</w:t>
      </w:r>
      <w:r>
        <w:rPr>
          <w:rFonts w:ascii="宋体" w:hAnsi="宋体" w:cs="宋体"/>
          <w:bCs/>
          <w:kern w:val="0"/>
          <w:sz w:val="24"/>
        </w:rPr>
        <w:t>投标</w:t>
      </w:r>
      <w:r>
        <w:rPr>
          <w:rFonts w:hint="eastAsia" w:ascii="宋体" w:hAnsi="宋体" w:cs="宋体"/>
          <w:bCs/>
          <w:kern w:val="0"/>
          <w:sz w:val="24"/>
        </w:rPr>
        <w:t>人必须由法人代表或其委托代理人（须有法人代表签署的授权书）参加相关商务活动；</w:t>
      </w:r>
    </w:p>
    <w:p>
      <w:pPr>
        <w:tabs>
          <w:tab w:val="left" w:pos="0"/>
        </w:tabs>
        <w:spacing w:line="360" w:lineRule="auto"/>
        <w:ind w:firstLine="480" w:firstLineChars="200"/>
        <w:rPr>
          <w:rFonts w:ascii="宋体" w:hAnsi="宋体" w:cs="宋体"/>
          <w:bCs/>
          <w:kern w:val="0"/>
          <w:sz w:val="24"/>
        </w:rPr>
      </w:pPr>
      <w:r>
        <w:rPr>
          <w:rFonts w:hint="eastAsia" w:ascii="宋体" w:hAnsi="宋体" w:cs="宋体"/>
          <w:bCs/>
          <w:kern w:val="0"/>
          <w:sz w:val="24"/>
        </w:rPr>
        <w:t>（5）投标人应将开标一览表单独封装，以便于唱标，且应将投标文件的技术部分与商务部分分开并单独封装。</w:t>
      </w:r>
    </w:p>
    <w:p>
      <w:pPr>
        <w:tabs>
          <w:tab w:val="left" w:pos="0"/>
        </w:tabs>
        <w:spacing w:line="360" w:lineRule="auto"/>
        <w:ind w:firstLine="480" w:firstLineChars="200"/>
        <w:rPr>
          <w:rFonts w:ascii="宋体" w:hAnsi="宋体" w:cs="宋体"/>
          <w:bCs/>
          <w:kern w:val="0"/>
          <w:sz w:val="24"/>
        </w:rPr>
      </w:pPr>
      <w:r>
        <w:rPr>
          <w:rFonts w:hint="eastAsia" w:ascii="宋体" w:hAnsi="宋体" w:cs="宋体"/>
          <w:bCs/>
          <w:kern w:val="0"/>
          <w:sz w:val="24"/>
        </w:rPr>
        <w:t>（6）投标人须具有良好的财务状况，需提供经会计事务所出具的近两年财务审计报告复印件加盖公章，原件备查。</w:t>
      </w:r>
    </w:p>
    <w:p>
      <w:pPr>
        <w:tabs>
          <w:tab w:val="left" w:pos="0"/>
        </w:tabs>
        <w:spacing w:line="360" w:lineRule="auto"/>
        <w:ind w:firstLine="480" w:firstLineChars="200"/>
        <w:rPr>
          <w:rFonts w:ascii="宋体" w:hAnsi="宋体" w:cs="宋体"/>
          <w:bCs/>
          <w:kern w:val="0"/>
          <w:sz w:val="24"/>
        </w:rPr>
      </w:pPr>
      <w:r>
        <w:rPr>
          <w:rFonts w:hint="eastAsia" w:ascii="宋体" w:hAnsi="宋体" w:cs="宋体"/>
          <w:bCs/>
          <w:kern w:val="0"/>
          <w:sz w:val="24"/>
        </w:rPr>
        <w:t>（7）投标人需具备消防设施工程承包一级资质</w:t>
      </w:r>
    </w:p>
    <w:p>
      <w:pPr>
        <w:tabs>
          <w:tab w:val="left" w:pos="0"/>
        </w:tabs>
        <w:spacing w:line="360" w:lineRule="auto"/>
        <w:rPr>
          <w:rFonts w:ascii="宋体" w:hAnsi="宋体" w:cs="宋体"/>
          <w:bCs/>
          <w:kern w:val="0"/>
          <w:sz w:val="24"/>
        </w:rPr>
      </w:pPr>
      <w:r>
        <w:rPr>
          <w:rFonts w:hint="eastAsia" w:ascii="宋体" w:hAnsi="宋体" w:cs="宋体"/>
          <w:bCs/>
          <w:kern w:val="0"/>
          <w:sz w:val="24"/>
        </w:rPr>
        <w:t>3、评标方法</w:t>
      </w:r>
    </w:p>
    <w:p>
      <w:pPr>
        <w:tabs>
          <w:tab w:val="left" w:pos="0"/>
        </w:tabs>
        <w:spacing w:line="360" w:lineRule="auto"/>
        <w:rPr>
          <w:rFonts w:ascii="宋体" w:hAnsi="宋体" w:cs="宋体"/>
          <w:bCs/>
          <w:kern w:val="0"/>
          <w:sz w:val="24"/>
        </w:rPr>
      </w:pPr>
      <w:r>
        <w:rPr>
          <w:rFonts w:hint="eastAsia" w:ascii="宋体" w:hAnsi="宋体" w:cs="宋体"/>
          <w:bCs/>
          <w:kern w:val="0"/>
          <w:sz w:val="24"/>
        </w:rPr>
        <w:t xml:space="preserve">    由招标人为该项目依法组织的、由五人及以上单数成员组成的评标工作小组负责，采用综合评分法，依据评分标准，本着公平、公正、公开、有序的原则，在最大限度地满足招标文件实质性要求的前提下，按照评审要素中的具体项目进行综合评审，确定综合得分和排名。若综合得分一致，以价格得分高者排名靠前；若价格相同，以技术得分高者排名靠前；若技术得分相同，以商务得分高者排名靠前；招标人有权根据报名数量及评标情况，最终确定一家投标人中标。</w:t>
      </w:r>
    </w:p>
    <w:p>
      <w:pPr>
        <w:pStyle w:val="26"/>
        <w:spacing w:line="360" w:lineRule="auto"/>
        <w:outlineLvl w:val="1"/>
        <w:rPr>
          <w:rFonts w:ascii="黑体" w:eastAsia="黑体"/>
          <w:b/>
          <w:bCs/>
          <w:sz w:val="28"/>
        </w:rPr>
      </w:pPr>
      <w:r>
        <w:rPr>
          <w:rFonts w:hint="eastAsia" w:ascii="黑体" w:eastAsia="黑体"/>
          <w:b/>
          <w:bCs/>
          <w:sz w:val="28"/>
        </w:rPr>
        <w:t>九、合同签订</w:t>
      </w:r>
    </w:p>
    <w:p>
      <w:pPr>
        <w:pStyle w:val="26"/>
        <w:spacing w:line="360" w:lineRule="auto"/>
        <w:ind w:firstLine="480" w:firstLineChars="200"/>
        <w:rPr>
          <w:sz w:val="24"/>
          <w:szCs w:val="24"/>
        </w:rPr>
      </w:pPr>
      <w:r>
        <w:rPr>
          <w:rFonts w:hint="eastAsia"/>
          <w:sz w:val="24"/>
          <w:szCs w:val="24"/>
        </w:rPr>
        <w:t>1、招标人根据评标工作小组的评标结果确定中标人，并书面通知中标人，招标人不承诺将合同授予报价最低的投标人。</w:t>
      </w:r>
    </w:p>
    <w:p>
      <w:pPr>
        <w:pStyle w:val="26"/>
        <w:spacing w:line="360" w:lineRule="auto"/>
        <w:ind w:firstLine="480" w:firstLineChars="200"/>
        <w:rPr>
          <w:rFonts w:hAnsi="宋体"/>
          <w:sz w:val="24"/>
          <w:szCs w:val="24"/>
        </w:rPr>
      </w:pPr>
      <w:r>
        <w:rPr>
          <w:rFonts w:hint="eastAsia" w:hAnsi="宋体"/>
          <w:sz w:val="24"/>
          <w:szCs w:val="24"/>
        </w:rPr>
        <w:t>2、本项目产生一个中标人。</w:t>
      </w:r>
    </w:p>
    <w:p>
      <w:pPr>
        <w:pStyle w:val="26"/>
        <w:spacing w:line="360" w:lineRule="auto"/>
        <w:ind w:firstLine="480" w:firstLineChars="200"/>
        <w:rPr>
          <w:sz w:val="24"/>
          <w:szCs w:val="24"/>
        </w:rPr>
      </w:pPr>
      <w:r>
        <w:rPr>
          <w:rFonts w:hint="eastAsia" w:hAnsi="宋体"/>
          <w:sz w:val="24"/>
          <w:szCs w:val="24"/>
        </w:rPr>
        <w:t>3、招标人发送《中标通知书》给中标人，中标人应及时与招标人联系，在规定的时间内与招标单位签订合同，如果中标人接到《中标通知书》后，无</w:t>
      </w:r>
      <w:r>
        <w:rPr>
          <w:rFonts w:hAnsi="宋体"/>
          <w:sz w:val="24"/>
          <w:szCs w:val="24"/>
        </w:rPr>
        <w:t>不正当理由</w:t>
      </w:r>
      <w:r>
        <w:rPr>
          <w:rFonts w:hint="eastAsia" w:hAnsi="宋体"/>
          <w:sz w:val="24"/>
          <w:szCs w:val="24"/>
        </w:rPr>
        <w:t>拒签</w:t>
      </w:r>
      <w:r>
        <w:rPr>
          <w:rFonts w:hAnsi="宋体"/>
          <w:sz w:val="24"/>
          <w:szCs w:val="24"/>
        </w:rPr>
        <w:t>合同</w:t>
      </w:r>
      <w:r>
        <w:rPr>
          <w:rFonts w:hint="eastAsia" w:hAnsi="宋体"/>
          <w:sz w:val="24"/>
          <w:szCs w:val="24"/>
        </w:rPr>
        <w:t>、</w:t>
      </w:r>
      <w:r>
        <w:rPr>
          <w:rFonts w:hAnsi="宋体"/>
          <w:sz w:val="24"/>
          <w:szCs w:val="24"/>
        </w:rPr>
        <w:t>在签订合同时向招标人提出</w:t>
      </w:r>
      <w:r>
        <w:rPr>
          <w:rFonts w:hint="eastAsia" w:hAnsi="宋体"/>
          <w:sz w:val="24"/>
          <w:szCs w:val="24"/>
        </w:rPr>
        <w:t>无理</w:t>
      </w:r>
      <w:r>
        <w:rPr>
          <w:rFonts w:hAnsi="宋体"/>
          <w:sz w:val="24"/>
          <w:szCs w:val="24"/>
        </w:rPr>
        <w:t>附加条件</w:t>
      </w:r>
      <w:r>
        <w:rPr>
          <w:rFonts w:hint="eastAsia" w:hAnsi="宋体"/>
          <w:sz w:val="24"/>
          <w:szCs w:val="24"/>
        </w:rPr>
        <w:t>的，取消该投标人的入围资格</w:t>
      </w:r>
      <w:r>
        <w:rPr>
          <w:rFonts w:hAnsi="宋体"/>
          <w:sz w:val="24"/>
          <w:szCs w:val="24"/>
        </w:rPr>
        <w:t>，</w:t>
      </w:r>
      <w:r>
        <w:rPr>
          <w:rFonts w:hint="eastAsia"/>
          <w:sz w:val="24"/>
          <w:szCs w:val="24"/>
        </w:rPr>
        <w:t>该投标人2</w:t>
      </w:r>
      <w:r>
        <w:rPr>
          <w:sz w:val="24"/>
          <w:szCs w:val="24"/>
        </w:rPr>
        <w:t>年</w:t>
      </w:r>
      <w:r>
        <w:rPr>
          <w:rFonts w:hint="eastAsia"/>
          <w:sz w:val="24"/>
          <w:szCs w:val="24"/>
        </w:rPr>
        <w:t>不得参与中国重汽集团公司安全环保部发布的招投标项目。</w:t>
      </w:r>
    </w:p>
    <w:p>
      <w:pPr>
        <w:pStyle w:val="26"/>
        <w:spacing w:line="360" w:lineRule="auto"/>
        <w:ind w:firstLine="480" w:firstLineChars="200"/>
        <w:rPr>
          <w:rFonts w:hAnsi="宋体"/>
          <w:sz w:val="24"/>
          <w:szCs w:val="24"/>
        </w:rPr>
      </w:pPr>
      <w:r>
        <w:rPr>
          <w:rFonts w:hint="eastAsia" w:hAnsi="宋体"/>
          <w:sz w:val="24"/>
          <w:szCs w:val="24"/>
        </w:rPr>
        <w:t>4、中标人应当按照合同约定的履约责任，在保证质量的前提下完成中标项目，不得将中标项目转包或分包给他人，否则视为违约，招标人有权解除合同。</w:t>
      </w:r>
    </w:p>
    <w:p>
      <w:pPr>
        <w:pStyle w:val="26"/>
        <w:spacing w:line="360" w:lineRule="auto"/>
        <w:ind w:firstLine="480" w:firstLineChars="200"/>
        <w:rPr>
          <w:rFonts w:hAnsi="宋体"/>
          <w:sz w:val="24"/>
          <w:szCs w:val="24"/>
        </w:rPr>
      </w:pPr>
      <w:r>
        <w:rPr>
          <w:rFonts w:hint="eastAsia" w:hAnsi="宋体"/>
          <w:sz w:val="24"/>
          <w:szCs w:val="24"/>
        </w:rPr>
        <w:t>5、在</w:t>
      </w:r>
      <w:r>
        <w:rPr>
          <w:rFonts w:hint="eastAsia"/>
          <w:sz w:val="24"/>
          <w:szCs w:val="24"/>
        </w:rPr>
        <w:t>履行</w:t>
      </w:r>
      <w:r>
        <w:rPr>
          <w:rFonts w:hint="eastAsia" w:hAnsi="宋体"/>
          <w:sz w:val="24"/>
          <w:szCs w:val="24"/>
        </w:rPr>
        <w:t>合同过程中，中标人</w:t>
      </w:r>
      <w:r>
        <w:rPr>
          <w:rFonts w:hint="eastAsia"/>
          <w:sz w:val="24"/>
          <w:szCs w:val="24"/>
        </w:rPr>
        <w:t>由于履行义务的能力或信用有严重缺陷，</w:t>
      </w:r>
      <w:r>
        <w:rPr>
          <w:rFonts w:hint="eastAsia" w:hAnsi="宋体"/>
          <w:sz w:val="24"/>
          <w:szCs w:val="24"/>
        </w:rPr>
        <w:t>招标人有权解除合同并取消其中标资格，招标人将从中标候选单位中依序重新确定中标人，或重新组织招标。</w:t>
      </w:r>
    </w:p>
    <w:p>
      <w:pPr>
        <w:pStyle w:val="26"/>
        <w:spacing w:line="360" w:lineRule="auto"/>
        <w:ind w:firstLine="480" w:firstLineChars="200"/>
        <w:rPr>
          <w:rFonts w:hAnsi="宋体"/>
          <w:sz w:val="24"/>
          <w:szCs w:val="24"/>
        </w:rPr>
      </w:pPr>
      <w:r>
        <w:rPr>
          <w:rFonts w:hint="eastAsia" w:hAnsi="宋体"/>
          <w:sz w:val="24"/>
          <w:szCs w:val="24"/>
        </w:rPr>
        <w:t>6、招标人有权指定招标人的关联单位作为合同签订人，与中标人签署相关合同，且集体权利义务以双方最终签署的合同为准。</w:t>
      </w:r>
    </w:p>
    <w:p>
      <w:pPr>
        <w:pStyle w:val="26"/>
        <w:spacing w:line="360" w:lineRule="auto"/>
        <w:outlineLvl w:val="1"/>
        <w:rPr>
          <w:rFonts w:ascii="黑体" w:eastAsia="黑体"/>
          <w:b/>
          <w:bCs/>
          <w:sz w:val="28"/>
        </w:rPr>
      </w:pPr>
      <w:r>
        <w:rPr>
          <w:rFonts w:hint="eastAsia" w:ascii="黑体" w:eastAsia="黑体"/>
          <w:b/>
          <w:bCs/>
          <w:sz w:val="28"/>
        </w:rPr>
        <w:t>十、废标及终止招标</w:t>
      </w:r>
    </w:p>
    <w:p>
      <w:pPr>
        <w:spacing w:line="520" w:lineRule="exact"/>
        <w:ind w:right="2" w:firstLine="480" w:firstLineChars="200"/>
        <w:rPr>
          <w:rFonts w:ascii="宋体" w:hAnsi="Courier New"/>
          <w:sz w:val="24"/>
        </w:rPr>
      </w:pPr>
      <w:r>
        <w:rPr>
          <w:rFonts w:hint="eastAsia" w:ascii="宋体" w:hAnsi="Courier New"/>
          <w:sz w:val="24"/>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520" w:lineRule="exact"/>
        <w:ind w:right="2" w:firstLine="480" w:firstLineChars="200"/>
        <w:rPr>
          <w:rFonts w:ascii="宋体" w:hAnsi="Courier New"/>
          <w:sz w:val="24"/>
        </w:rPr>
      </w:pPr>
      <w:r>
        <w:rPr>
          <w:rFonts w:hint="eastAsia" w:ascii="宋体" w:hAnsi="Courier New"/>
          <w:sz w:val="24"/>
        </w:rPr>
        <w:t>（1）投标人提供的有关资格、资质证明文件不合格、不真实或提供虚假投标材料；</w:t>
      </w:r>
    </w:p>
    <w:p>
      <w:pPr>
        <w:spacing w:line="520" w:lineRule="exact"/>
        <w:ind w:right="2" w:firstLine="480" w:firstLineChars="200"/>
        <w:rPr>
          <w:rFonts w:ascii="宋体" w:hAnsi="Courier New"/>
          <w:sz w:val="24"/>
        </w:rPr>
      </w:pPr>
      <w:r>
        <w:rPr>
          <w:rFonts w:hint="eastAsia" w:ascii="宋体" w:hAnsi="Courier New"/>
          <w:sz w:val="24"/>
        </w:rPr>
        <w:t>（2）投标人在报价有效期内撤回投标；</w:t>
      </w:r>
    </w:p>
    <w:p>
      <w:pPr>
        <w:spacing w:line="520" w:lineRule="exact"/>
        <w:ind w:right="2" w:firstLine="480" w:firstLineChars="200"/>
        <w:rPr>
          <w:rFonts w:ascii="宋体" w:hAnsi="Courier New"/>
          <w:sz w:val="24"/>
        </w:rPr>
      </w:pPr>
      <w:r>
        <w:rPr>
          <w:rFonts w:hint="eastAsia" w:ascii="宋体" w:hAnsi="Courier New"/>
          <w:sz w:val="24"/>
        </w:rPr>
        <w:t>（3）在整个评标过程中，投标人有企图影响评标结果公正性的任何活动；</w:t>
      </w:r>
    </w:p>
    <w:p>
      <w:pPr>
        <w:spacing w:line="520" w:lineRule="exact"/>
        <w:ind w:right="2" w:firstLine="480" w:firstLineChars="200"/>
        <w:rPr>
          <w:rFonts w:ascii="宋体" w:hAnsi="Courier New"/>
          <w:sz w:val="24"/>
        </w:rPr>
      </w:pPr>
      <w:r>
        <w:rPr>
          <w:rFonts w:hint="eastAsia" w:ascii="宋体" w:hAnsi="Courier New"/>
          <w:sz w:val="24"/>
        </w:rPr>
        <w:t>（4）投标人以任何方式诋毁其他投标人；</w:t>
      </w:r>
    </w:p>
    <w:p>
      <w:pPr>
        <w:spacing w:line="520" w:lineRule="exact"/>
        <w:ind w:right="2" w:firstLine="480" w:firstLineChars="200"/>
        <w:rPr>
          <w:rFonts w:ascii="宋体" w:hAnsi="Courier New"/>
          <w:sz w:val="24"/>
        </w:rPr>
      </w:pPr>
      <w:r>
        <w:rPr>
          <w:rFonts w:hint="eastAsia" w:ascii="宋体" w:hAnsi="Courier New"/>
          <w:sz w:val="24"/>
        </w:rPr>
        <w:t>（5）投标人串通投标；</w:t>
      </w:r>
    </w:p>
    <w:p>
      <w:pPr>
        <w:spacing w:line="520" w:lineRule="exact"/>
        <w:ind w:right="2" w:firstLine="480" w:firstLineChars="200"/>
        <w:rPr>
          <w:rFonts w:ascii="宋体" w:hAnsi="Courier New"/>
          <w:sz w:val="24"/>
        </w:rPr>
      </w:pPr>
      <w:r>
        <w:rPr>
          <w:rFonts w:hint="eastAsia" w:ascii="宋体" w:hAnsi="Courier New"/>
          <w:sz w:val="24"/>
        </w:rPr>
        <w:t>（6）以他人名义投标或者以其他方式弄虚作假，骗取中标的；</w:t>
      </w:r>
    </w:p>
    <w:p>
      <w:pPr>
        <w:spacing w:line="520" w:lineRule="exact"/>
        <w:ind w:right="2" w:firstLine="480" w:firstLineChars="200"/>
        <w:rPr>
          <w:rFonts w:ascii="宋体" w:hAnsi="Courier New"/>
          <w:sz w:val="24"/>
        </w:rPr>
      </w:pPr>
      <w:r>
        <w:rPr>
          <w:rFonts w:hint="eastAsia" w:ascii="宋体" w:hAnsi="Courier New"/>
          <w:sz w:val="24"/>
        </w:rPr>
        <w:t>（7）投标人负责人为同一人或者存在控股、管理关系的不同单位；</w:t>
      </w:r>
    </w:p>
    <w:p>
      <w:pPr>
        <w:spacing w:line="520" w:lineRule="exact"/>
        <w:ind w:right="2" w:firstLine="480" w:firstLineChars="200"/>
        <w:rPr>
          <w:rFonts w:ascii="宋体" w:hAnsi="Courier New"/>
          <w:sz w:val="24"/>
        </w:rPr>
      </w:pPr>
      <w:r>
        <w:rPr>
          <w:rFonts w:hint="eastAsia" w:ascii="宋体" w:hAnsi="Courier New"/>
          <w:sz w:val="24"/>
        </w:rPr>
        <w:t>（8）法律、法规规定的其他情况。</w:t>
      </w:r>
    </w:p>
    <w:p>
      <w:pPr>
        <w:spacing w:line="520" w:lineRule="exact"/>
        <w:ind w:right="2" w:firstLine="480" w:firstLineChars="200"/>
        <w:rPr>
          <w:rFonts w:ascii="宋体" w:hAnsi="Courier New"/>
          <w:sz w:val="24"/>
        </w:rPr>
      </w:pPr>
      <w:r>
        <w:rPr>
          <w:rFonts w:hint="eastAsia" w:ascii="宋体" w:hAnsi="Courier New"/>
          <w:sz w:val="24"/>
        </w:rPr>
        <w:t>2、出现下列情形之一，招标人有权否决所有投标人的投标，并终止招标</w:t>
      </w:r>
    </w:p>
    <w:p>
      <w:pPr>
        <w:spacing w:line="520" w:lineRule="exact"/>
        <w:ind w:right="2" w:firstLine="480" w:firstLineChars="200"/>
        <w:rPr>
          <w:rFonts w:ascii="宋体" w:hAnsi="Courier New"/>
          <w:sz w:val="24"/>
        </w:rPr>
      </w:pPr>
      <w:r>
        <w:rPr>
          <w:rFonts w:hint="eastAsia" w:ascii="宋体" w:hAnsi="Courier New"/>
          <w:sz w:val="24"/>
        </w:rPr>
        <w:t>（1）出现影响采购公正的违法、违规行为的；</w:t>
      </w:r>
    </w:p>
    <w:p>
      <w:pPr>
        <w:spacing w:line="520" w:lineRule="exact"/>
        <w:ind w:right="2" w:firstLine="480" w:firstLineChars="200"/>
        <w:rPr>
          <w:rFonts w:ascii="宋体" w:hAnsi="Courier New"/>
          <w:sz w:val="24"/>
        </w:rPr>
      </w:pPr>
      <w:r>
        <w:rPr>
          <w:rFonts w:hint="eastAsia" w:ascii="宋体" w:hAnsi="Courier New"/>
          <w:sz w:val="24"/>
        </w:rPr>
        <w:t>（2）招标人认为所有投标人都不符合招标条件；</w:t>
      </w:r>
    </w:p>
    <w:p>
      <w:pPr>
        <w:spacing w:line="520" w:lineRule="exact"/>
        <w:ind w:right="2" w:firstLine="480" w:firstLineChars="200"/>
        <w:rPr>
          <w:rFonts w:ascii="宋体" w:hAnsi="Courier New"/>
          <w:sz w:val="24"/>
        </w:rPr>
      </w:pPr>
      <w:r>
        <w:rPr>
          <w:rFonts w:hint="eastAsia" w:ascii="宋体" w:hAnsi="Courier New"/>
          <w:sz w:val="24"/>
        </w:rPr>
        <w:t>（3）因重大变故，采购任务取消的；</w:t>
      </w:r>
    </w:p>
    <w:p>
      <w:pPr>
        <w:pStyle w:val="26"/>
        <w:spacing w:line="360" w:lineRule="auto"/>
        <w:outlineLvl w:val="1"/>
        <w:rPr>
          <w:rFonts w:ascii="黑体" w:eastAsia="黑体"/>
          <w:b/>
          <w:bCs/>
          <w:sz w:val="28"/>
        </w:rPr>
      </w:pPr>
      <w:r>
        <w:rPr>
          <w:rFonts w:hint="eastAsia" w:ascii="黑体" w:eastAsia="黑体"/>
          <w:b/>
          <w:bCs/>
          <w:sz w:val="28"/>
        </w:rPr>
        <w:t>十一、中标人瑕疵滞后处理原则</w:t>
      </w:r>
    </w:p>
    <w:p>
      <w:pPr>
        <w:pStyle w:val="26"/>
        <w:spacing w:line="360" w:lineRule="auto"/>
        <w:outlineLvl w:val="1"/>
        <w:rPr>
          <w:rFonts w:ascii="黑体" w:eastAsia="黑体"/>
          <w:b/>
          <w:bCs/>
          <w:sz w:val="28"/>
        </w:rPr>
      </w:pPr>
      <w:r>
        <w:rPr>
          <w:rFonts w:hint="eastAsia" w:ascii="黑体" w:eastAsia="黑体"/>
          <w:b/>
          <w:bCs/>
          <w:sz w:val="28"/>
        </w:rPr>
        <w:t xml:space="preserve">    </w:t>
      </w:r>
      <w:r>
        <w:rPr>
          <w:rFonts w:hint="eastAsia"/>
          <w:sz w:val="24"/>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pPr>
        <w:pStyle w:val="26"/>
        <w:spacing w:line="360" w:lineRule="auto"/>
        <w:outlineLvl w:val="1"/>
        <w:rPr>
          <w:rFonts w:ascii="黑体" w:eastAsia="黑体"/>
          <w:b/>
          <w:bCs/>
          <w:sz w:val="28"/>
        </w:rPr>
      </w:pPr>
      <w:r>
        <w:rPr>
          <w:rFonts w:hint="eastAsia" w:ascii="黑体" w:eastAsia="黑体"/>
          <w:b/>
          <w:bCs/>
          <w:sz w:val="28"/>
        </w:rPr>
        <w:t>十二、投标文件格式</w:t>
      </w:r>
    </w:p>
    <w:p>
      <w:pPr>
        <w:spacing w:line="520" w:lineRule="exact"/>
        <w:ind w:right="2" w:firstLine="480" w:firstLineChars="200"/>
        <w:rPr>
          <w:rFonts w:ascii="宋体" w:hAnsi="Courier New"/>
          <w:sz w:val="24"/>
        </w:rPr>
      </w:pPr>
      <w:r>
        <w:rPr>
          <w:rFonts w:hint="eastAsia" w:ascii="宋体" w:hAnsi="Courier New"/>
          <w:sz w:val="24"/>
        </w:rPr>
        <w:t>详见附件格式1</w:t>
      </w:r>
      <w:r>
        <w:rPr>
          <w:rFonts w:ascii="宋体" w:hAnsi="Courier New"/>
          <w:sz w:val="24"/>
        </w:rPr>
        <w:t>—</w:t>
      </w:r>
      <w:r>
        <w:rPr>
          <w:rFonts w:hint="eastAsia" w:ascii="宋体" w:hAnsi="Courier New"/>
          <w:sz w:val="24"/>
        </w:rPr>
        <w:t>10。</w:t>
      </w:r>
    </w:p>
    <w:p>
      <w:pPr>
        <w:pStyle w:val="26"/>
        <w:spacing w:line="360" w:lineRule="auto"/>
        <w:outlineLvl w:val="1"/>
        <w:rPr>
          <w:rFonts w:ascii="黑体" w:eastAsia="黑体"/>
          <w:b/>
          <w:bCs/>
          <w:sz w:val="28"/>
        </w:rPr>
      </w:pPr>
      <w:r>
        <w:rPr>
          <w:rFonts w:hint="eastAsia" w:ascii="黑体" w:eastAsia="黑体"/>
          <w:b/>
          <w:bCs/>
          <w:sz w:val="28"/>
        </w:rPr>
        <w:t>十三、技术协议书</w:t>
      </w:r>
    </w:p>
    <w:p>
      <w:pPr>
        <w:pStyle w:val="26"/>
        <w:spacing w:line="360" w:lineRule="auto"/>
        <w:ind w:firstLine="480" w:firstLineChars="200"/>
        <w:outlineLvl w:val="1"/>
        <w:rPr>
          <w:rFonts w:ascii="黑体" w:eastAsia="黑体"/>
          <w:b/>
          <w:bCs/>
          <w:sz w:val="28"/>
        </w:rPr>
      </w:pPr>
      <w:r>
        <w:rPr>
          <w:rFonts w:hint="eastAsia"/>
          <w:sz w:val="24"/>
        </w:rPr>
        <w:t>附后，以最后签订版本为准。</w:t>
      </w:r>
    </w:p>
    <w:p>
      <w:pPr>
        <w:pStyle w:val="26"/>
        <w:spacing w:line="360" w:lineRule="auto"/>
        <w:outlineLvl w:val="1"/>
        <w:rPr>
          <w:rFonts w:ascii="黑体" w:eastAsia="黑体"/>
          <w:b/>
          <w:bCs/>
          <w:sz w:val="28"/>
        </w:rPr>
      </w:pPr>
      <w:r>
        <w:rPr>
          <w:rFonts w:hint="eastAsia" w:ascii="黑体" w:eastAsia="黑体"/>
          <w:b/>
          <w:bCs/>
          <w:sz w:val="28"/>
        </w:rPr>
        <w:t>十四、解释权</w:t>
      </w:r>
    </w:p>
    <w:p>
      <w:pPr>
        <w:tabs>
          <w:tab w:val="left" w:pos="0"/>
        </w:tabs>
        <w:spacing w:line="360" w:lineRule="auto"/>
        <w:ind w:firstLine="480" w:firstLineChars="200"/>
        <w:rPr>
          <w:rFonts w:cs="宋体" w:asciiTheme="minorEastAsia" w:hAnsiTheme="minorEastAsia" w:eastAsiaTheme="minorEastAsia"/>
          <w:kern w:val="0"/>
          <w:sz w:val="24"/>
        </w:rPr>
        <w:sectPr>
          <w:type w:val="continuous"/>
          <w:pgSz w:w="11906" w:h="16838"/>
          <w:pgMar w:top="1247" w:right="1247" w:bottom="1247" w:left="1247" w:header="851" w:footer="567" w:gutter="0"/>
          <w:pgNumType w:start="0"/>
          <w:cols w:space="425" w:num="1"/>
          <w:docGrid w:type="lines" w:linePitch="312" w:charSpace="0"/>
        </w:sectPr>
      </w:pPr>
      <w:r>
        <w:rPr>
          <w:rFonts w:hint="eastAsia" w:asciiTheme="minorEastAsia" w:hAnsiTheme="minorEastAsia" w:eastAsiaTheme="minorEastAsia"/>
          <w:sz w:val="24"/>
        </w:rPr>
        <w:t>本招标文件的最终解释权归招标方，当对一个问题有多种解释时以采购人的书面解释为准。采购文件未做须知明示，而又有相关法律、法规规定的，招标方对此所做解释以相关的法律、法规规定为依据</w:t>
      </w:r>
    </w:p>
    <w:p>
      <w:pPr>
        <w:tabs>
          <w:tab w:val="left" w:pos="0"/>
        </w:tabs>
        <w:spacing w:line="360" w:lineRule="auto"/>
        <w:rPr>
          <w:rFonts w:ascii="宋体" w:hAnsi="宋体" w:cs="宋体"/>
          <w:kern w:val="0"/>
          <w:sz w:val="24"/>
        </w:rPr>
      </w:pPr>
    </w:p>
    <w:bookmarkEnd w:id="0"/>
    <w:bookmarkEnd w:id="1"/>
    <w:bookmarkEnd w:id="2"/>
    <w:bookmarkEnd w:id="3"/>
    <w:p>
      <w:pPr>
        <w:pStyle w:val="61"/>
        <w:adjustRightInd w:val="0"/>
        <w:ind w:firstLine="0" w:firstLineChars="0"/>
        <w:jc w:val="center"/>
        <w:rPr>
          <w:rFonts w:ascii="黑体" w:hAnsi="华文仿宋" w:eastAsia="黑体"/>
          <w:b/>
          <w:sz w:val="72"/>
          <w:szCs w:val="52"/>
        </w:rPr>
      </w:pPr>
      <w:r>
        <w:rPr>
          <w:rFonts w:hint="eastAsia" w:ascii="黑体" w:hAnsi="华文仿宋" w:eastAsia="黑体"/>
          <w:b/>
          <w:sz w:val="48"/>
          <w:szCs w:val="48"/>
        </w:rPr>
        <w:t>章丘工业园部分区域重大风险智能防控系统建设项目（B包）</w:t>
      </w:r>
    </w:p>
    <w:p>
      <w:pPr>
        <w:tabs>
          <w:tab w:val="left" w:pos="500"/>
        </w:tabs>
        <w:snapToGrid w:val="0"/>
        <w:spacing w:line="360" w:lineRule="auto"/>
        <w:jc w:val="center"/>
        <w:rPr>
          <w:rFonts w:ascii="Calibri" w:hAnsi="Calibri"/>
          <w:b/>
          <w:sz w:val="32"/>
          <w:szCs w:val="32"/>
        </w:rPr>
      </w:pPr>
    </w:p>
    <w:p>
      <w:pPr>
        <w:tabs>
          <w:tab w:val="left" w:pos="500"/>
        </w:tabs>
        <w:snapToGrid w:val="0"/>
        <w:spacing w:line="360" w:lineRule="auto"/>
        <w:jc w:val="center"/>
        <w:rPr>
          <w:rFonts w:ascii="Calibri" w:hAnsi="Calibri"/>
          <w:b/>
          <w:sz w:val="32"/>
          <w:szCs w:val="32"/>
        </w:rPr>
      </w:pPr>
    </w:p>
    <w:p>
      <w:pPr>
        <w:tabs>
          <w:tab w:val="left" w:pos="500"/>
        </w:tabs>
        <w:snapToGrid w:val="0"/>
        <w:spacing w:line="360" w:lineRule="auto"/>
        <w:jc w:val="center"/>
        <w:rPr>
          <w:rFonts w:ascii="Calibri" w:hAnsi="Calibri"/>
          <w:b/>
          <w:sz w:val="32"/>
          <w:szCs w:val="32"/>
        </w:rPr>
      </w:pPr>
    </w:p>
    <w:p>
      <w:pPr>
        <w:tabs>
          <w:tab w:val="left" w:pos="500"/>
        </w:tabs>
        <w:snapToGrid w:val="0"/>
        <w:spacing w:line="360" w:lineRule="auto"/>
        <w:jc w:val="center"/>
        <w:rPr>
          <w:b/>
          <w:color w:val="000000"/>
          <w:sz w:val="84"/>
          <w:szCs w:val="84"/>
        </w:rPr>
      </w:pPr>
      <w:r>
        <w:rPr>
          <w:rFonts w:hint="eastAsia"/>
          <w:b/>
          <w:color w:val="000000"/>
          <w:sz w:val="84"/>
          <w:szCs w:val="84"/>
        </w:rPr>
        <w:t>招 标 文 件</w:t>
      </w:r>
    </w:p>
    <w:p>
      <w:pPr>
        <w:spacing w:line="360" w:lineRule="auto"/>
        <w:jc w:val="center"/>
        <w:rPr>
          <w:b/>
          <w:sz w:val="32"/>
          <w:szCs w:val="32"/>
        </w:rPr>
      </w:pPr>
      <w:r>
        <w:rPr>
          <w:rFonts w:hint="eastAsia"/>
          <w:b/>
          <w:sz w:val="40"/>
          <w:szCs w:val="32"/>
        </w:rPr>
        <w:t>（服务及技术协议书）</w:t>
      </w:r>
    </w:p>
    <w:p>
      <w:pPr>
        <w:spacing w:line="360" w:lineRule="auto"/>
        <w:ind w:left="1438" w:leftChars="685" w:firstLine="955" w:firstLineChars="317"/>
        <w:jc w:val="left"/>
        <w:rPr>
          <w:rFonts w:ascii="宋体" w:hAnsi="宋体"/>
          <w:b/>
          <w:sz w:val="30"/>
        </w:rPr>
      </w:pPr>
    </w:p>
    <w:p>
      <w:pPr>
        <w:spacing w:line="360" w:lineRule="auto"/>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cs="Arial"/>
          <w:b/>
          <w:sz w:val="32"/>
          <w:szCs w:val="32"/>
        </w:rPr>
      </w:pPr>
    </w:p>
    <w:p>
      <w:pPr>
        <w:spacing w:line="360" w:lineRule="auto"/>
        <w:jc w:val="center"/>
        <w:rPr>
          <w:rFonts w:ascii="宋体" w:hAnsi="宋体" w:cs="Arial"/>
          <w:b/>
          <w:sz w:val="32"/>
          <w:szCs w:val="32"/>
        </w:rPr>
      </w:pPr>
    </w:p>
    <w:p>
      <w:pPr>
        <w:spacing w:line="360" w:lineRule="auto"/>
        <w:jc w:val="center"/>
        <w:rPr>
          <w:rFonts w:ascii="宋体" w:hAnsi="宋体" w:cs="Arial"/>
          <w:b/>
          <w:sz w:val="32"/>
          <w:szCs w:val="32"/>
        </w:rPr>
      </w:pPr>
    </w:p>
    <w:p>
      <w:pPr>
        <w:spacing w:line="360" w:lineRule="auto"/>
        <w:jc w:val="center"/>
        <w:rPr>
          <w:rFonts w:ascii="宋体" w:hAnsi="宋体" w:cs="Arial"/>
          <w:b/>
          <w:sz w:val="32"/>
          <w:szCs w:val="32"/>
        </w:rPr>
      </w:pPr>
    </w:p>
    <w:p>
      <w:pPr>
        <w:overflowPunct w:val="0"/>
        <w:topLinePunct/>
        <w:spacing w:line="560" w:lineRule="exact"/>
        <w:rPr>
          <w:rFonts w:ascii="宋体" w:hAnsi="宋体" w:cs="Arial"/>
          <w:b/>
          <w:sz w:val="32"/>
          <w:szCs w:val="32"/>
        </w:rPr>
      </w:pPr>
    </w:p>
    <w:p>
      <w:pPr>
        <w:overflowPunct w:val="0"/>
        <w:topLinePunct/>
        <w:spacing w:line="560" w:lineRule="exact"/>
        <w:rPr>
          <w:rFonts w:ascii="宋体" w:hAnsi="宋体" w:cs="Arial"/>
          <w:b/>
          <w:sz w:val="32"/>
          <w:szCs w:val="32"/>
        </w:rPr>
      </w:pPr>
    </w:p>
    <w:p>
      <w:pPr>
        <w:overflowPunct w:val="0"/>
        <w:topLinePunct/>
        <w:spacing w:line="560" w:lineRule="exact"/>
        <w:rPr>
          <w:rFonts w:ascii="宋体" w:hAnsi="宋体" w:cs="Arial"/>
          <w:b/>
          <w:sz w:val="32"/>
          <w:szCs w:val="32"/>
        </w:rPr>
      </w:pPr>
    </w:p>
    <w:p>
      <w:pPr>
        <w:overflowPunct w:val="0"/>
        <w:topLinePunct/>
        <w:spacing w:line="560" w:lineRule="exact"/>
        <w:jc w:val="center"/>
        <w:rPr>
          <w:rFonts w:ascii="黑体" w:eastAsia="黑体"/>
          <w:sz w:val="28"/>
          <w:szCs w:val="28"/>
        </w:rPr>
        <w:sectPr>
          <w:pgSz w:w="11906" w:h="16838"/>
          <w:pgMar w:top="1247" w:right="1247" w:bottom="1247" w:left="1247" w:header="851" w:footer="567" w:gutter="0"/>
          <w:pgNumType w:start="0"/>
          <w:cols w:space="425" w:num="1"/>
          <w:docGrid w:type="lines" w:linePitch="312" w:charSpace="0"/>
        </w:sectPr>
      </w:pPr>
      <w:r>
        <w:rPr>
          <w:rFonts w:ascii="黑体" w:eastAsia="黑体"/>
          <w:sz w:val="28"/>
          <w:szCs w:val="28"/>
        </w:rPr>
        <w:t>202</w:t>
      </w:r>
      <w:r>
        <w:rPr>
          <w:rFonts w:hint="eastAsia" w:ascii="黑体" w:eastAsia="黑体"/>
          <w:sz w:val="28"/>
          <w:szCs w:val="28"/>
        </w:rPr>
        <w:t>1年9月</w:t>
      </w:r>
    </w:p>
    <w:p>
      <w:pPr>
        <w:rPr>
          <w:rFonts w:ascii="宋体" w:hAnsi="宋体"/>
          <w:b/>
          <w:bCs/>
          <w:color w:val="000000"/>
          <w:sz w:val="30"/>
          <w:szCs w:val="30"/>
        </w:rPr>
      </w:pPr>
      <w:r>
        <w:rPr>
          <w:rFonts w:hint="eastAsia" w:ascii="宋体" w:hAnsi="宋体"/>
          <w:b/>
          <w:bCs/>
          <w:color w:val="000000"/>
          <w:sz w:val="30"/>
          <w:szCs w:val="30"/>
        </w:rPr>
        <w:t>一、实施方案</w:t>
      </w:r>
    </w:p>
    <w:p>
      <w:pPr>
        <w:tabs>
          <w:tab w:val="left" w:pos="0"/>
        </w:tabs>
        <w:spacing w:line="360" w:lineRule="auto"/>
        <w:ind w:left="-28" w:firstLine="480" w:firstLineChars="200"/>
        <w:rPr>
          <w:rFonts w:ascii="宋体" w:hAnsi="宋体" w:cs="宋体"/>
          <w:kern w:val="0"/>
          <w:sz w:val="24"/>
        </w:rPr>
      </w:pPr>
      <w:r>
        <w:rPr>
          <w:rFonts w:hint="eastAsia" w:ascii="宋体" w:hAnsi="宋体" w:cs="宋体"/>
          <w:kern w:val="0"/>
          <w:sz w:val="24"/>
        </w:rPr>
        <w:t>本次项目施工及调试验收应符合GB50116-2013火灾自动报警系统设计规范、GB50370-2005气体灭火系统设计规范、GB50016-2018建筑设计防火规范、GB51251-2017建筑防排烟系统技术标准等消防设计验收等相关技术标准。</w:t>
      </w:r>
    </w:p>
    <w:p>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本次实施内容包含：重点防火部位自动灭火系统、火灾自动报警系统、监控系统等设备设施的安装及调试。正式实施前，相关人员细化梳理相关业务系统及其相关设备，制定切实可行的、尽量详尽的实施方案，以确保项目顺利实施。</w:t>
      </w:r>
    </w:p>
    <w:p>
      <w:pPr>
        <w:rPr>
          <w:rFonts w:ascii="宋体" w:hAnsi="宋体"/>
          <w:b/>
          <w:bCs/>
          <w:color w:val="000000"/>
          <w:sz w:val="30"/>
          <w:szCs w:val="30"/>
        </w:rPr>
      </w:pPr>
      <w:r>
        <w:rPr>
          <w:rFonts w:hint="eastAsia" w:ascii="宋体" w:hAnsi="宋体"/>
          <w:b/>
          <w:bCs/>
          <w:color w:val="000000"/>
          <w:sz w:val="30"/>
          <w:szCs w:val="30"/>
        </w:rPr>
        <w:t>二、项目进度安排</w:t>
      </w:r>
    </w:p>
    <w:p>
      <w:pPr>
        <w:tabs>
          <w:tab w:val="left" w:pos="0"/>
        </w:tabs>
        <w:spacing w:line="360" w:lineRule="auto"/>
        <w:ind w:left="-28" w:firstLine="480" w:firstLineChars="200"/>
        <w:rPr>
          <w:rFonts w:ascii="宋体" w:hAnsi="宋体" w:cs="宋体"/>
          <w:kern w:val="0"/>
          <w:sz w:val="24"/>
        </w:rPr>
      </w:pPr>
      <w:r>
        <w:rPr>
          <w:rFonts w:hint="eastAsia" w:ascii="宋体" w:hAnsi="宋体" w:cs="宋体"/>
          <w:kern w:val="0"/>
          <w:sz w:val="24"/>
        </w:rPr>
        <w:t>买方自得到中标通知书后，三天内组织人员进场，30天内完成项目施工、调试等工作。如在施工、调试过程中遇到难以解决的问题需以书面形式通知卖方，经卖方允许后方可延长施工、调试时间。</w:t>
      </w:r>
    </w:p>
    <w:p>
      <w:pPr>
        <w:ind w:left="-28"/>
        <w:rPr>
          <w:rFonts w:ascii="宋体" w:hAnsi="宋体"/>
          <w:b/>
          <w:bCs/>
          <w:color w:val="000000"/>
          <w:sz w:val="30"/>
          <w:szCs w:val="30"/>
        </w:rPr>
      </w:pPr>
      <w:r>
        <w:rPr>
          <w:rFonts w:hint="eastAsia" w:ascii="宋体" w:hAnsi="宋体"/>
          <w:b/>
          <w:bCs/>
          <w:color w:val="000000"/>
          <w:sz w:val="30"/>
          <w:szCs w:val="30"/>
        </w:rPr>
        <w:t>三、项目技术小组</w:t>
      </w:r>
    </w:p>
    <w:p>
      <w:pPr>
        <w:tabs>
          <w:tab w:val="left" w:pos="0"/>
        </w:tabs>
        <w:spacing w:line="360" w:lineRule="auto"/>
        <w:ind w:left="-28" w:firstLine="480" w:firstLineChars="200"/>
        <w:rPr>
          <w:rFonts w:ascii="宋体" w:hAnsi="宋体" w:cs="宋体"/>
          <w:kern w:val="0"/>
          <w:sz w:val="24"/>
        </w:rPr>
      </w:pPr>
      <w:r>
        <w:rPr>
          <w:rFonts w:hint="eastAsia" w:ascii="宋体" w:hAnsi="宋体" w:cs="宋体"/>
          <w:kern w:val="0"/>
          <w:sz w:val="24"/>
        </w:rPr>
        <w:t>项目团队人员不少于20人，其中需配备项目经理1人。所有成员必须全程全职参与本次项目。项目成员不得随意变动，确需变动，必须提前征得采购人同意。</w:t>
      </w:r>
    </w:p>
    <w:p>
      <w:pPr>
        <w:numPr>
          <w:ilvl w:val="0"/>
          <w:numId w:val="8"/>
        </w:numPr>
        <w:rPr>
          <w:rFonts w:ascii="宋体" w:hAnsi="宋体"/>
          <w:b/>
          <w:bCs/>
          <w:color w:val="000000"/>
          <w:sz w:val="30"/>
          <w:szCs w:val="30"/>
        </w:rPr>
      </w:pPr>
      <w:r>
        <w:rPr>
          <w:rFonts w:hint="eastAsia" w:ascii="宋体" w:hAnsi="宋体"/>
          <w:b/>
          <w:bCs/>
          <w:color w:val="000000"/>
          <w:sz w:val="30"/>
          <w:szCs w:val="30"/>
        </w:rPr>
        <w:t>产品具体技术要求</w:t>
      </w:r>
    </w:p>
    <w:p>
      <w:pPr>
        <w:rPr>
          <w:rFonts w:ascii="宋体" w:hAnsi="宋体"/>
          <w:b/>
          <w:bCs/>
          <w:color w:val="000000"/>
          <w:szCs w:val="21"/>
        </w:rPr>
      </w:pPr>
    </w:p>
    <w:p>
      <w:pPr>
        <w:rPr>
          <w:rFonts w:ascii="宋体" w:hAnsi="宋体"/>
          <w:b/>
          <w:bCs/>
          <w:color w:val="000000"/>
          <w:szCs w:val="21"/>
        </w:rPr>
      </w:pPr>
    </w:p>
    <w:p>
      <w:pPr>
        <w:rPr>
          <w:rFonts w:ascii="宋体" w:hAnsi="宋体"/>
          <w:b/>
          <w:bCs/>
          <w:color w:val="000000"/>
          <w:szCs w:val="21"/>
        </w:rPr>
      </w:pPr>
    </w:p>
    <w:p>
      <w:pPr>
        <w:rPr>
          <w:rFonts w:ascii="宋体" w:hAnsi="宋体"/>
          <w:b/>
          <w:bCs/>
          <w:color w:val="000000"/>
          <w:szCs w:val="21"/>
        </w:rPr>
      </w:pPr>
    </w:p>
    <w:p>
      <w:pPr>
        <w:rPr>
          <w:rFonts w:ascii="宋体" w:hAnsi="宋体"/>
          <w:b/>
          <w:bCs/>
          <w:color w:val="000000"/>
          <w:szCs w:val="21"/>
        </w:rPr>
      </w:pPr>
    </w:p>
    <w:p>
      <w:pPr>
        <w:rPr>
          <w:rFonts w:ascii="宋体" w:hAnsi="宋体"/>
          <w:b/>
          <w:bCs/>
          <w:color w:val="000000"/>
          <w:szCs w:val="21"/>
        </w:rPr>
      </w:pPr>
    </w:p>
    <w:p>
      <w:pPr>
        <w:rPr>
          <w:rFonts w:ascii="宋体" w:hAnsi="宋体"/>
          <w:b/>
          <w:bCs/>
          <w:color w:val="000000"/>
          <w:szCs w:val="21"/>
        </w:rPr>
      </w:pPr>
    </w:p>
    <w:p>
      <w:pPr>
        <w:rPr>
          <w:rFonts w:ascii="宋体" w:hAnsi="宋体"/>
          <w:b/>
          <w:bCs/>
          <w:color w:val="000000"/>
          <w:szCs w:val="21"/>
        </w:rPr>
      </w:pPr>
    </w:p>
    <w:p>
      <w:pPr>
        <w:rPr>
          <w:rFonts w:ascii="宋体" w:hAnsi="宋体"/>
          <w:b/>
          <w:bCs/>
          <w:color w:val="000000"/>
          <w:szCs w:val="21"/>
        </w:rPr>
      </w:pPr>
    </w:p>
    <w:p>
      <w:pPr>
        <w:rPr>
          <w:rFonts w:ascii="宋体" w:hAnsi="宋体"/>
          <w:b/>
          <w:bCs/>
          <w:color w:val="000000"/>
          <w:szCs w:val="21"/>
        </w:rPr>
      </w:pPr>
    </w:p>
    <w:p>
      <w:pPr>
        <w:rPr>
          <w:rFonts w:ascii="宋体" w:hAnsi="宋体"/>
          <w:b/>
          <w:bCs/>
          <w:color w:val="000000"/>
          <w:szCs w:val="21"/>
        </w:rPr>
      </w:pPr>
    </w:p>
    <w:p>
      <w:pPr>
        <w:rPr>
          <w:rFonts w:ascii="宋体" w:hAnsi="宋体"/>
          <w:b/>
          <w:bCs/>
          <w:color w:val="000000"/>
          <w:szCs w:val="21"/>
        </w:rPr>
      </w:pPr>
    </w:p>
    <w:p>
      <w:pPr>
        <w:rPr>
          <w:rFonts w:ascii="宋体" w:hAnsi="宋体"/>
          <w:b/>
          <w:bCs/>
          <w:color w:val="000000"/>
          <w:szCs w:val="21"/>
        </w:rPr>
      </w:pPr>
    </w:p>
    <w:p>
      <w:pPr>
        <w:rPr>
          <w:rFonts w:ascii="宋体" w:hAnsi="宋体"/>
          <w:b/>
          <w:bCs/>
          <w:color w:val="000000"/>
          <w:szCs w:val="21"/>
        </w:rPr>
      </w:pPr>
    </w:p>
    <w:p>
      <w:pPr>
        <w:rPr>
          <w:rFonts w:ascii="宋体" w:hAnsi="宋体"/>
          <w:b/>
          <w:bCs/>
          <w:color w:val="000000"/>
          <w:szCs w:val="21"/>
        </w:rPr>
      </w:pPr>
    </w:p>
    <w:p>
      <w:pPr>
        <w:rPr>
          <w:rFonts w:ascii="宋体" w:hAnsi="宋体"/>
          <w:b/>
          <w:bCs/>
          <w:color w:val="000000"/>
          <w:szCs w:val="21"/>
        </w:rPr>
      </w:pPr>
    </w:p>
    <w:p>
      <w:pPr>
        <w:rPr>
          <w:rFonts w:ascii="宋体" w:hAnsi="宋体"/>
          <w:b/>
          <w:bCs/>
          <w:color w:val="000000"/>
          <w:szCs w:val="21"/>
        </w:rPr>
      </w:pPr>
    </w:p>
    <w:p>
      <w:pPr>
        <w:rPr>
          <w:rFonts w:ascii="宋体" w:hAnsi="宋体"/>
          <w:b/>
          <w:bCs/>
          <w:color w:val="000000"/>
          <w:szCs w:val="21"/>
        </w:rPr>
      </w:pPr>
    </w:p>
    <w:p>
      <w:pPr>
        <w:rPr>
          <w:rFonts w:ascii="宋体" w:hAnsi="宋体"/>
          <w:b/>
          <w:bCs/>
          <w:color w:val="000000"/>
          <w:szCs w:val="21"/>
        </w:rPr>
      </w:pPr>
    </w:p>
    <w:p>
      <w:pPr>
        <w:rPr>
          <w:rFonts w:ascii="宋体" w:hAnsi="宋体"/>
          <w:b/>
          <w:bCs/>
          <w:color w:val="000000"/>
          <w:szCs w:val="21"/>
        </w:rPr>
      </w:pPr>
    </w:p>
    <w:tbl>
      <w:tblPr>
        <w:tblStyle w:val="43"/>
        <w:tblW w:w="9940" w:type="dxa"/>
        <w:jc w:val="center"/>
        <w:tblLayout w:type="autofit"/>
        <w:tblCellMar>
          <w:top w:w="0" w:type="dxa"/>
          <w:left w:w="108" w:type="dxa"/>
          <w:bottom w:w="0" w:type="dxa"/>
          <w:right w:w="108" w:type="dxa"/>
        </w:tblCellMar>
      </w:tblPr>
      <w:tblGrid>
        <w:gridCol w:w="700"/>
        <w:gridCol w:w="2183"/>
        <w:gridCol w:w="4380"/>
        <w:gridCol w:w="738"/>
        <w:gridCol w:w="716"/>
        <w:gridCol w:w="1223"/>
      </w:tblGrid>
      <w:tr>
        <w:tblPrEx>
          <w:tblCellMar>
            <w:top w:w="0" w:type="dxa"/>
            <w:left w:w="108" w:type="dxa"/>
            <w:bottom w:w="0" w:type="dxa"/>
            <w:right w:w="108" w:type="dxa"/>
          </w:tblCellMar>
        </w:tblPrEx>
        <w:trPr>
          <w:trHeight w:val="660" w:hRule="atLeast"/>
          <w:jc w:val="center"/>
        </w:trPr>
        <w:tc>
          <w:tcPr>
            <w:tcW w:w="994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36"/>
                <w:szCs w:val="36"/>
              </w:rPr>
            </w:pPr>
            <w:r>
              <w:rPr>
                <w:rFonts w:hint="eastAsia" w:ascii="宋体" w:hAnsi="宋体" w:cs="宋体"/>
                <w:b/>
                <w:bCs/>
                <w:color w:val="000000"/>
                <w:kern w:val="0"/>
                <w:sz w:val="36"/>
                <w:szCs w:val="36"/>
              </w:rPr>
              <w:t>济南商用车公司车间消防智能管控设计清单</w:t>
            </w:r>
          </w:p>
        </w:tc>
      </w:tr>
      <w:tr>
        <w:tblPrEx>
          <w:tblCellMar>
            <w:top w:w="0" w:type="dxa"/>
            <w:left w:w="108" w:type="dxa"/>
            <w:bottom w:w="0" w:type="dxa"/>
            <w:right w:w="108" w:type="dxa"/>
          </w:tblCellMar>
        </w:tblPrEx>
        <w:trPr>
          <w:trHeight w:val="52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序号</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产品名称</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功能介绍</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单位</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数量</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区域位置</w:t>
            </w:r>
          </w:p>
        </w:tc>
      </w:tr>
      <w:tr>
        <w:tblPrEx>
          <w:tblCellMar>
            <w:top w:w="0" w:type="dxa"/>
            <w:left w:w="108" w:type="dxa"/>
            <w:bottom w:w="0" w:type="dxa"/>
            <w:right w:w="108" w:type="dxa"/>
          </w:tblCellMar>
        </w:tblPrEx>
        <w:trPr>
          <w:trHeight w:val="528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热成像感温火灾探测器</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采用非制冷氧化钒焦平面探测器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探测器像素不低于256x192，光谱范围：8μm～14μm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热成像镜头7mm；热灵敏度&lt;50mK；</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白热，黑热，聚变，彩虹等18种伪彩可调；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可见光采用1/2.7英寸CMOS；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可见光镜头：8mm；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可见光最大分辨率：≥2336 x 1752；</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像素：≥400万；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最低照度：≥彩色：0.05lux 黑白：≥0.005lux 0Lux（红外灯开启）；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电子快门：1s～1/30000s（可手动或自动调节）；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支持不小于30米红外补光；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支持声光警戒；</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AI智能：火点侦测、吸烟检测、打电话检测、冷热点跟踪、周界防范、目标区分、目标过滤等多种智能功能；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接口：1个RJ45，1路报警输入，1路报警输出，1路音频输入，1路音频输出，1路RS-485接口；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供电方式：DC12V±20%/POE；</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防护等级：IP67；</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工作温度：-30℃~+60℃。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●为保障产品的稳定性、可靠性，需提供国家消防电子产品质量监督检验中心的型式检验报告。</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总装加油机、总装配电平台、调试补漆、VOC、VOC配电、淤泥处理、（配热成像摄像机监测）</w:t>
            </w:r>
          </w:p>
        </w:tc>
      </w:tr>
      <w:tr>
        <w:tblPrEx>
          <w:tblCellMar>
            <w:top w:w="0" w:type="dxa"/>
            <w:left w:w="108" w:type="dxa"/>
            <w:bottom w:w="0" w:type="dxa"/>
            <w:right w:w="108" w:type="dxa"/>
          </w:tblCellMar>
        </w:tblPrEx>
        <w:trPr>
          <w:trHeight w:val="37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小计：</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2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点型光电感烟火灾探测器</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电子编码，内置带 A/D 转换的八位单片机，具备强大的分析、判断能力，通过在探测器内部固化的运 算程序，可自动完成对外界环境参数变化的补偿及火警、故障的判断，存储环境参数变化的特征曲 线，极大提高了整个系统探测火灾的实时性、准确性+D3:D11D3:D1D3:D11</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FF0000"/>
                <w:sz w:val="20"/>
                <w:szCs w:val="20"/>
              </w:rPr>
            </w:pPr>
            <w:r>
              <w:rPr>
                <w:rStyle w:val="86"/>
                <w:rFonts w:hint="default"/>
              </w:rPr>
              <w:t>车架配电室（配烟温感、报警主机、热成像摄像机）。</w:t>
            </w:r>
            <w:r>
              <w:rPr>
                <w:rStyle w:val="87"/>
                <w:rFonts w:hint="default"/>
              </w:rPr>
              <w:t>两个</w:t>
            </w:r>
            <w:r>
              <w:rPr>
                <w:rFonts w:hint="eastAsia" w:ascii="宋体" w:hAnsi="宋体" w:cs="宋体"/>
                <w:color w:val="000000"/>
                <w:kern w:val="0"/>
                <w:sz w:val="20"/>
                <w:szCs w:val="20"/>
              </w:rPr>
              <w:t>天然气间、油漆加料、两个小锅炉房、烘干机、叉车充电区（配热成像摄像机监测）</w:t>
            </w:r>
          </w:p>
        </w:tc>
      </w:tr>
      <w:tr>
        <w:tblPrEx>
          <w:tblCellMar>
            <w:top w:w="0" w:type="dxa"/>
            <w:left w:w="108" w:type="dxa"/>
            <w:bottom w:w="0" w:type="dxa"/>
            <w:right w:w="108" w:type="dxa"/>
          </w:tblCellMar>
        </w:tblPrEx>
        <w:trPr>
          <w:trHeight w:val="48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点型感温火灾探测器</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电子编码，探测器具有 A1R 和 BS 两种类别，可用于更广泛的温度环境，可使用编码器进行现场设置。</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FF0000"/>
                <w:sz w:val="20"/>
                <w:szCs w:val="20"/>
              </w:rPr>
            </w:pPr>
          </w:p>
        </w:tc>
      </w:tr>
      <w:tr>
        <w:tblPrEx>
          <w:tblCellMar>
            <w:top w:w="0" w:type="dxa"/>
            <w:left w:w="108" w:type="dxa"/>
            <w:bottom w:w="0" w:type="dxa"/>
            <w:right w:w="108" w:type="dxa"/>
          </w:tblCellMar>
        </w:tblPrEx>
        <w:trPr>
          <w:trHeight w:val="27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点型探测器通用底座</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编码型探测器通用底座</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30</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FF0000"/>
                <w:sz w:val="20"/>
                <w:szCs w:val="20"/>
              </w:rPr>
            </w:pPr>
          </w:p>
        </w:tc>
      </w:tr>
      <w:tr>
        <w:tblPrEx>
          <w:tblCellMar>
            <w:top w:w="0" w:type="dxa"/>
            <w:left w:w="108" w:type="dxa"/>
            <w:bottom w:w="0" w:type="dxa"/>
            <w:right w:w="108" w:type="dxa"/>
          </w:tblCellMar>
        </w:tblPrEx>
        <w:trPr>
          <w:trHeight w:val="12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火灾报警控制器/气体灭火控制器</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具有火灾探测报警和气体灭火控制双重功能，含液晶显示，可配接各种编码火灾探测器、手动报警按钮、紧急启/停按钮、声光警报器、气体释放警报器、手自动转换开关以及输出模块，实现 1 个防火区的火灾报警和气体灭火控制，含2 个 DC12V/7Ah 密封铅酸电池</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FF0000"/>
                <w:sz w:val="20"/>
                <w:szCs w:val="20"/>
              </w:rPr>
            </w:pPr>
          </w:p>
        </w:tc>
      </w:tr>
      <w:tr>
        <w:tblPrEx>
          <w:tblCellMar>
            <w:top w:w="0" w:type="dxa"/>
            <w:left w:w="108" w:type="dxa"/>
            <w:bottom w:w="0" w:type="dxa"/>
            <w:right w:w="108" w:type="dxa"/>
          </w:tblCellMar>
        </w:tblPrEx>
        <w:trPr>
          <w:trHeight w:val="9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火灾声光警报器</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电子编码，启动后警报器发出强烈的声光信号，）闪光频率：1.1Hz～1.7Hz，火警声调声压级： 80dB～115dB；嘀嘀声调声压级：  80dB～115dB。变调周期：3.5s～4.8s（火警声）/0.6s～1.0s（嘀嘀声）   </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FF0000"/>
                <w:sz w:val="20"/>
                <w:szCs w:val="20"/>
              </w:rPr>
            </w:pPr>
          </w:p>
        </w:tc>
      </w:tr>
      <w:tr>
        <w:tblPrEx>
          <w:tblCellMar>
            <w:top w:w="0" w:type="dxa"/>
            <w:left w:w="108" w:type="dxa"/>
            <w:bottom w:w="0" w:type="dxa"/>
            <w:right w:w="108" w:type="dxa"/>
          </w:tblCellMar>
        </w:tblPrEx>
        <w:trPr>
          <w:trHeight w:val="27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火灾声光警报器底座</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与火灾声光警报器配套使用</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FF0000"/>
                <w:sz w:val="20"/>
                <w:szCs w:val="20"/>
              </w:rPr>
            </w:pPr>
          </w:p>
        </w:tc>
      </w:tr>
      <w:tr>
        <w:tblPrEx>
          <w:tblCellMar>
            <w:top w:w="0" w:type="dxa"/>
            <w:left w:w="108" w:type="dxa"/>
            <w:bottom w:w="0" w:type="dxa"/>
            <w:right w:w="108" w:type="dxa"/>
          </w:tblCellMar>
        </w:tblPrEx>
        <w:trPr>
          <w:trHeight w:val="48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手动火灾报警按钮</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电子编码，可现场改写，新型插拔式卡接结构，采用 32 位 ARM 微处理器实现信号处理。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FF0000"/>
                <w:sz w:val="20"/>
                <w:szCs w:val="20"/>
              </w:rPr>
            </w:pPr>
          </w:p>
        </w:tc>
      </w:tr>
      <w:tr>
        <w:tblPrEx>
          <w:tblCellMar>
            <w:top w:w="0" w:type="dxa"/>
            <w:left w:w="108" w:type="dxa"/>
            <w:bottom w:w="0" w:type="dxa"/>
            <w:right w:w="108" w:type="dxa"/>
          </w:tblCellMar>
        </w:tblPrEx>
        <w:trPr>
          <w:trHeight w:val="48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气体释放警报器</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电子编码，可由电子编码器事先写入，也可由控制器直接改写，与气体灭火控制器采用二线连接。</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FF0000"/>
                <w:sz w:val="20"/>
                <w:szCs w:val="20"/>
              </w:rPr>
            </w:pPr>
          </w:p>
        </w:tc>
      </w:tr>
      <w:tr>
        <w:tblPrEx>
          <w:tblCellMar>
            <w:top w:w="0" w:type="dxa"/>
            <w:left w:w="108" w:type="dxa"/>
            <w:bottom w:w="0" w:type="dxa"/>
            <w:right w:w="108" w:type="dxa"/>
          </w:tblCellMar>
        </w:tblPrEx>
        <w:trPr>
          <w:trHeight w:val="48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紧急启停按钮</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转换开关为编码方式，占一个编码点；转换开关同时具有系统模式转换功能和紧急启、停功能</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FF0000"/>
                <w:sz w:val="20"/>
                <w:szCs w:val="20"/>
              </w:rPr>
            </w:pPr>
          </w:p>
        </w:tc>
      </w:tr>
      <w:tr>
        <w:tblPrEx>
          <w:tblCellMar>
            <w:top w:w="0" w:type="dxa"/>
            <w:left w:w="108" w:type="dxa"/>
            <w:bottom w:w="0" w:type="dxa"/>
            <w:right w:w="108" w:type="dxa"/>
          </w:tblCellMar>
        </w:tblPrEx>
        <w:trPr>
          <w:trHeight w:val="528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热成像感温火灾探测器</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采用非制冷氧化钒焦平面探测器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探测器像素不低于256x192，光谱范围：8μm～14μm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热成像镜头7mm；热灵敏度&lt;50mK；</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白热，黑热，聚变，彩虹等18种伪彩可调；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可见光采用1/2.7英寸CMOS；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可见光镜头：8mm；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可见光最大分辨率：≥2336 x 1752；</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像素：≥400万；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最低照度：≥彩色：0.05lux 黑白：≥0.005lux 0Lux（红外灯开启）；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电子快门：1s～1/30000s（可手动或自动调节）；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支持不小于30米红外补光；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支持声光警戒；</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AI智能：火点侦测、吸烟检测、打电话检测、冷热点跟踪、周界防范、目标区分、目标过滤等多种智能功能；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接口：1个RJ45，1路报警输入，1路报警输出，1路音频输入，1路音频输出，1路RS-485接口；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供电方式：DC12V±20%/POE；</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防护等级：IP67；</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工作温度：-30℃~+60℃。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●为保障产品的稳定性、可靠性，需提供国家消防电子产品质量监督检验中心的型式检验报告。</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FF0000"/>
                <w:sz w:val="20"/>
                <w:szCs w:val="20"/>
              </w:rPr>
            </w:pPr>
          </w:p>
        </w:tc>
      </w:tr>
      <w:tr>
        <w:tblPrEx>
          <w:tblCellMar>
            <w:top w:w="0" w:type="dxa"/>
            <w:left w:w="108" w:type="dxa"/>
            <w:bottom w:w="0" w:type="dxa"/>
            <w:right w:w="108" w:type="dxa"/>
          </w:tblCellMar>
        </w:tblPrEx>
        <w:trPr>
          <w:trHeight w:val="12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枪机支架</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采用铝合金材质；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支持承重1.0kg；</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支持壁装安装方式；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支持水平：0~360°，竖直：-30°~0°旋转角度范围；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FF0000"/>
                <w:sz w:val="20"/>
                <w:szCs w:val="20"/>
              </w:rPr>
            </w:pPr>
          </w:p>
        </w:tc>
      </w:tr>
      <w:tr>
        <w:tblPrEx>
          <w:tblCellMar>
            <w:top w:w="0" w:type="dxa"/>
            <w:left w:w="108" w:type="dxa"/>
            <w:bottom w:w="0" w:type="dxa"/>
            <w:right w:w="108" w:type="dxa"/>
          </w:tblCellMar>
        </w:tblPrEx>
        <w:trPr>
          <w:trHeight w:val="27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柜式七氟丙烷气体灭火装置</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西配电室2（每瓶充126kg）</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FF0000"/>
                <w:sz w:val="20"/>
                <w:szCs w:val="20"/>
              </w:rPr>
            </w:pPr>
          </w:p>
        </w:tc>
      </w:tr>
      <w:tr>
        <w:tblPrEx>
          <w:tblCellMar>
            <w:top w:w="0" w:type="dxa"/>
            <w:left w:w="108" w:type="dxa"/>
            <w:bottom w:w="0" w:type="dxa"/>
            <w:right w:w="108" w:type="dxa"/>
          </w:tblCellMar>
        </w:tblPrEx>
        <w:trPr>
          <w:trHeight w:val="27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七氟丙烷灭火剂</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HFC-227ea</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378</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FF0000"/>
                <w:sz w:val="20"/>
                <w:szCs w:val="20"/>
              </w:rPr>
            </w:pPr>
          </w:p>
        </w:tc>
      </w:tr>
      <w:tr>
        <w:tblPrEx>
          <w:tblCellMar>
            <w:top w:w="0" w:type="dxa"/>
            <w:left w:w="108" w:type="dxa"/>
            <w:bottom w:w="0" w:type="dxa"/>
            <w:right w:w="108" w:type="dxa"/>
          </w:tblCellMar>
        </w:tblPrEx>
        <w:trPr>
          <w:trHeight w:val="48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小计：</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2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点型光电感烟火灾探测器</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电子编码，内置带 A/D 转换的八位单片机，具备强大的分析、判断能力，通过在探测器内部固化的运 算程序，可自动完成对外界环境参数变化的补偿及火警、故障的判断，存储环境参数变化的特征曲 线，极大提高了整个系统探测火灾的实时性、准确性+D3:D11D3:D1D3:D11</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车身涂装配电室（配烟温感、报警主机、热成像摄像机）。喷漆室增加两台防爆摄像机、喷漆控制室增加两台防爆摄像机、喷漆线增加1台防爆摄像机、电容加料间、叉车充电区各增加一台热成像，两个天燃气间增加热成像，每个一台。</w:t>
            </w:r>
          </w:p>
        </w:tc>
      </w:tr>
      <w:tr>
        <w:tblPrEx>
          <w:tblCellMar>
            <w:top w:w="0" w:type="dxa"/>
            <w:left w:w="108" w:type="dxa"/>
            <w:bottom w:w="0" w:type="dxa"/>
            <w:right w:w="108" w:type="dxa"/>
          </w:tblCellMar>
        </w:tblPrEx>
        <w:trPr>
          <w:trHeight w:val="48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点型感温火灾探测器</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电子编码，探测器具有 A1R 和 BS 两种类别，可用于更广泛的温度环境，可使用编码器进行现场设置。</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点型探测器通用底座</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编码型探测器通用底座</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2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火灾报警控制器/气体灭火控制器</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具有火灾探测报警和气体灭火控制双重功能，含液晶显示，可配接各种编码火灾探测器、手动报警按钮、紧急启/停按钮、声光警报器、气体释放警报器、手自动转换开关以及输出模块，实现 1 个防火区的火灾报警和气体灭火控制，含2 个 DC12V/7Ah 密封铅酸电池</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9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火灾声光警报器</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电子编码，启动后警报器发出强烈的声光信号，）闪光频率：1.1Hz～1.7Hz，火警声调声压级： 80dB～115dB；嘀嘀声调声压级：  80dB～115dB。变调周期：3.5s～4.8s（火警声）/0.6s～1.0s（嘀嘀声）   </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火灾声光警报器底座</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与火灾声光警报器配套使用</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手动火灾报警按钮</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电子编码，可现场改写，新型插拔式卡接结构，采用 32 位 ARM 微处理器实现信号处理。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气体释放警报器</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电子编码，可由电子编码器事先写入，也可由控制器直接改写，与气体灭火控制器采用二线连接。</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紧急启停按钮</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转换开关为编码方式，占一个编码点；转换开关同时具有系统模式转换功能和紧急启、停功能</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528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热成像感温火灾探测器</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采用非制冷氧化钒焦平面探测器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探测器像素不低于256x192，光谱范围：8μm～14μm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热成像镜头7mm；热灵敏度&lt;50mK；</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白热，黑热，聚变，彩虹等18种伪彩可调；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可见光采用1/2.7英寸CMOS；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可见光镜头：8mm；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可见光最大分辨率：≥2336 x 1752；</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像素：≥400万；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最低照度：≥彩色：0.05lux 黑白：≥0.005lux 0Lux（红外灯开启）；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电子快门：1s～1/30000s（可手动或自动调节）；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支持不小于30米红外补光；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支持声光警戒；</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AI智能：火点侦测、吸烟检测、打电话检测、冷热点跟踪、周界防范、目标区分、目标过滤等多种智能功能；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接口：1个RJ45，1路报警输入，1路报警输出，1路音频输入，1路音频输出，1路RS-485接口；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供电方式：DC12V±20%/POE；</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防护等级：IP67；</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工作温度：-30℃~+60℃。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●为保障产品的稳定性、可靠性，需提供国家消防电子产品质量监督检验中心的型式检验报告。</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2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枪机支架</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采用铝合金材质；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支持承重1.0kg；</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支持壁装安装方式；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支持水平：0~360°，竖直：-30°~0°旋转角度范围；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84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防爆摄像机</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内置GPU芯片，支持深度学习算法；</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支持机动车、非机动车、人脸、人体检测；支持优选；支持抓拍；支持上报最优的机动车属性抓图； 支持人脸检测；支持优选；支持抓拍；支持上报最优的人脸抓图；支持人脸增强；支持人脸属性提取，支持6种属性8种表情； 支持绊线入侵、区域入侵、穿越围栏、徘徊、物品遗留、物品搬移、快速移动、停车、人员聚集检测；支持人车分类报警；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支持4倍光学变倍，16倍数字变倍；</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采用400万像素1/2.8英寸CMOS传感器；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支持H.265编码，实现超低码流传输；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内置40米红外灯补光；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支持1路音频输入和1路音频输出；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支持IP68防护等级，6000V防雷、防浪涌和防突波保护；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防爆标志:ExdIICT6 Gb/Ex tD A21 IP68 T80℃；</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9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枪机支架</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外壳材料不锈钢304；</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防爆专用壁装支架；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承重30Kg；</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2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防爆绕线管</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不锈钢304</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出线孔规格G-3/4”</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防爆标志：ExeIICGb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IP防护等级：符合IP68</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柜式七氟丙烷气体灭火装置</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西配电室2（每瓶充126kg）</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七氟丙烷灭火剂</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HFC-227ea</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378</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6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小计：</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2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点型光电感烟火灾探测器</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电子编码，内置带 A/D 转换的八位单片机，具备强大的分析、判断能力，通过在探测器内部固化的运 算程序，可自动完成对外界环境参数变化的补偿及火警、故障的判断，存储环境参数变化的特征曲 线，极大提高了整个系统探测火灾的实时性、准确性+D3:D11D3:D1D3:D11</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空压机配电室</w:t>
            </w:r>
          </w:p>
        </w:tc>
      </w:tr>
      <w:tr>
        <w:tblPrEx>
          <w:tblCellMar>
            <w:top w:w="0" w:type="dxa"/>
            <w:left w:w="108" w:type="dxa"/>
            <w:bottom w:w="0" w:type="dxa"/>
            <w:right w:w="108" w:type="dxa"/>
          </w:tblCellMar>
        </w:tblPrEx>
        <w:trPr>
          <w:trHeight w:val="48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点型感温火灾探测器</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电子编码，探测器具有 A1R 和 BS 两种类别，可用于更广泛的温度环境，可使用编码器进行现场设置。</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点型探测器通用底座</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编码型探测器通用底座</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2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火灾报警控制器/气体灭火控制器</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具有火灾探测报警和气体灭火控制双重功能，含液晶显示，可配接各种编码火灾探测器、手动报警按钮、紧急启/停按钮、声光警报器、气体释放警报器、手自动转换开关以及输出模块，实现 1 个防火区的火灾报警和气体灭火控制，含2 个 DC12V/7Ah 密封铅酸电池</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9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火灾声光警报器</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电子编码，二线制。启动后警报器发出强烈的声光信号，闪光频率：1.1Hz～1.7Hz，火警声调声压级： 80dB～115dB；嘀嘀声调声压级：  80dB～115dB。变调周期：3.5s～4.8s（火警声）/0.6s～1.0s（嘀嘀声）   </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火灾声光警报器底座</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与火灾声光警报器配套使用</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手动火灾报警按钮</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电子编码，可现场改写，新型插拔式卡接结构，采用 32 位 ARM 微处理器实现信号处理。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气体释放警报器</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电子编码，可由电子编码器事先写入，也可由控制器直接改写，与气体灭火控制器采用二线连接。</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紧急启停按钮</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转换开关为编码方式，占一个编码点；转换开关同时具有系统模式转换功能和紧急启、停功能</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32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热成像感温火灾探测器</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Style w:val="87"/>
                <w:rFonts w:hint="default"/>
              </w:rPr>
              <w:t>采用非制冷氧化钒焦平面探测器</w:t>
            </w:r>
            <w:r>
              <w:rPr>
                <w:rStyle w:val="87"/>
                <w:rFonts w:hint="default"/>
              </w:rPr>
              <w:br w:type="textWrapping"/>
            </w:r>
            <w:r>
              <w:rPr>
                <w:rStyle w:val="87"/>
                <w:rFonts w:hint="default"/>
              </w:rPr>
              <w:t>探测器像素不低于256x192，光谱范围：8μm～14μm</w:t>
            </w:r>
            <w:r>
              <w:rPr>
                <w:rStyle w:val="87"/>
                <w:rFonts w:hint="default"/>
              </w:rPr>
              <w:br w:type="textWrapping"/>
            </w:r>
            <w:r>
              <w:rPr>
                <w:rStyle w:val="87"/>
                <w:rFonts w:hint="default"/>
              </w:rPr>
              <w:t>热成像镜头7mm；热灵敏度&lt;50mK；</w:t>
            </w:r>
            <w:r>
              <w:rPr>
                <w:rStyle w:val="87"/>
                <w:rFonts w:hint="default"/>
              </w:rPr>
              <w:br w:type="textWrapping"/>
            </w:r>
            <w:r>
              <w:rPr>
                <w:rStyle w:val="87"/>
                <w:rFonts w:hint="default"/>
              </w:rPr>
              <w:t>白热，黑热，聚变，彩虹等18种伪彩可调；</w:t>
            </w:r>
            <w:r>
              <w:rPr>
                <w:rStyle w:val="87"/>
                <w:rFonts w:hint="default"/>
              </w:rPr>
              <w:br w:type="textWrapping"/>
            </w:r>
            <w:r>
              <w:rPr>
                <w:rStyle w:val="87"/>
                <w:rFonts w:hint="default"/>
              </w:rPr>
              <w:t>可见光采用1/2.7英寸CMOS；可见光镜头：8mm；</w:t>
            </w:r>
            <w:r>
              <w:rPr>
                <w:rStyle w:val="87"/>
                <w:rFonts w:hint="default"/>
              </w:rPr>
              <w:br w:type="textWrapping"/>
            </w:r>
            <w:r>
              <w:rPr>
                <w:rStyle w:val="87"/>
                <w:rFonts w:hint="default"/>
              </w:rPr>
              <w:t>可见光最大分辨率：2336 x 1752；像素：400万；</w:t>
            </w:r>
            <w:r>
              <w:rPr>
                <w:rStyle w:val="87"/>
                <w:rFonts w:hint="default"/>
              </w:rPr>
              <w:br w:type="textWrapping"/>
            </w:r>
            <w:r>
              <w:rPr>
                <w:rStyle w:val="87"/>
                <w:rFonts w:hint="default"/>
              </w:rPr>
              <w:t>最低照度：彩色：0.05lux 黑白：0.005lux 0Lux（红外灯开启）；</w:t>
            </w:r>
            <w:r>
              <w:rPr>
                <w:rStyle w:val="87"/>
                <w:rFonts w:hint="default"/>
              </w:rPr>
              <w:br w:type="textWrapping"/>
            </w:r>
            <w:r>
              <w:rPr>
                <w:rStyle w:val="87"/>
                <w:rFonts w:hint="default"/>
              </w:rPr>
              <w:t>电子快门：1s～1/30000s（可手动或自动调节）；</w:t>
            </w:r>
            <w:r>
              <w:rPr>
                <w:rStyle w:val="87"/>
                <w:rFonts w:hint="default"/>
              </w:rPr>
              <w:br w:type="textWrapping"/>
            </w:r>
            <w:r>
              <w:rPr>
                <w:rStyle w:val="87"/>
                <w:rFonts w:hint="default"/>
              </w:rPr>
              <w:t>支持不小于30米红外补光；支持声光警戒；</w:t>
            </w:r>
            <w:r>
              <w:rPr>
                <w:rStyle w:val="87"/>
                <w:rFonts w:hint="default"/>
              </w:rPr>
              <w:br w:type="textWrapping"/>
            </w:r>
            <w:r>
              <w:rPr>
                <w:rStyle w:val="87"/>
                <w:rFonts w:hint="default"/>
              </w:rPr>
              <w:t>AI智能：火点侦测、吸烟检测、打电话检测、冷热点跟踪、周界防范、目标区分、目标过滤等多种智能功能。</w:t>
            </w:r>
            <w:r>
              <w:rPr>
                <w:rStyle w:val="87"/>
                <w:rFonts w:hint="default"/>
              </w:rPr>
              <w:br w:type="textWrapping"/>
            </w:r>
            <w:r>
              <w:rPr>
                <w:rStyle w:val="87"/>
                <w:rFonts w:hint="default"/>
              </w:rPr>
              <w:t>接口：1个RJ45，1路报警输入，1路报警输出，1路音频输入，1路音频输出，1路RS-485接口。</w:t>
            </w:r>
            <w:r>
              <w:rPr>
                <w:rStyle w:val="87"/>
                <w:rFonts w:hint="default"/>
              </w:rPr>
              <w:br w:type="textWrapping"/>
            </w:r>
            <w:r>
              <w:rPr>
                <w:rStyle w:val="87"/>
                <w:rFonts w:hint="default"/>
              </w:rPr>
              <w:t>供电方式：DC12V±20%/POE。</w:t>
            </w:r>
            <w:r>
              <w:rPr>
                <w:rStyle w:val="87"/>
                <w:rFonts w:hint="default"/>
              </w:rPr>
              <w:br w:type="textWrapping"/>
            </w:r>
            <w:r>
              <w:rPr>
                <w:rStyle w:val="87"/>
                <w:rFonts w:hint="default"/>
              </w:rPr>
              <w:t>防护等级：IP67。工作温度：-30℃~+60℃</w:t>
            </w:r>
            <w:r>
              <w:rPr>
                <w:rStyle w:val="87"/>
                <w:rFonts w:hint="default"/>
              </w:rPr>
              <w:br w:type="textWrapping"/>
            </w:r>
            <w:r>
              <w:rPr>
                <w:rStyle w:val="87"/>
                <w:rFonts w:hint="default"/>
              </w:rPr>
              <w:t>●</w:t>
            </w:r>
            <w:r>
              <w:rPr>
                <w:rStyle w:val="88"/>
                <w:rFonts w:hint="default"/>
              </w:rPr>
              <w:t>为保障产品的稳定性、可靠性，需提供国家消防电子产品质量监督检验中心的型式检验报告。</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9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枪机支架</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采用铝合金材质；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支持承重1.0kg；</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支持壁装安装方式；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支持水平：0~360°，竖直：-30°~0°旋转角度范围；</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柜式七氟丙烷气体灭火装置</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西配电室2（每瓶充126kg）</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七氟丙烷灭火剂</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HFC-227ea</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378</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7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小计：</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72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防爆点型光电感温度火灾探测器</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本质安全型，JTW-ZOM-GSTN9812(Ex)点型感温火灾探测器，为编码型探测器，与 GST-LD-N8401(Ex)总线隔离式安全栅配合使用</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油库</w:t>
            </w:r>
          </w:p>
        </w:tc>
      </w:tr>
      <w:tr>
        <w:tblPrEx>
          <w:tblCellMar>
            <w:top w:w="0" w:type="dxa"/>
            <w:left w:w="108" w:type="dxa"/>
            <w:bottom w:w="0" w:type="dxa"/>
            <w:right w:w="108" w:type="dxa"/>
          </w:tblCellMar>
        </w:tblPrEx>
        <w:trPr>
          <w:trHeight w:val="9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防爆点型光电感火度火灾探测器</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本质安全型，JTY-GM-GSTN9811 (Ex)点型光电感烟火灾探测器（以下简称探测器）是采用红外散射原理研制 而成的点型光电感烟火灾探测器，为编码型探测器，与 GST-LD-N8401(Ex)总线隔离式安全栅配合使用</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探测器底座</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本安探测器通用底座</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2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火灾报警控制器/气体灭火控制器</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具有火灾探测报警和气体灭火控制双重功能，含液晶显示，可配接各种编码火灾探测器、手动报警按钮、紧急启/停按钮、声光警报器、气体释放警报器、手自动转换开关以及输出模块，实现 1 个防火区的火灾报警和气体灭火控制，含2 个 DC12V/7Ah 密封铅酸电池</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72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隔离式安全栅</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采用隔离式安全栅设计方案，用于连接需接入普通总线的本安编码产品，组成本质安全型防爆系统，最多可配接 32 只本安编码设备</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2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防爆火灾声光警报器</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本质安全型，编码型；采用2线制，仅有信号总线，现场接线更方便；防爆标志ExibIICT6Gb；蜂鸣器检线功能；适用于石油、化工等行业具有防爆要求的爆炸性气体环境I区及II区使用；需与海湾公司生产的GST-LD-N8401(Ex)安全栅配合使用。每个安全栅带4个声光。</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72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手动火灾报警按钮</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本质安全型，电子编码，可现场改写，新型插拔式卡接结构，采用 32 位 ARM 微处理器实现信号处理。 防爆标志：ExibⅡCT6 Gb </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紧急启停按钮</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转换开关为编码方式，占一个编码点；转换开关同时具有系统模式转换功能和紧急启、停功能</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气体释放警报器</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电子编码，可由电子编码器事先写入，也可由控制器直接改写，与气体灭火控制器采用二线连接。</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528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热成像感温火灾探测器</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Style w:val="87"/>
                <w:rFonts w:hint="default"/>
              </w:rPr>
              <w:t>采用非制冷氧化钒焦平面探测器</w:t>
            </w:r>
            <w:r>
              <w:rPr>
                <w:rStyle w:val="87"/>
                <w:rFonts w:hint="default"/>
              </w:rPr>
              <w:br w:type="textWrapping"/>
            </w:r>
            <w:r>
              <w:rPr>
                <w:rStyle w:val="87"/>
                <w:rFonts w:hint="default"/>
              </w:rPr>
              <w:t>探测器像素不低于256x192，光谱范围：8μm～14μm</w:t>
            </w:r>
            <w:r>
              <w:rPr>
                <w:rStyle w:val="87"/>
                <w:rFonts w:hint="default"/>
              </w:rPr>
              <w:br w:type="textWrapping"/>
            </w:r>
            <w:r>
              <w:rPr>
                <w:rStyle w:val="87"/>
                <w:rFonts w:hint="default"/>
              </w:rPr>
              <w:t>热成像镜头7mm；热灵敏度&lt;50mK；</w:t>
            </w:r>
            <w:r>
              <w:rPr>
                <w:rStyle w:val="87"/>
                <w:rFonts w:hint="default"/>
              </w:rPr>
              <w:br w:type="textWrapping"/>
            </w:r>
            <w:r>
              <w:rPr>
                <w:rStyle w:val="87"/>
                <w:rFonts w:hint="default"/>
              </w:rPr>
              <w:t>白热，黑热，聚变，彩虹等18种伪彩可调；</w:t>
            </w:r>
            <w:r>
              <w:rPr>
                <w:rStyle w:val="87"/>
                <w:rFonts w:hint="default"/>
              </w:rPr>
              <w:br w:type="textWrapping"/>
            </w:r>
            <w:r>
              <w:rPr>
                <w:rStyle w:val="87"/>
                <w:rFonts w:hint="default"/>
              </w:rPr>
              <w:t>可见光采用1/2.7英寸CMOS；</w:t>
            </w:r>
            <w:r>
              <w:rPr>
                <w:rStyle w:val="87"/>
                <w:rFonts w:hint="default"/>
              </w:rPr>
              <w:br w:type="textWrapping"/>
            </w:r>
            <w:r>
              <w:rPr>
                <w:rStyle w:val="87"/>
                <w:rFonts w:hint="default"/>
              </w:rPr>
              <w:t>可见光镜头：8mm；</w:t>
            </w:r>
            <w:r>
              <w:rPr>
                <w:rStyle w:val="87"/>
                <w:rFonts w:hint="default"/>
              </w:rPr>
              <w:br w:type="textWrapping"/>
            </w:r>
            <w:r>
              <w:rPr>
                <w:rStyle w:val="87"/>
                <w:rFonts w:hint="default"/>
              </w:rPr>
              <w:t>可见光最大分辨率：≥2336 x 1752；</w:t>
            </w:r>
            <w:r>
              <w:rPr>
                <w:rStyle w:val="87"/>
                <w:rFonts w:hint="default"/>
              </w:rPr>
              <w:br w:type="textWrapping"/>
            </w:r>
            <w:r>
              <w:rPr>
                <w:rStyle w:val="87"/>
                <w:rFonts w:hint="default"/>
              </w:rPr>
              <w:t>像素：≥400万；</w:t>
            </w:r>
            <w:r>
              <w:rPr>
                <w:rStyle w:val="87"/>
                <w:rFonts w:hint="default"/>
              </w:rPr>
              <w:br w:type="textWrapping"/>
            </w:r>
            <w:r>
              <w:rPr>
                <w:rStyle w:val="87"/>
                <w:rFonts w:hint="default"/>
              </w:rPr>
              <w:t>最低照度：≥彩色：0.05lux 黑白：≥0.005lux 0Lux（红外灯开启）；</w:t>
            </w:r>
            <w:r>
              <w:rPr>
                <w:rStyle w:val="87"/>
                <w:rFonts w:hint="default"/>
              </w:rPr>
              <w:br w:type="textWrapping"/>
            </w:r>
            <w:r>
              <w:rPr>
                <w:rStyle w:val="87"/>
                <w:rFonts w:hint="default"/>
              </w:rPr>
              <w:t>电子快门：1s～1/30000s（可手动或自动调节）；</w:t>
            </w:r>
            <w:r>
              <w:rPr>
                <w:rStyle w:val="87"/>
                <w:rFonts w:hint="default"/>
              </w:rPr>
              <w:br w:type="textWrapping"/>
            </w:r>
            <w:r>
              <w:rPr>
                <w:rStyle w:val="87"/>
                <w:rFonts w:hint="default"/>
              </w:rPr>
              <w:t>支持不小于30米红外补光；</w:t>
            </w:r>
            <w:r>
              <w:rPr>
                <w:rStyle w:val="87"/>
                <w:rFonts w:hint="default"/>
              </w:rPr>
              <w:br w:type="textWrapping"/>
            </w:r>
            <w:r>
              <w:rPr>
                <w:rStyle w:val="87"/>
                <w:rFonts w:hint="default"/>
              </w:rPr>
              <w:t>支持声光警戒；</w:t>
            </w:r>
            <w:r>
              <w:rPr>
                <w:rStyle w:val="87"/>
                <w:rFonts w:hint="default"/>
              </w:rPr>
              <w:br w:type="textWrapping"/>
            </w:r>
            <w:r>
              <w:rPr>
                <w:rStyle w:val="87"/>
                <w:rFonts w:hint="default"/>
              </w:rPr>
              <w:t>AI智能：火点侦测、吸烟检测、打电话检测、冷热点跟踪、周界防范、目标区分、目标过滤等多种智能功能；</w:t>
            </w:r>
            <w:r>
              <w:rPr>
                <w:rStyle w:val="87"/>
                <w:rFonts w:hint="default"/>
              </w:rPr>
              <w:br w:type="textWrapping"/>
            </w:r>
            <w:r>
              <w:rPr>
                <w:rStyle w:val="87"/>
                <w:rFonts w:hint="default"/>
              </w:rPr>
              <w:t>接口：1个RJ45，1路报警输入，1路报警输出，1路音频输入，1路音频输出，1路RS-485接口；</w:t>
            </w:r>
            <w:r>
              <w:rPr>
                <w:rStyle w:val="87"/>
                <w:rFonts w:hint="default"/>
              </w:rPr>
              <w:br w:type="textWrapping"/>
            </w:r>
            <w:r>
              <w:rPr>
                <w:rStyle w:val="87"/>
                <w:rFonts w:hint="default"/>
              </w:rPr>
              <w:t>供电方式：DC12V±20%/POE；</w:t>
            </w:r>
            <w:r>
              <w:rPr>
                <w:rStyle w:val="87"/>
                <w:rFonts w:hint="default"/>
              </w:rPr>
              <w:br w:type="textWrapping"/>
            </w:r>
            <w:r>
              <w:rPr>
                <w:rStyle w:val="87"/>
                <w:rFonts w:hint="default"/>
              </w:rPr>
              <w:t>防护等级：IP67；</w:t>
            </w:r>
            <w:r>
              <w:rPr>
                <w:rStyle w:val="87"/>
                <w:rFonts w:hint="default"/>
              </w:rPr>
              <w:br w:type="textWrapping"/>
            </w:r>
            <w:r>
              <w:rPr>
                <w:rStyle w:val="87"/>
                <w:rFonts w:hint="default"/>
              </w:rPr>
              <w:t>工作温度：-30℃~+60℃。</w:t>
            </w:r>
            <w:r>
              <w:rPr>
                <w:rStyle w:val="87"/>
                <w:rFonts w:hint="default"/>
              </w:rPr>
              <w:br w:type="textWrapping"/>
            </w:r>
            <w:r>
              <w:rPr>
                <w:rStyle w:val="87"/>
                <w:rFonts w:hint="default"/>
              </w:rPr>
              <w:t>●</w:t>
            </w:r>
            <w:r>
              <w:rPr>
                <w:rStyle w:val="88"/>
                <w:rFonts w:hint="default"/>
              </w:rPr>
              <w:t>为保障产品的稳定性、可靠性，需提供国家消防电子产品质量监督检验中心的型式检验报告。</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9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枪机支架</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采用铝合金材质；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支持承重1.0kg；</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支持壁装安装方式；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支持水平：0~360°，竖直：-30°~0°旋转角度范围；</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73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防爆摄像机</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内置GPU芯片，支持深度学习算法；</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支持机动车、非机动车、人脸、人体检测；支持优选；支持抓拍；支持上报最优的机动车属性抓图； 支持人脸检测；支持优选；支持抓拍；支持上报最优的人脸抓图；支持人脸增强；支持人脸属性提取，支持6种属性8种表情； 支持绊线入侵、区域入侵、穿越围栏、徘徊、物品遗留、物品搬移、快速移动、停车、人员聚集检测；支持人车分类报警；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支持4倍光学变倍，16倍数字变倍；</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采用400万像素1/2.8英寸CMOS传感器；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支持H.265编码，实现超低码流传输；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内置40米红外灯补光；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支持1路音频输入和1路音频输出；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支持IP68防护等级，6000V防雷、防浪涌和防突波保护；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防爆标志:ExdIICT6 Gb/Ex tD A21 IP68 T80℃；</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72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枪机支架</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外壳材料不锈钢304；</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防爆专用壁装支架；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承重30Kg；</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9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防爆绕线管</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不锈钢304</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出线孔规格G-3/4”</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防爆标志：ExeIICGb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IP防护等级：符合IP68</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柜式七氟丙烷气体灭火装置</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西配电室2（每瓶充126kg）</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七氟丙烷灭火剂</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HFC-227ea</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126</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3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小计：</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2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点型光电感烟火灾探测器</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电子编码，内置带 A/D 转换的八位单片机，具备强大的分析、判断能力，通过在探测器内部固化的运 算程序，可自动完成对外界环境参数变化的补偿及火警、故障的判断，存储环境参数变化的特征曲 线，极大提高了整个系统探测火灾的实时性、准确性+D3:D11D3:D1D3:D11</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危废仓库</w:t>
            </w:r>
          </w:p>
        </w:tc>
      </w:tr>
      <w:tr>
        <w:tblPrEx>
          <w:tblCellMar>
            <w:top w:w="0" w:type="dxa"/>
            <w:left w:w="108" w:type="dxa"/>
            <w:bottom w:w="0" w:type="dxa"/>
            <w:right w:w="108" w:type="dxa"/>
          </w:tblCellMar>
        </w:tblPrEx>
        <w:trPr>
          <w:trHeight w:val="12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点型光电感烟火灾探测器</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电子编码，内置带 A/D 转换的八位单片机，具备强大的分析、判断能力，通过在探测器内部固化的运 算程序，可自动完成对外界环境参数变化的补偿及火警、故障的判断，存储环境参数变化的特征曲 线，极大提高了整个系统探测火灾的实时性、准确性+D3:D11D3:D1D3:D11</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2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点型光电感烟火灾探测器</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电子编码，内置带 A/D 转换的八位单片机，具备强大的分析、判断能力，通过在探测器内部固化的运 算程序，可自动完成对外界环境参数变化的补偿及火警、故障的判断，存储环境参数变化的特征曲 线，极大提高了整个系统探测火灾的实时性、准确性+D3:D11D3:D1D3:D11</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2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火灾报警控制器/气体灭火控制器</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具有火灾探测报警和气体灭火控制双重功能，含液晶显示，可配接各种编码火灾探测器、手动报警按钮、紧急启/停按钮、声光警报器、气体释放警报器、手自动转换开关以及输出模块，实现 1 个防火区的火灾报警和气体灭火控制，含2 个 DC12V/7Ah 密封铅酸电池</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9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火灾声光警报器</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电子编码，二线制，启动后警报器发出强烈的声光信号，闪光频率：1.1Hz～1.7Hz，火警声调声压级： 80dB～115dB；嘀嘀声调声压级：  80dB～115dB。变调周期：3.5s～4.8s（火警声）/0.6s～1.0s（嘀嘀声）   </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火灾声光警报器底座</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与火灾声光警报器配套使用</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手动火灾报警按钮</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电子编码，可现场改写，新型插拔式卡接结构，采用 32 位 ARM 微处理器实现信号处理。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悬挂式超细干粉</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8公斤</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32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热成像感温火灾探测器</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采用非制冷氧化钒焦平面探测器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探测器像素不低于256x192，光谱范围：8μm～14μm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热成像镜头7mm；热灵敏度&lt;50mK；</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白热，黑热，聚变，彩虹等18种伪彩可调；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可见光采用1/2.7英寸CMOS；可见光镜头：8mm；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可见光最大分辨率：2336 x 1752；像素：400万；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最低照度：彩色：0.05lux 黑白：0.005lux 0Lux（红外灯开启）；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电子快门：1s～1/30000s（可手动或自动调节）；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支持不小于30米红外补光；支持声光警戒；</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AI智能：火点侦测、吸烟检测、打电话检测、冷热点跟踪、周界防范、目标区分、目标过滤等多种智能功能。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接口：1个RJ45，1路报警输入，1路报警输出，1路音频输入，1路音频输出，1路RS-485接口。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供电方式：DC12V±20%/POE。</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防护等级：IP67。工作温度：-30℃~+60℃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★为保障产品的稳定性、可靠性，需提供国家消防电子产品质量监督检验中心的型式检验报告。</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9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枪机支架</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采用铝合金材质；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支持承重1.0kg；</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支持壁装安装方式；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支持水平：0~360°，竖直：-30°~0°旋转角度范围；</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9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小计：</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智慧用电设备</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2.8英寸LCD液晶显示屏，实时显示各传感器的设备状态、监测参数值、报警信息、故障信息、网络信息、时间等。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设备应能保存并查看系统事件、预警事件、报警事件和故障事件，设备应能记录每种事件数量大于等于1000条。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支持以太网接入网络进行数据传输。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显示传感器采集的检测参数值，包括：A相电压、A相电流、A相有功功率、A相无功功率、A相功率因数、A相电能、B相电压、B相电流、B相有功功率、无功功率、B相功率因数、B相电能、C相电压、C相电流、C相有功功率、C相无功功率、C相功率因数、C相电能、N相电流、剩余电流、线路温度、环境温度、环境湿度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★设备应能发出以下报警：过压报警、欠压报警、过流报警、过温报警、剩余电流报警、故障电弧（打火）报警、湿度报警和开关量信号输入报警。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外接接口：3路电压监测、4路电流监测、8路剩余电流/温度监测、1路开关量输入、3路开关量输出接口，3路外置电流和故障电弧监测、1路内置故障电弧监测、2路485、1路DC12V输出、1路DC5V输出、1个以太网口、1个二总线接口。</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1223"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叉车充电区预估</w:t>
            </w:r>
          </w:p>
        </w:tc>
      </w:tr>
      <w:tr>
        <w:tblPrEx>
          <w:tblCellMar>
            <w:top w:w="0" w:type="dxa"/>
            <w:left w:w="108" w:type="dxa"/>
            <w:bottom w:w="0" w:type="dxa"/>
            <w:right w:w="108" w:type="dxa"/>
          </w:tblCellMar>
        </w:tblPrEx>
        <w:trPr>
          <w:trHeight w:val="12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剩余电流互感器</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额定电压:＜1000V</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工作频率:50Hz～60Hz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额定一次电流:0-1000mA(r.m.s)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额定二次电流:0-0.5mA(r.m.s)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过线孔径65mm</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122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9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电流互感器</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额定电压:＜1000V</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工作频率:50Hz～60Hz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额定二次电压:0-0.333V(r.m.s)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额定电流250A，过线孔径24mm</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88</w:t>
            </w:r>
          </w:p>
        </w:tc>
        <w:tc>
          <w:tcPr>
            <w:tcW w:w="122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72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NTC测温线</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工作温度:（－30～+150）℃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精度:≤１℃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时间常数:≤15S</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条</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88</w:t>
            </w:r>
          </w:p>
        </w:tc>
        <w:tc>
          <w:tcPr>
            <w:tcW w:w="122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32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智慧用电监测网关</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2.8英寸LCD的液晶显示屏，实时显示各传感器的状态、监测参数值、报警信息、故障信息、网络信息、时间等。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设备应能保存并查看系统事件、报警事件和故障事件，设备应能记录每种事件的数量应大于等于500条。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支持以太网接入网络进行数据传输。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探测器连接数量最多可接入64个</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显示探测器釆集的监测参数值，包括：A相电压、A相电流、A相有功功率、A相无功功率、A相功率因数、A相电能、B相电压、B相电流、B相有功功率、B相无功功率、B相功率因数、B相电能、C相电压、C相电流、C相有功功率、C相无功功率、C相功率因数、C相电能、N相电流、剩余电流、传感器SN号、传感器类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设备应能接受传感器和开关量输入的报警信号，并在在10s内发出声、光报警信号，显示报警部位、类型等信息，记录报警时间。声信号应能手动消音，当报警再次发生时应能再次启动，光信号应保持至手动复位。</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★外接接口：3路开关量输出、1路开关量输入、1个RS485、1个DC5V输出、1个DC12V输出。</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122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68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智慧用电监测模块3P</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★设备应能监测用电回路，并釆集以下数据：A相电压、A相电流、A相温度、A相有功功率、A相无功功率、A相功率因数、A相电能、B相电压、B相电流、B相温度、B相有功功率、无功功率、B相功率因数、B相电能、C相 电压、C相电流、C相温度、C相有功功 率、C相无功功率、C相功率因数、C相电能。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★设备应能在以下范围内，对监测项进行数据釆集：电压监测范围：0V-265V；电流监测范围：0A〜63A；温度监测范围：-20°C〜140°C；功率因数监测范围：0〜1。</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精度:电压采集精度：±1%V(90~265V)；电流采集精度：±1%A（0~63A）；功率：±1%；电能：±2%。</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设备应能监测用电回路，并能发出以下报警：A相欠压报警、A相过压报警、A相过电流报警、A相过温度报警、B相欠压报警、B相过压报警、B相过电流报警、B相过温度报警、C相欠压报警、C相过压报警、C相过电流报警、C相过温度报警，并将报警信息传输到网关。</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★外接接口：2个485接口、2个DC5V供电接口、3个AC220V供电接口。</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122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552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热成像感温火灾探测器</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采用非制冷氧化钒焦平面探测器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探测器像素不低于256x192，光谱范围：8μm～14μm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热成像镜头7mm；热灵敏度&lt;50mK；</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白热，黑热，聚变，彩虹等18种伪彩可调；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可见光采用1/2.7英寸CMOS；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可见光镜头：8mm；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可见光最大分辨率：≥2336 x 1752；</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像素：≥400万；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最低照度：≥彩色：0.05lux 黑白：≥0.005lux 0Lux（红外灯开启）；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电子快门：1s～1/30000s（可手动或自动调节）；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支持不小于30米红外补光；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支持声光警戒；</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AI智能：火点侦测、吸烟检测、打电话检测、冷热点跟踪、周界防范、目标区分、目标过滤等多种智能功能；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接口：1个RJ45，1路报警输入，1路报警输出，1路音频输入，1路音频输出，1路RS-485接口；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供电方式：DC12V±20%/POE；</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防护等级：IP67；</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工作温度：-30℃~+60℃。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●为保障产品的稳定性、可靠性，需提供国家消防电子产品质量监督检验中心的型式检验报告。</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22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9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枪机支架</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采用铝合金材质；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支持承重1.0kg；</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支持壁装安装方式；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支持水平：0~360°，竖直：-30°~0°旋转角度范围；</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22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9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小计：</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72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总线中继器  </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采用 DC24V 供电，总线信号输入与输出间电气隔离，完成了探测器总线 的信号隔离传输，可增强整个系统的抗干扰能力，并且具有扩展探测器总线通讯距离的功能。 </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223"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主机及线缆</w:t>
            </w:r>
          </w:p>
        </w:tc>
      </w:tr>
      <w:tr>
        <w:tblPrEx>
          <w:tblCellMar>
            <w:top w:w="0" w:type="dxa"/>
            <w:left w:w="108" w:type="dxa"/>
            <w:bottom w:w="0" w:type="dxa"/>
            <w:right w:w="108" w:type="dxa"/>
          </w:tblCellMar>
        </w:tblPrEx>
        <w:trPr>
          <w:trHeight w:val="72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总线隔离器</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采用 32 位 ARM 微处理器实现信号处理，用数字信号与控制器进行通信，工作稳定可靠，对电 磁干扰有良好的抑制能力。</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1223"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模块通用底座</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模块通用底座，插拔式结构</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1223"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室外交接箱</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600*600*450材质：304不锈钢</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223"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镀锌管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DN20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2450</w:t>
            </w:r>
          </w:p>
        </w:tc>
        <w:tc>
          <w:tcPr>
            <w:tcW w:w="1223"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光缆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12芯</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6000</w:t>
            </w:r>
          </w:p>
        </w:tc>
        <w:tc>
          <w:tcPr>
            <w:tcW w:w="1223"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光纤配线架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12芯</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223"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光纤配线盒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4芯</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223"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法兰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FC</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52</w:t>
            </w:r>
          </w:p>
        </w:tc>
        <w:tc>
          <w:tcPr>
            <w:tcW w:w="1223"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尾纤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FC</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条</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52</w:t>
            </w:r>
          </w:p>
        </w:tc>
        <w:tc>
          <w:tcPr>
            <w:tcW w:w="1223"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跳线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FC</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条</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52</w:t>
            </w:r>
          </w:p>
        </w:tc>
        <w:tc>
          <w:tcPr>
            <w:tcW w:w="1223"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熔接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FC</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点</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52</w:t>
            </w:r>
          </w:p>
        </w:tc>
        <w:tc>
          <w:tcPr>
            <w:tcW w:w="1223"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超五类网线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CAT5E</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箱</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223"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电源线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RVSP2*1.5</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2700</w:t>
            </w:r>
          </w:p>
        </w:tc>
        <w:tc>
          <w:tcPr>
            <w:tcW w:w="1223"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信号线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zrnhrvs2*1.5</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1400</w:t>
            </w:r>
          </w:p>
        </w:tc>
        <w:tc>
          <w:tcPr>
            <w:tcW w:w="1223"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电源线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RVV2*1.5</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700</w:t>
            </w:r>
          </w:p>
        </w:tc>
        <w:tc>
          <w:tcPr>
            <w:tcW w:w="1223"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7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分支管道施工</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混凝土及绿化带开槽及恢复，深度不低于30CM。</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300</w:t>
            </w:r>
          </w:p>
        </w:tc>
        <w:tc>
          <w:tcPr>
            <w:tcW w:w="1223"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小计：</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物联网数据采集终端</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采用AC220V（主电）和DC12V（备电）两种供电方式供电，主备电源可以进行自动切换。</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支持以太网接入网络进行数据传输。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采用ARM核心处理芯片，采样精度更高，采样精度达±1%。</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低功耗设计，支持多级休眠和唤醒模式，最大限度降低功耗。</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★外接接口：8路传感器模拟量输入接口，8路开关量输入接口，4路开关量输出接口，2路RS485或RS232数据接口。</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传输中心</w:t>
            </w:r>
          </w:p>
        </w:tc>
      </w:tr>
      <w:tr>
        <w:tblPrEx>
          <w:tblCellMar>
            <w:top w:w="0" w:type="dxa"/>
            <w:left w:w="108" w:type="dxa"/>
            <w:bottom w:w="0" w:type="dxa"/>
            <w:right w:w="108" w:type="dxa"/>
          </w:tblCellMar>
        </w:tblPrEx>
        <w:trPr>
          <w:trHeight w:val="27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物联网采集箱备电蓄电池</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备电蓄电池必配，一台物联网信息采集终端配置1个。</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2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核心交换机</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二层网管交换机，交换容量336Gbps，包转发率42Mpps，24口10/100/1000Mbps自适应电口交换机，固化4个SFP千兆光口，支持VLAN、ACL、端口镜像、端口聚合等功能,尺寸 440×165×44mm,工作温度：0℃~50℃  存储温度：-40℃~70℃</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2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接入层网络交换机</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二层网管交换机，交换容量192Gbps，包转发率15Mpps，8口10/100/1000Mbps自适应电口交换机(支持POE/POE+，POE功率125W)，固化2个SFP千兆光口，支持VLAN、ACL、端口镜像、端口聚合等功能,尺寸 440×165×44mm,工作温度：0℃~50℃  存储温度：-40℃~70℃</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接入层网络交换机</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16个10/100/1000Mbps电口（支持PoE/PoE+），2个SFP光口。支持EWEB/APP/MACC管理。</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1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光模块</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千兆10公里单模双纤模块</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不分收发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TX1310nm/1.25G</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RX1310nm/1.25G</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LC</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10km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0～70℃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SFP</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9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小计：</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819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网络硬盘录像机</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支持嵌入式Linux系统，工业级嵌入式微控制器；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支持WEB、本地GUI界面操作；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可接驳支持ONVIF、PSIA、RTSP协议的第三方摄像机和主流品牌摄像机；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支持IPv4、IPv6、HTTP、NTP、DNS、ONVIF网络协议；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支持32路网络视频接入，网络性能接入200Mbps,储存128Mbps,转发128Mbps；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支持8M/6M/5M/4M/3M/1080P/1.3M/720PIPC分辨率接入；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支持2×4K/4×4M/8×1080P/16×720P解码，支持16路视频回放；</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支持1路VGA，1路HDMI，支持VGA/HDMI视频同源输出；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支持8个内置SATA接口，单盘容量支持10T，可配置成单盘，支持SSD；</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支持IPC音频1路输入，支持语音对讲1路输出，支持PC通过NVR与网络摄像机进行语音对讲；</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支持16路报警输入、4路报警输出，其中1路继电器输出，1路12V1Actrl输出，支持开关量输入输出模式；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支持3个USB接口（2个前置USB2.0接口、1个后置USB3.0接口）；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★在升级过程中应自动检测升级固件包的数据完整性（数字签名），若升级固件包中的数据被非授权篡改则终止升级过程；支持配置导出功能，且支持配置数据加密导出；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★在启动过程中应自动检测操作系统、可信分区中的数据的完整性（数字签名），若操作系统、可信分区中的数据被非授权篡改则终止启动过程；可将指定时间段内的录像文件进行删除；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具备安全异常分析能力，可自动监测到异常行为非法IP访问、密码暴破行为、Web路径暴破、网络连接资源异常、可信环境异常等，并通过邮件、手机推送、蜂鸣等方式产生告警；可对接入的网络摄像机进行语言、制式、时钟同步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自动记录与设备信息安全相关的日志信息作为独立的安全日志，内容包括用户登录/登出、重要和敏感操作、安全事件等,并划分独立的记录空间存储安全日志,其它日志信息不能覆盖安全日志；支持对指定网卡设置多个路由表信息，满足多个不同局域网网段的网络环境设备访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★支持操作设备过程中，涉及到设备敏感数据的信令交互，采用数字信封技术加密后在网络中传输；支持按照固定容量和固定时间两种方式进行录像打包，且容量和时长可设置；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支持2个千兆以太网口，支持2个不同段IP地址的IPC设备接入，支持将双网口设置同一个IP地址，实现数据链路冗余；</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支持按时间、按事件等多种方式进行录像的检索、回放、备份，支持图片本地回放与查询；</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支持标签自定义功能，设备支持对指定时间的录像进行标签并归档；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支持本机硬盘、网络等存储方式，支持硬盘、外接USB存储设备备份方式；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支持设备操作日志、报警日志、系统日志的记录与查询功能；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支持断网续传功能，能对前端摄像机断网这段时间内SD卡中的录像回传到NVR；</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支持即时回放功能，在预览画面下回放指定通道的录像；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支持预览图像与回放图像的电子放大；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支持一键添加摄像机显示监控画面；</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支持远程管理IPC功能，支持对前端IPC远程升级，支持远程对IPC的编码配置修改等操作；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支持远程零通道预览功能，可将接入的多路视频图像多画面显示在一路视频图像上；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支持盘组管理功能，实现视频录像的定向存储；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支持走廊模式功能，支持IPC画面旋转90°或270°，成9:16走廊模式；</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223" w:type="dxa"/>
            <w:vMerge w:val="restart"/>
            <w:tcBorders>
              <w:top w:val="nil"/>
              <w:left w:val="single" w:color="000000" w:sz="4" w:space="0"/>
              <w:bottom w:val="nil"/>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32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消防用户信息传输装置（4G版）</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采用AC220V（主电）和DC12V（备电）两种供电方式供电，主备电源可以进行自动切换。</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全网通4G，支持市面主流报警主机数据接入，可以通过RS232/485接口接收火灾报警和消防报警主机的运行状态信息并上传给监控中心。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具有本机故障检测功能，自动检测主、备电源故障、与系统和平台的通讯故障。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具有手动火警按钮，可以向管理平台上传人工火灾报警信息。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可以采用GPRS/以太网两种通讯方式做数据上传，需同时具备SIM卡座和RJ45接口。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★设备在网络断开恢复后，设备能上传断网期间的数据。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★为保障设备不漏报，声音报警和语音指示应能支持手动消音，当再次发生火警信号时，应能再次启动声音报警和语音提示。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★外接接口：3路RS232接口、3路RS485接口，2路开关量输入接口，2路开关量输出接口和1路CAN总线接口。</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223" w:type="dxa"/>
            <w:vMerge w:val="continue"/>
            <w:tcBorders>
              <w:top w:val="nil"/>
              <w:left w:val="single" w:color="000000" w:sz="4" w:space="0"/>
              <w:bottom w:val="nil"/>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6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硬盘</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6000G；5400RPM；256M；SATA</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1223" w:type="dxa"/>
            <w:vMerge w:val="continue"/>
            <w:tcBorders>
              <w:top w:val="nil"/>
              <w:left w:val="single" w:color="000000" w:sz="4" w:space="0"/>
              <w:bottom w:val="nil"/>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7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0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小计：</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72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消防设施维保</w:t>
            </w:r>
          </w:p>
        </w:tc>
        <w:tc>
          <w:tcPr>
            <w:tcW w:w="4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确保已建设投入使用的各种消防设施正常运行，达到消防预警、扑灭初起火灾及安全疏散人群的目的，有效地预防和减少火灾的危害。</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68000</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37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0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小计：</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40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A</w:t>
            </w:r>
          </w:p>
        </w:tc>
        <w:tc>
          <w:tcPr>
            <w:tcW w:w="80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设备合计：</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（元）</w:t>
            </w:r>
          </w:p>
        </w:tc>
      </w:tr>
      <w:tr>
        <w:tblPrEx>
          <w:tblCellMar>
            <w:top w:w="0" w:type="dxa"/>
            <w:left w:w="108" w:type="dxa"/>
            <w:bottom w:w="0" w:type="dxa"/>
            <w:right w:w="108" w:type="dxa"/>
          </w:tblCellMar>
        </w:tblPrEx>
        <w:trPr>
          <w:trHeight w:val="52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B</w:t>
            </w:r>
          </w:p>
        </w:tc>
        <w:tc>
          <w:tcPr>
            <w:tcW w:w="80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人工/机械费用：</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54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C</w:t>
            </w:r>
          </w:p>
        </w:tc>
        <w:tc>
          <w:tcPr>
            <w:tcW w:w="80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其他费用：</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3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D</w:t>
            </w:r>
          </w:p>
        </w:tc>
        <w:tc>
          <w:tcPr>
            <w:tcW w:w="80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工程总计=A+B+C：</w:t>
            </w: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39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E</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总价</w:t>
            </w:r>
          </w:p>
        </w:tc>
        <w:tc>
          <w:tcPr>
            <w:tcW w:w="1223" w:type="dxa"/>
            <w:tcBorders>
              <w:top w:val="single" w:color="000000" w:sz="4" w:space="0"/>
              <w:left w:val="nil"/>
              <w:bottom w:val="single" w:color="000000" w:sz="4" w:space="0"/>
              <w:right w:val="single" w:color="000000" w:sz="4" w:space="0"/>
            </w:tcBorders>
            <w:shd w:val="clear" w:color="auto" w:fill="FFFFFF"/>
            <w:vAlign w:val="center"/>
          </w:tcPr>
          <w:p>
            <w:pPr>
              <w:jc w:val="left"/>
              <w:rPr>
                <w:rFonts w:ascii="宋体" w:hAnsi="宋体" w:cs="宋体"/>
                <w:b/>
                <w:bCs/>
                <w:color w:val="000000"/>
                <w:sz w:val="22"/>
                <w:szCs w:val="22"/>
              </w:rPr>
            </w:pPr>
          </w:p>
        </w:tc>
      </w:tr>
    </w:tbl>
    <w:p>
      <w:pPr>
        <w:rPr>
          <w:rFonts w:ascii="宋体" w:hAnsi="宋体"/>
          <w:color w:val="000000"/>
          <w:szCs w:val="21"/>
        </w:rPr>
      </w:pPr>
    </w:p>
    <w:tbl>
      <w:tblPr>
        <w:tblStyle w:val="43"/>
        <w:tblW w:w="10100" w:type="dxa"/>
        <w:jc w:val="center"/>
        <w:tblLayout w:type="autofit"/>
        <w:tblCellMar>
          <w:top w:w="0" w:type="dxa"/>
          <w:left w:w="108" w:type="dxa"/>
          <w:bottom w:w="0" w:type="dxa"/>
          <w:right w:w="108" w:type="dxa"/>
        </w:tblCellMar>
      </w:tblPr>
      <w:tblGrid>
        <w:gridCol w:w="1453"/>
        <w:gridCol w:w="724"/>
        <w:gridCol w:w="3116"/>
        <w:gridCol w:w="3111"/>
        <w:gridCol w:w="1696"/>
      </w:tblGrid>
      <w:tr>
        <w:tblPrEx>
          <w:tblCellMar>
            <w:top w:w="0" w:type="dxa"/>
            <w:left w:w="108" w:type="dxa"/>
            <w:bottom w:w="0" w:type="dxa"/>
            <w:right w:w="108" w:type="dxa"/>
          </w:tblCellMar>
        </w:tblPrEx>
        <w:trPr>
          <w:trHeight w:val="627" w:hRule="atLeast"/>
          <w:jc w:val="center"/>
        </w:trPr>
        <w:tc>
          <w:tcPr>
            <w:tcW w:w="101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40"/>
                <w:szCs w:val="40"/>
              </w:rPr>
            </w:pPr>
            <w:r>
              <w:rPr>
                <w:rFonts w:hint="eastAsia" w:ascii="宋体" w:hAnsi="宋体" w:cs="宋体"/>
                <w:color w:val="000000"/>
                <w:kern w:val="0"/>
                <w:sz w:val="40"/>
                <w:szCs w:val="40"/>
              </w:rPr>
              <w:t>济南商用车消防设施二维码点检</w:t>
            </w:r>
          </w:p>
        </w:tc>
      </w:tr>
      <w:tr>
        <w:tblPrEx>
          <w:tblCellMar>
            <w:top w:w="0" w:type="dxa"/>
            <w:left w:w="108" w:type="dxa"/>
            <w:bottom w:w="0" w:type="dxa"/>
            <w:right w:w="108" w:type="dxa"/>
          </w:tblCellMar>
        </w:tblPrEx>
        <w:trPr>
          <w:trHeight w:val="50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器材设施名称</w:t>
            </w:r>
          </w:p>
        </w:tc>
        <w:tc>
          <w:tcPr>
            <w:tcW w:w="2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技术说明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需二维码数量</w:t>
            </w:r>
          </w:p>
        </w:tc>
      </w:tr>
      <w:tr>
        <w:tblPrEx>
          <w:tblCellMar>
            <w:top w:w="0" w:type="dxa"/>
            <w:left w:w="108" w:type="dxa"/>
            <w:bottom w:w="0" w:type="dxa"/>
            <w:right w:w="108" w:type="dxa"/>
          </w:tblCellMar>
        </w:tblPrEx>
        <w:trPr>
          <w:trHeight w:val="3092"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商用车公司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灭火器箱</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0"/>
                <w:szCs w:val="20"/>
              </w:rPr>
              <w:t>RFID芯片技术要求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（1）工作频率 860-960 MHz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（2）数据存储时间 10年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（3）读写次数 100,000次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（4）贮存温度 -20℃～85℃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（5）工作温度 -20℃～85℃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（6）读取距离 0～6m（与读取设备配置有关）</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（7）国际标准 EPC G2 ISO18000-6C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600</w:t>
            </w:r>
          </w:p>
        </w:tc>
      </w:tr>
      <w:tr>
        <w:tblPrEx>
          <w:tblCellMar>
            <w:top w:w="0" w:type="dxa"/>
            <w:left w:w="108" w:type="dxa"/>
            <w:bottom w:w="0" w:type="dxa"/>
            <w:right w:w="108" w:type="dxa"/>
          </w:tblCellMar>
        </w:tblPrEx>
        <w:trPr>
          <w:trHeight w:val="309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推车灭火器</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0"/>
                <w:szCs w:val="20"/>
              </w:rPr>
              <w:t>RFID芯片技术要求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（1）工作频率 860-960 MHz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（2）数据存储时间 10年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（3）读写次数 100,000次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（4）贮存温度 -20℃～85℃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（5）工作温度 -20℃～85℃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（6）读取距离 0～6m（与读取设备配置有关）</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（7）国际标准 EPC G2 ISO18000-6C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r>
      <w:tr>
        <w:tblPrEx>
          <w:tblCellMar>
            <w:top w:w="0" w:type="dxa"/>
            <w:left w:w="108" w:type="dxa"/>
            <w:bottom w:w="0" w:type="dxa"/>
            <w:right w:w="108" w:type="dxa"/>
          </w:tblCellMar>
        </w:tblPrEx>
        <w:trPr>
          <w:trHeight w:val="309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消防柜</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0"/>
                <w:szCs w:val="20"/>
              </w:rPr>
              <w:t>RFID芯片技术要求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（1）工作频率 860-960 MHz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（2）数据存储时间 10年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（3）读写次数 100,000次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（4）贮存温度 -20℃～85℃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（5）工作温度 -20℃～85℃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（6）读取距离 0～6m（与读取设备配置有关）</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（7）国际标准 EPC G2 ISO18000-6C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r>
      <w:tr>
        <w:tblPrEx>
          <w:tblCellMar>
            <w:top w:w="0" w:type="dxa"/>
            <w:left w:w="108" w:type="dxa"/>
            <w:bottom w:w="0" w:type="dxa"/>
            <w:right w:w="108" w:type="dxa"/>
          </w:tblCellMar>
        </w:tblPrEx>
        <w:trPr>
          <w:trHeight w:val="50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基础数据库建设及调试</w:t>
            </w:r>
          </w:p>
        </w:tc>
        <w:tc>
          <w:tcPr>
            <w:tcW w:w="2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513"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r>
    </w:tbl>
    <w:p>
      <w:pPr>
        <w:tabs>
          <w:tab w:val="left" w:pos="0"/>
        </w:tabs>
        <w:spacing w:line="360" w:lineRule="auto"/>
        <w:ind w:left="-28" w:firstLine="480" w:firstLineChars="200"/>
        <w:rPr>
          <w:rFonts w:ascii="宋体" w:hAnsi="宋体" w:cs="宋体"/>
          <w:kern w:val="0"/>
          <w:sz w:val="24"/>
        </w:rPr>
      </w:pPr>
    </w:p>
    <w:p>
      <w:pPr>
        <w:tabs>
          <w:tab w:val="left" w:pos="0"/>
        </w:tabs>
        <w:spacing w:line="360" w:lineRule="auto"/>
        <w:ind w:left="-28" w:firstLine="480" w:firstLineChars="200"/>
        <w:rPr>
          <w:rFonts w:ascii="宋体" w:hAnsi="宋体" w:cs="宋体"/>
          <w:kern w:val="0"/>
          <w:sz w:val="24"/>
        </w:rPr>
      </w:pPr>
      <w:r>
        <w:rPr>
          <w:rFonts w:hint="eastAsia" w:ascii="宋体" w:hAnsi="宋体" w:cs="宋体"/>
          <w:kern w:val="0"/>
          <w:sz w:val="24"/>
        </w:rPr>
        <w:t>上述该项目包含设备费用、人工费用、其他费用。由买方根据图纸（图纸随招标文件同时发放）进行施工，保证该项目在施工、调试完成后可以对重点防火部位进行智慧化的管控。</w:t>
      </w:r>
    </w:p>
    <w:p>
      <w:pPr>
        <w:tabs>
          <w:tab w:val="left" w:pos="0"/>
        </w:tabs>
        <w:spacing w:line="360" w:lineRule="auto"/>
        <w:ind w:left="-28" w:firstLine="480" w:firstLineChars="200"/>
        <w:rPr>
          <w:rFonts w:ascii="宋体" w:hAnsi="宋体" w:cs="宋体"/>
          <w:kern w:val="0"/>
          <w:sz w:val="24"/>
        </w:rPr>
      </w:pPr>
      <w:r>
        <w:rPr>
          <w:rFonts w:hint="eastAsia" w:ascii="宋体" w:hAnsi="宋体" w:cs="宋体"/>
          <w:kern w:val="0"/>
          <w:sz w:val="24"/>
        </w:rPr>
        <w:t>智能管控包含手机APP在线对重点防火部位进行监控、自动灭火系统智能灭火、起火点自动识别报警、可燃气体浓度在线监测并联动通风换气、无线物联网平台快速传输。</w:t>
      </w:r>
    </w:p>
    <w:p>
      <w:pPr>
        <w:ind w:firstLine="470" w:firstLineChars="196"/>
        <w:rPr>
          <w:rFonts w:ascii="宋体" w:hAnsi="Courier New"/>
          <w:sz w:val="24"/>
        </w:rPr>
      </w:pPr>
    </w:p>
    <w:p>
      <w:pPr>
        <w:tabs>
          <w:tab w:val="left" w:pos="0"/>
        </w:tabs>
        <w:spacing w:line="360" w:lineRule="auto"/>
        <w:ind w:left="-27" w:leftChars="-13" w:firstLine="472" w:firstLineChars="197"/>
        <w:rPr>
          <w:rFonts w:ascii="宋体" w:hAnsi="宋体" w:cs="宋体"/>
          <w:kern w:val="0"/>
          <w:sz w:val="24"/>
        </w:rPr>
      </w:pPr>
      <w:r>
        <w:rPr>
          <w:rFonts w:hint="eastAsia" w:ascii="宋体" w:hAnsi="宋体" w:cs="宋体"/>
          <w:kern w:val="0"/>
          <w:sz w:val="24"/>
        </w:rPr>
        <w:t>消防设施二维码点检应包含手机APP智能点检、园区消防设施大数据采集、园区消防设施点检自动监控、消防设备设施保修期预警。</w:t>
      </w:r>
    </w:p>
    <w:p>
      <w:pPr>
        <w:rPr>
          <w:rFonts w:ascii="宋体" w:hAnsi="宋体"/>
          <w:b/>
          <w:bCs/>
          <w:color w:val="000000"/>
          <w:sz w:val="30"/>
          <w:szCs w:val="30"/>
        </w:rPr>
      </w:pPr>
      <w:r>
        <w:rPr>
          <w:rFonts w:hint="eastAsia" w:ascii="宋体" w:hAnsi="宋体"/>
          <w:b/>
          <w:bCs/>
          <w:color w:val="000000"/>
          <w:sz w:val="30"/>
          <w:szCs w:val="30"/>
        </w:rPr>
        <w:t>五、技术资料</w:t>
      </w:r>
    </w:p>
    <w:p>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1、产品的操作和使用说明书；</w:t>
      </w:r>
    </w:p>
    <w:p>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2、保证产品正常运行、维护和保养必需的其它参数和资料（如软盘、正版操作系统等）；</w:t>
      </w:r>
    </w:p>
    <w:p>
      <w:pPr>
        <w:tabs>
          <w:tab w:val="left" w:pos="0"/>
        </w:tabs>
        <w:spacing w:line="360" w:lineRule="auto"/>
        <w:ind w:left="-28" w:firstLine="480" w:firstLineChars="200"/>
        <w:rPr>
          <w:rFonts w:ascii="宋体" w:hAnsi="宋体" w:cs="宋体"/>
          <w:kern w:val="0"/>
          <w:sz w:val="24"/>
        </w:rPr>
      </w:pPr>
      <w:r>
        <w:rPr>
          <w:rFonts w:hint="eastAsia" w:ascii="宋体" w:hAnsi="宋体" w:cs="宋体"/>
          <w:kern w:val="0"/>
          <w:sz w:val="24"/>
        </w:rPr>
        <w:t>3、生产厂家完整的产品保修证书或服务承诺函 ；</w:t>
      </w:r>
    </w:p>
    <w:p>
      <w:pPr>
        <w:tabs>
          <w:tab w:val="left" w:pos="0"/>
        </w:tabs>
        <w:spacing w:line="360" w:lineRule="auto"/>
        <w:ind w:left="-28" w:firstLine="480" w:firstLineChars="200"/>
        <w:rPr>
          <w:rFonts w:ascii="宋体" w:hAnsi="宋体" w:cs="宋体"/>
          <w:kern w:val="0"/>
          <w:sz w:val="24"/>
        </w:rPr>
      </w:pPr>
      <w:r>
        <w:rPr>
          <w:rFonts w:hint="eastAsia" w:ascii="宋体" w:hAnsi="宋体" w:cs="宋体"/>
          <w:kern w:val="0"/>
          <w:sz w:val="24"/>
        </w:rPr>
        <w:t>4、具体安装位置详见图纸</w:t>
      </w:r>
    </w:p>
    <w:p>
      <w:pPr>
        <w:rPr>
          <w:rFonts w:ascii="宋体" w:hAnsi="宋体"/>
          <w:b/>
          <w:bCs/>
          <w:color w:val="000000"/>
          <w:sz w:val="30"/>
          <w:szCs w:val="30"/>
        </w:rPr>
      </w:pPr>
      <w:r>
        <w:rPr>
          <w:rFonts w:hint="eastAsia" w:ascii="宋体" w:hAnsi="宋体"/>
          <w:b/>
          <w:bCs/>
          <w:color w:val="000000"/>
          <w:sz w:val="30"/>
          <w:szCs w:val="30"/>
        </w:rPr>
        <w:t>六、服务</w:t>
      </w:r>
    </w:p>
    <w:p>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1、应提供产品一年的免费升级和维护服务，永久提供技术支持及保外现场服务。</w:t>
      </w:r>
    </w:p>
    <w:p>
      <w:pPr>
        <w:tabs>
          <w:tab w:val="left" w:pos="0"/>
        </w:tabs>
        <w:spacing w:line="360" w:lineRule="auto"/>
        <w:ind w:firstLine="480" w:firstLineChars="200"/>
        <w:rPr>
          <w:rFonts w:ascii="宋体" w:hAnsi="宋体" w:cs="宋体"/>
          <w:kern w:val="0"/>
          <w:sz w:val="24"/>
        </w:rPr>
      </w:pPr>
      <w:r>
        <w:rPr>
          <w:rFonts w:ascii="宋体" w:hAnsi="宋体" w:cs="宋体"/>
          <w:kern w:val="0"/>
          <w:sz w:val="24"/>
        </w:rPr>
        <w:t>2</w:t>
      </w:r>
      <w:r>
        <w:rPr>
          <w:rFonts w:hint="eastAsia" w:ascii="宋体" w:hAnsi="宋体" w:cs="宋体"/>
          <w:kern w:val="0"/>
          <w:sz w:val="24"/>
        </w:rPr>
        <w:t>、在接到买方的通知后，卖方应在2小时内做出问题的处理决定或意见，并报知买方，双方意见一致后，卖方应在24小时内到达买方现场，1个工作日内排除故障。</w:t>
      </w:r>
    </w:p>
    <w:p>
      <w:pPr>
        <w:tabs>
          <w:tab w:val="left" w:pos="0"/>
        </w:tabs>
        <w:spacing w:line="360" w:lineRule="auto"/>
        <w:ind w:left="-27" w:leftChars="-13" w:firstLine="480" w:firstLineChars="200"/>
        <w:rPr>
          <w:rFonts w:ascii="宋体" w:hAnsi="宋体" w:cs="宋体"/>
          <w:kern w:val="0"/>
          <w:sz w:val="24"/>
        </w:rPr>
      </w:pPr>
      <w:r>
        <w:rPr>
          <w:rFonts w:ascii="宋体" w:hAnsi="宋体" w:cs="宋体"/>
          <w:kern w:val="0"/>
          <w:sz w:val="24"/>
        </w:rPr>
        <w:t>3</w:t>
      </w:r>
      <w:r>
        <w:rPr>
          <w:rFonts w:hint="eastAsia" w:ascii="宋体" w:hAnsi="宋体" w:cs="宋体"/>
          <w:kern w:val="0"/>
          <w:sz w:val="24"/>
        </w:rPr>
        <w:t>、卖方有义务就产品正确使用和功能开发事宜向买方提出指导性意见和合理化建议，并提供各种免费咨询服务。</w:t>
      </w:r>
    </w:p>
    <w:p>
      <w:pPr>
        <w:rPr>
          <w:rFonts w:ascii="宋体" w:hAnsi="宋体"/>
          <w:b/>
          <w:bCs/>
          <w:color w:val="000000"/>
          <w:sz w:val="30"/>
          <w:szCs w:val="30"/>
        </w:rPr>
      </w:pPr>
      <w:r>
        <w:rPr>
          <w:rFonts w:hint="eastAsia" w:ascii="宋体" w:hAnsi="宋体"/>
          <w:b/>
          <w:bCs/>
          <w:color w:val="000000"/>
          <w:sz w:val="30"/>
          <w:szCs w:val="30"/>
        </w:rPr>
        <w:t>七、验收</w:t>
      </w:r>
    </w:p>
    <w:p>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按照中国重汽集团相关规定、要求进行验收；</w:t>
      </w:r>
    </w:p>
    <w:p>
      <w:pPr>
        <w:rPr>
          <w:rFonts w:ascii="宋体" w:hAnsi="宋体"/>
          <w:b/>
          <w:bCs/>
          <w:color w:val="000000"/>
          <w:sz w:val="30"/>
          <w:szCs w:val="30"/>
        </w:rPr>
      </w:pPr>
      <w:r>
        <w:rPr>
          <w:rFonts w:hint="eastAsia" w:ascii="宋体" w:hAnsi="宋体"/>
          <w:b/>
          <w:bCs/>
          <w:color w:val="000000"/>
          <w:sz w:val="30"/>
          <w:szCs w:val="30"/>
        </w:rPr>
        <w:t>八、安装技术培训</w:t>
      </w:r>
    </w:p>
    <w:p>
      <w:pPr>
        <w:tabs>
          <w:tab w:val="left" w:pos="0"/>
        </w:tabs>
        <w:spacing w:line="360" w:lineRule="auto"/>
        <w:ind w:firstLine="480" w:firstLineChars="200"/>
        <w:rPr>
          <w:rFonts w:ascii="宋体" w:hAnsi="宋体" w:cs="宋体"/>
          <w:kern w:val="0"/>
          <w:sz w:val="24"/>
        </w:rPr>
      </w:pPr>
      <w:r>
        <w:rPr>
          <w:rFonts w:ascii="宋体" w:hAnsi="宋体" w:cs="宋体"/>
          <w:kern w:val="0"/>
          <w:sz w:val="24"/>
        </w:rPr>
        <w:t>1</w:t>
      </w:r>
      <w:r>
        <w:rPr>
          <w:rFonts w:hint="eastAsia" w:ascii="宋体" w:hAnsi="宋体" w:cs="宋体"/>
          <w:kern w:val="0"/>
          <w:sz w:val="24"/>
        </w:rPr>
        <w:t>、卖方负责产品的部署工作。</w:t>
      </w:r>
    </w:p>
    <w:p>
      <w:pPr>
        <w:tabs>
          <w:tab w:val="left" w:pos="0"/>
        </w:tabs>
        <w:spacing w:line="360" w:lineRule="auto"/>
        <w:ind w:firstLine="480" w:firstLineChars="200"/>
        <w:rPr>
          <w:rFonts w:ascii="宋体" w:hAnsi="宋体" w:cs="宋体"/>
          <w:kern w:val="0"/>
          <w:sz w:val="24"/>
        </w:rPr>
      </w:pPr>
      <w:r>
        <w:rPr>
          <w:rFonts w:ascii="宋体" w:hAnsi="宋体" w:cs="宋体"/>
          <w:kern w:val="0"/>
          <w:sz w:val="24"/>
        </w:rPr>
        <w:t>2</w:t>
      </w:r>
      <w:r>
        <w:rPr>
          <w:rFonts w:hint="eastAsia" w:ascii="宋体" w:hAnsi="宋体" w:cs="宋体"/>
          <w:kern w:val="0"/>
          <w:sz w:val="24"/>
        </w:rPr>
        <w:t>、卖方应在产品安装调试后对用户免费进行产品操作、维修等方面的现场培训，以及其它相关的技术培训和指导；</w:t>
      </w:r>
    </w:p>
    <w:p>
      <w:pPr>
        <w:tabs>
          <w:tab w:val="left" w:pos="0"/>
        </w:tabs>
        <w:spacing w:line="360" w:lineRule="auto"/>
        <w:ind w:firstLine="480" w:firstLineChars="200"/>
        <w:rPr>
          <w:rFonts w:ascii="宋体" w:hAnsi="宋体" w:cs="宋体"/>
          <w:kern w:val="0"/>
          <w:sz w:val="24"/>
        </w:rPr>
      </w:pPr>
      <w:r>
        <w:rPr>
          <w:rFonts w:ascii="宋体" w:hAnsi="宋体" w:cs="宋体"/>
          <w:kern w:val="0"/>
          <w:sz w:val="24"/>
        </w:rPr>
        <w:t>3</w:t>
      </w:r>
      <w:r>
        <w:rPr>
          <w:rFonts w:hint="eastAsia" w:ascii="宋体" w:hAnsi="宋体" w:cs="宋体"/>
          <w:kern w:val="0"/>
          <w:sz w:val="24"/>
        </w:rPr>
        <w:t>、培训应能使用户人员掌握产品操作，保证产品正常运行并排除产品的一般故障。</w:t>
      </w:r>
    </w:p>
    <w:p>
      <w:pPr>
        <w:rPr>
          <w:rFonts w:ascii="宋体" w:hAnsi="宋体"/>
          <w:b/>
          <w:bCs/>
          <w:color w:val="000000"/>
          <w:sz w:val="30"/>
          <w:szCs w:val="30"/>
        </w:rPr>
      </w:pPr>
      <w:r>
        <w:rPr>
          <w:rFonts w:hint="eastAsia" w:ascii="宋体" w:hAnsi="宋体"/>
          <w:b/>
          <w:bCs/>
          <w:color w:val="000000"/>
          <w:sz w:val="30"/>
          <w:szCs w:val="30"/>
        </w:rPr>
        <w:t>九、投标文件格式</w:t>
      </w:r>
    </w:p>
    <w:p>
      <w:pPr>
        <w:tabs>
          <w:tab w:val="left" w:pos="0"/>
        </w:tabs>
        <w:spacing w:line="360" w:lineRule="auto"/>
        <w:ind w:firstLine="640" w:firstLineChars="200"/>
        <w:rPr>
          <w:rStyle w:val="46"/>
          <w:rFonts w:ascii="宋体" w:hAnsi="宋体"/>
          <w:b w:val="0"/>
          <w:sz w:val="28"/>
          <w:szCs w:val="28"/>
        </w:rPr>
      </w:pPr>
      <w:r>
        <w:rPr>
          <w:rFonts w:hint="eastAsia"/>
          <w:sz w:val="32"/>
          <w:szCs w:val="32"/>
        </w:rPr>
        <w:t xml:space="preserve">    </w:t>
      </w:r>
      <w:r>
        <w:rPr>
          <w:rFonts w:hint="eastAsia" w:ascii="宋体" w:hAnsi="宋体" w:cs="宋体"/>
          <w:kern w:val="0"/>
          <w:sz w:val="24"/>
        </w:rPr>
        <w:t>详见附件格式1</w:t>
      </w:r>
      <w:r>
        <w:rPr>
          <w:rFonts w:ascii="宋体" w:hAnsi="宋体" w:cs="宋体"/>
          <w:kern w:val="0"/>
          <w:sz w:val="24"/>
        </w:rPr>
        <w:t>—</w:t>
      </w:r>
      <w:r>
        <w:rPr>
          <w:rFonts w:hint="eastAsia" w:ascii="宋体" w:hAnsi="宋体" w:cs="宋体"/>
          <w:kern w:val="0"/>
          <w:sz w:val="24"/>
        </w:rPr>
        <w:t>10。</w:t>
      </w:r>
    </w:p>
    <w:p>
      <w:pPr>
        <w:spacing w:line="360" w:lineRule="auto"/>
        <w:ind w:firstLine="4480" w:firstLineChars="1600"/>
        <w:jc w:val="left"/>
        <w:rPr>
          <w:rStyle w:val="46"/>
          <w:rFonts w:ascii="宋体" w:hAnsi="宋体"/>
          <w:b w:val="0"/>
          <w:sz w:val="28"/>
          <w:szCs w:val="28"/>
        </w:rPr>
      </w:pPr>
      <w:r>
        <w:rPr>
          <w:rStyle w:val="46"/>
          <w:rFonts w:hint="eastAsia" w:ascii="宋体" w:hAnsi="宋体"/>
          <w:b w:val="0"/>
          <w:sz w:val="28"/>
          <w:szCs w:val="28"/>
        </w:rPr>
        <w:t>中国重汽集团济南商用车有限公司</w:t>
      </w:r>
    </w:p>
    <w:p>
      <w:pPr>
        <w:spacing w:line="360" w:lineRule="auto"/>
        <w:jc w:val="left"/>
        <w:rPr>
          <w:rFonts w:eastAsia="黑体"/>
          <w:b/>
          <w:bCs/>
          <w:sz w:val="28"/>
        </w:rPr>
      </w:pPr>
      <w:r>
        <w:rPr>
          <w:rStyle w:val="46"/>
          <w:rFonts w:hint="eastAsia" w:ascii="宋体" w:hAnsi="宋体"/>
          <w:b w:val="0"/>
          <w:sz w:val="28"/>
          <w:szCs w:val="28"/>
        </w:rPr>
        <w:t xml:space="preserve">                                          2021年9月 </w:t>
      </w: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r>
        <w:rPr>
          <w:rFonts w:hint="eastAsia" w:eastAsia="黑体"/>
          <w:b/>
          <w:bCs/>
          <w:sz w:val="28"/>
        </w:rPr>
        <w:t>附件格式1-1：投标函</w:t>
      </w:r>
    </w:p>
    <w:p>
      <w:pPr>
        <w:jc w:val="center"/>
        <w:rPr>
          <w:rFonts w:eastAsia="黑体"/>
          <w:b/>
          <w:bCs/>
          <w:sz w:val="28"/>
        </w:rPr>
      </w:pPr>
      <w:bookmarkStart w:id="13" w:name="_Toc283368335"/>
      <w:bookmarkStart w:id="14" w:name="_Toc290401063"/>
      <w:bookmarkStart w:id="15" w:name="_Toc278876641"/>
      <w:bookmarkStart w:id="16" w:name="_Toc533251966"/>
      <w:r>
        <w:rPr>
          <w:rFonts w:hint="eastAsia" w:eastAsia="黑体"/>
          <w:b/>
          <w:bCs/>
          <w:sz w:val="28"/>
        </w:rPr>
        <w:t>投标函</w:t>
      </w:r>
      <w:bookmarkEnd w:id="13"/>
      <w:bookmarkEnd w:id="14"/>
      <w:bookmarkEnd w:id="15"/>
      <w:bookmarkEnd w:id="16"/>
    </w:p>
    <w:p>
      <w:pPr>
        <w:tabs>
          <w:tab w:val="left" w:pos="720"/>
        </w:tabs>
        <w:spacing w:line="360" w:lineRule="auto"/>
        <w:ind w:right="3"/>
        <w:rPr>
          <w:rFonts w:ascii="宋体" w:hAnsi="宋体"/>
          <w:sz w:val="24"/>
        </w:rPr>
      </w:pPr>
      <w:r>
        <w:rPr>
          <w:rFonts w:hint="eastAsia" w:ascii="宋体" w:hAnsi="宋体"/>
          <w:sz w:val="24"/>
        </w:rPr>
        <w:t xml:space="preserve">致：中国重型汽车集团有限公司              </w:t>
      </w:r>
    </w:p>
    <w:p>
      <w:pPr>
        <w:spacing w:beforeLines="50" w:line="360" w:lineRule="auto"/>
        <w:rPr>
          <w:rFonts w:ascii="宋体" w:hAnsi="宋体"/>
          <w:sz w:val="24"/>
        </w:rPr>
      </w:pPr>
      <w:r>
        <w:rPr>
          <w:rFonts w:ascii="宋体" w:hAnsi="宋体"/>
          <w:sz w:val="24"/>
        </w:rPr>
        <w:t>根据</w:t>
      </w:r>
      <w:r>
        <w:rPr>
          <w:rFonts w:hint="eastAsia" w:ascii="宋体" w:hAnsi="宋体"/>
          <w:sz w:val="24"/>
        </w:rPr>
        <w:t>贵司</w:t>
      </w:r>
      <w:r>
        <w:rPr>
          <w:rFonts w:ascii="宋体" w:hAnsi="宋体"/>
          <w:sz w:val="24"/>
        </w:rPr>
        <w:t>的招标</w:t>
      </w:r>
      <w:r>
        <w:rPr>
          <w:rFonts w:hint="eastAsia" w:ascii="宋体" w:hAnsi="宋体"/>
          <w:sz w:val="24"/>
        </w:rPr>
        <w:t>函</w:t>
      </w:r>
      <w:r>
        <w:rPr>
          <w:rFonts w:ascii="宋体" w:hAnsi="宋体"/>
          <w:sz w:val="24"/>
        </w:rPr>
        <w:t>，本人代表投标人_____________（投标人名称）提交下述</w:t>
      </w:r>
      <w:r>
        <w:rPr>
          <w:rFonts w:hint="eastAsia" w:ascii="宋体" w:hAnsi="宋体"/>
          <w:sz w:val="24"/>
        </w:rPr>
        <w:t>投标</w:t>
      </w:r>
      <w:r>
        <w:rPr>
          <w:rFonts w:ascii="宋体" w:hAnsi="宋体"/>
          <w:sz w:val="24"/>
        </w:rPr>
        <w:t>文件正本一份和副本</w:t>
      </w:r>
      <w:r>
        <w:rPr>
          <w:rFonts w:hint="eastAsia" w:ascii="宋体" w:hAnsi="宋体"/>
          <w:sz w:val="24"/>
        </w:rPr>
        <w:t>四份。</w:t>
      </w:r>
    </w:p>
    <w:p>
      <w:pPr>
        <w:spacing w:beforeLines="50" w:line="360" w:lineRule="auto"/>
        <w:ind w:firstLine="480" w:firstLineChars="200"/>
        <w:rPr>
          <w:rFonts w:ascii="宋体" w:hAnsi="宋体"/>
          <w:sz w:val="24"/>
        </w:rPr>
      </w:pPr>
      <w:r>
        <w:rPr>
          <w:rFonts w:ascii="宋体" w:hAnsi="宋体"/>
          <w:sz w:val="24"/>
        </w:rPr>
        <w:t>本人宣布同意如下：</w:t>
      </w:r>
    </w:p>
    <w:p>
      <w:pPr>
        <w:pStyle w:val="64"/>
        <w:numPr>
          <w:ilvl w:val="0"/>
          <w:numId w:val="9"/>
        </w:numPr>
        <w:spacing w:beforeLines="50" w:line="360" w:lineRule="auto"/>
        <w:ind w:firstLineChars="0"/>
        <w:rPr>
          <w:rFonts w:ascii="宋体" w:hAnsi="宋体"/>
          <w:sz w:val="24"/>
        </w:rPr>
      </w:pPr>
      <w:r>
        <w:rPr>
          <w:rFonts w:ascii="宋体" w:hAnsi="宋体"/>
          <w:sz w:val="24"/>
        </w:rPr>
        <w:t>所附</w:t>
      </w:r>
      <w:r>
        <w:rPr>
          <w:rFonts w:hint="eastAsia" w:ascii="宋体" w:hAnsi="宋体"/>
          <w:sz w:val="24"/>
        </w:rPr>
        <w:t>《</w:t>
      </w:r>
      <w:r>
        <w:rPr>
          <w:rFonts w:ascii="宋体" w:hAnsi="宋体"/>
          <w:sz w:val="24"/>
        </w:rPr>
        <w:t>开标一览表</w:t>
      </w:r>
      <w:r>
        <w:rPr>
          <w:rFonts w:hint="eastAsia" w:ascii="宋体" w:hAnsi="宋体"/>
          <w:sz w:val="24"/>
        </w:rPr>
        <w:t>》</w:t>
      </w:r>
      <w:r>
        <w:rPr>
          <w:rFonts w:ascii="宋体" w:hAnsi="宋体"/>
          <w:sz w:val="24"/>
        </w:rPr>
        <w:t>规定的应提供和交付的</w:t>
      </w:r>
      <w:r>
        <w:rPr>
          <w:rFonts w:hint="eastAsia" w:ascii="宋体" w:hAnsi="宋体"/>
          <w:sz w:val="24"/>
        </w:rPr>
        <w:t>软件产品和工程的</w:t>
      </w:r>
      <w:r>
        <w:rPr>
          <w:rFonts w:ascii="宋体" w:hAnsi="宋体"/>
          <w:sz w:val="24"/>
        </w:rPr>
        <w:t>投标总价为：</w:t>
      </w:r>
    </w:p>
    <w:p>
      <w:pPr>
        <w:ind w:firstLine="480" w:firstLineChars="200"/>
        <w:rPr>
          <w:rFonts w:eastAsia="黑体"/>
          <w:b/>
          <w:bCs/>
          <w:sz w:val="28"/>
        </w:rPr>
      </w:pPr>
      <w:r>
        <w:rPr>
          <w:rFonts w:ascii="宋体" w:hAnsi="宋体"/>
          <w:sz w:val="24"/>
        </w:rPr>
        <w:t xml:space="preserve"> ________________（人民币），____________________（大写）。</w:t>
      </w:r>
    </w:p>
    <w:p>
      <w:pPr>
        <w:spacing w:beforeLines="50"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我方郑重承诺：投标人将全部满足招标文件中的各项实质性要求，如果发现投标文件中另有与招标文件中不一致的响应或没有响应，投标人同意招标人有权要求投标人按照招标文件的要求提供服务。投标人并同意按照招标文件的规定履行合同责任和义务。</w:t>
      </w:r>
    </w:p>
    <w:p>
      <w:pPr>
        <w:spacing w:beforeLines="50"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我方已详细审查全部招标文件，包括修改文件（如有的话）以及全部参考资料和有关附件。我们完全理解并同意放弃对这方面有不明及误解的权利。</w:t>
      </w:r>
    </w:p>
    <w:p>
      <w:pPr>
        <w:spacing w:beforeLines="50" w:line="360" w:lineRule="auto"/>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sz w:val="24"/>
        </w:rPr>
        <w:t>我方的投标自投标截止之日起有效期为</w:t>
      </w:r>
      <w:r>
        <w:rPr>
          <w:rFonts w:hint="eastAsia" w:ascii="宋体" w:hAnsi="宋体"/>
          <w:sz w:val="24"/>
        </w:rPr>
        <w:t>90天</w:t>
      </w:r>
      <w:r>
        <w:rPr>
          <w:rFonts w:ascii="宋体" w:hAnsi="宋体"/>
          <w:sz w:val="24"/>
        </w:rPr>
        <w:t>。</w:t>
      </w:r>
    </w:p>
    <w:p>
      <w:pPr>
        <w:spacing w:beforeLines="50" w:line="360" w:lineRule="auto"/>
        <w:ind w:firstLine="480" w:firstLineChars="200"/>
        <w:rPr>
          <w:rFonts w:ascii="宋体" w:hAnsi="宋体"/>
          <w:sz w:val="24"/>
        </w:rPr>
      </w:pPr>
      <w:r>
        <w:rPr>
          <w:rFonts w:hint="eastAsia" w:ascii="宋体" w:hAnsi="宋体"/>
          <w:sz w:val="24"/>
        </w:rPr>
        <w:t>5、</w:t>
      </w:r>
      <w:r>
        <w:rPr>
          <w:rFonts w:ascii="宋体" w:hAnsi="宋体"/>
          <w:sz w:val="24"/>
        </w:rPr>
        <w:t>我方同意提供按照贵方可能要求的与我方投标有关的一切数据或资料，理解贵方不一定要接受最低价的投标或收到的任何投标。</w:t>
      </w:r>
    </w:p>
    <w:p>
      <w:pPr>
        <w:spacing w:beforeLines="50" w:line="360" w:lineRule="auto"/>
        <w:ind w:firstLine="480" w:firstLineChars="200"/>
        <w:rPr>
          <w:rFonts w:ascii="宋体" w:hAnsi="宋体"/>
          <w:sz w:val="24"/>
        </w:rPr>
      </w:pPr>
      <w:r>
        <w:rPr>
          <w:rFonts w:hint="eastAsia" w:ascii="宋体" w:hAnsi="宋体"/>
          <w:sz w:val="24"/>
        </w:rPr>
        <w:t>6、</w:t>
      </w:r>
      <w:r>
        <w:rPr>
          <w:rFonts w:ascii="宋体" w:hAnsi="宋体"/>
          <w:sz w:val="24"/>
        </w:rPr>
        <w:t>与本投标有关的一切正式往来通讯请寄：</w:t>
      </w:r>
    </w:p>
    <w:p>
      <w:pPr>
        <w:tabs>
          <w:tab w:val="left" w:pos="720"/>
        </w:tabs>
        <w:spacing w:line="360" w:lineRule="auto"/>
        <w:ind w:right="3" w:firstLine="2640" w:firstLineChars="1100"/>
        <w:rPr>
          <w:rFonts w:ascii="宋体" w:hAnsi="宋体"/>
          <w:sz w:val="24"/>
        </w:rPr>
      </w:pPr>
    </w:p>
    <w:p>
      <w:pPr>
        <w:tabs>
          <w:tab w:val="left" w:pos="720"/>
        </w:tabs>
        <w:spacing w:line="360" w:lineRule="auto"/>
        <w:ind w:right="3" w:firstLine="2640" w:firstLineChars="1100"/>
        <w:rPr>
          <w:rFonts w:ascii="宋体" w:hAnsi="宋体"/>
          <w:sz w:val="24"/>
        </w:rPr>
      </w:pPr>
      <w:r>
        <w:rPr>
          <w:rFonts w:hint="eastAsia" w:ascii="宋体" w:hAnsi="宋体"/>
          <w:sz w:val="24"/>
        </w:rPr>
        <w:t xml:space="preserve"> 投    标    人：          </w:t>
      </w:r>
      <w:r>
        <w:rPr>
          <w:rFonts w:ascii="宋体" w:hAnsi="宋体"/>
          <w:sz w:val="24"/>
        </w:rPr>
        <w:t xml:space="preserve">    </w:t>
      </w:r>
      <w:r>
        <w:rPr>
          <w:rFonts w:hint="eastAsia" w:ascii="宋体" w:hAnsi="宋体"/>
          <w:sz w:val="24"/>
        </w:rPr>
        <w:t xml:space="preserve">（公章）       </w:t>
      </w:r>
    </w:p>
    <w:p>
      <w:pPr>
        <w:spacing w:line="360" w:lineRule="auto"/>
        <w:ind w:right="-687" w:rightChars="-327" w:firstLine="2760" w:firstLineChars="1150"/>
        <w:rPr>
          <w:rFonts w:ascii="宋体" w:hAnsi="宋体"/>
          <w:sz w:val="24"/>
        </w:rPr>
      </w:pPr>
      <w:r>
        <w:rPr>
          <w:rFonts w:hint="eastAsia" w:ascii="宋体" w:hAnsi="宋体"/>
          <w:sz w:val="24"/>
        </w:rPr>
        <w:t xml:space="preserve">法定代表人或授权委托人： </w:t>
      </w:r>
      <w:r>
        <w:rPr>
          <w:rFonts w:ascii="宋体" w:hAnsi="宋体"/>
          <w:sz w:val="24"/>
        </w:rPr>
        <w:t xml:space="preserve">     </w:t>
      </w:r>
      <w:r>
        <w:rPr>
          <w:rFonts w:hint="eastAsia" w:ascii="宋体" w:hAnsi="宋体"/>
          <w:sz w:val="24"/>
        </w:rPr>
        <w:t xml:space="preserve">（签字或盖章） </w:t>
      </w:r>
    </w:p>
    <w:p>
      <w:pPr>
        <w:spacing w:line="360" w:lineRule="auto"/>
        <w:ind w:right="-687" w:rightChars="-327" w:firstLine="2760" w:firstLineChars="1150"/>
        <w:rPr>
          <w:rFonts w:ascii="宋体" w:hAnsi="宋体"/>
          <w:sz w:val="24"/>
        </w:rPr>
      </w:pPr>
      <w:r>
        <w:rPr>
          <w:rFonts w:hint="eastAsia" w:ascii="宋体" w:hAnsi="宋体"/>
          <w:sz w:val="24"/>
        </w:rPr>
        <w:t>日       期：         年      月      日</w:t>
      </w:r>
    </w:p>
    <w:p>
      <w:r>
        <w:br w:type="page"/>
      </w:r>
      <w:r>
        <w:rPr>
          <w:rFonts w:hint="eastAsia" w:eastAsia="黑体"/>
          <w:b/>
          <w:bCs/>
          <w:sz w:val="28"/>
        </w:rPr>
        <w:t>附件格式1-</w:t>
      </w:r>
      <w:r>
        <w:rPr>
          <w:rFonts w:eastAsia="黑体"/>
          <w:b/>
          <w:bCs/>
          <w:sz w:val="28"/>
        </w:rPr>
        <w:t>2</w:t>
      </w:r>
      <w:r>
        <w:rPr>
          <w:rFonts w:hint="eastAsia" w:eastAsia="黑体"/>
          <w:b/>
          <w:bCs/>
          <w:sz w:val="28"/>
        </w:rPr>
        <w:t>：法定代表人授权委托书</w:t>
      </w:r>
    </w:p>
    <w:p>
      <w:pPr>
        <w:jc w:val="center"/>
        <w:rPr>
          <w:rFonts w:ascii="黑体" w:hAnsi="黑体" w:eastAsia="黑体"/>
          <w:b/>
          <w:sz w:val="28"/>
          <w:szCs w:val="28"/>
        </w:rPr>
      </w:pPr>
      <w:r>
        <w:rPr>
          <w:rFonts w:hint="eastAsia" w:ascii="黑体" w:hAnsi="黑体" w:eastAsia="黑体"/>
          <w:b/>
          <w:sz w:val="28"/>
          <w:szCs w:val="28"/>
        </w:rPr>
        <w:t>法定代表人授权委托书</w:t>
      </w:r>
    </w:p>
    <w:p>
      <w:pPr>
        <w:spacing w:line="360" w:lineRule="auto"/>
        <w:jc w:val="left"/>
        <w:rPr>
          <w:rFonts w:ascii="宋体" w:hAnsi="宋体"/>
          <w:sz w:val="24"/>
        </w:rPr>
      </w:pPr>
      <w:r>
        <w:rPr>
          <w:rFonts w:hint="eastAsia" w:ascii="宋体" w:hAnsi="宋体"/>
          <w:sz w:val="24"/>
        </w:rPr>
        <w:t>中国重型汽车集团有限公司：</w:t>
      </w:r>
    </w:p>
    <w:p>
      <w:pPr>
        <w:spacing w:line="360" w:lineRule="auto"/>
        <w:ind w:firstLine="480" w:firstLineChars="200"/>
        <w:rPr>
          <w:rFonts w:ascii="宋体" w:hAnsi="宋体"/>
          <w:sz w:val="24"/>
          <w:u w:val="single"/>
        </w:rPr>
      </w:pPr>
      <w:r>
        <w:rPr>
          <w:rFonts w:hint="eastAsia" w:ascii="宋体" w:hAnsi="宋体"/>
          <w:sz w:val="24"/>
        </w:rPr>
        <w:t>我公司法定代表人</w:t>
      </w:r>
      <w:r>
        <w:rPr>
          <w:rFonts w:hint="eastAsia" w:ascii="宋体" w:hAnsi="宋体"/>
          <w:sz w:val="24"/>
          <w:u w:val="single"/>
        </w:rPr>
        <w:t xml:space="preserve">        </w:t>
      </w:r>
      <w:r>
        <w:rPr>
          <w:rFonts w:hint="eastAsia" w:ascii="宋体" w:hAnsi="宋体"/>
          <w:sz w:val="24"/>
        </w:rPr>
        <w:t>授权委托</w:t>
      </w:r>
      <w:r>
        <w:rPr>
          <w:rFonts w:hint="eastAsia" w:ascii="宋体" w:hAnsi="宋体"/>
          <w:sz w:val="24"/>
          <w:u w:val="single"/>
        </w:rPr>
        <w:t xml:space="preserve">         </w:t>
      </w:r>
      <w:r>
        <w:rPr>
          <w:rFonts w:hint="eastAsia" w:ascii="宋体" w:hAnsi="宋体"/>
          <w:sz w:val="24"/>
        </w:rPr>
        <w:t>为其代理人，参加贵公司于</w:t>
      </w:r>
    </w:p>
    <w:p>
      <w:pPr>
        <w:spacing w:line="360" w:lineRule="auto"/>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日组织的</w:t>
      </w:r>
      <w:r>
        <w:rPr>
          <w:rFonts w:ascii="宋体" w:hAnsi="宋体"/>
          <w:sz w:val="24"/>
          <w:u w:val="single"/>
        </w:rPr>
        <w:t xml:space="preserve">       </w:t>
      </w:r>
      <w:r>
        <w:rPr>
          <w:rFonts w:hint="eastAsia" w:ascii="宋体" w:hAnsi="宋体"/>
          <w:sz w:val="24"/>
        </w:rPr>
        <w:t>项目采购活动，并全权代表我公司处理活动中的一切事宜。</w:t>
      </w:r>
    </w:p>
    <w:p>
      <w:pPr>
        <w:spacing w:line="360" w:lineRule="auto"/>
        <w:ind w:firstLine="480" w:firstLineChars="200"/>
        <w:jc w:val="left"/>
        <w:rPr>
          <w:rFonts w:ascii="宋体" w:hAnsi="宋体"/>
          <w:sz w:val="24"/>
        </w:rPr>
      </w:pPr>
      <w:r>
        <w:rPr>
          <w:rFonts w:hint="eastAsia" w:ascii="宋体" w:hAnsi="宋体"/>
          <w:sz w:val="24"/>
        </w:rPr>
        <w:t>本授权书自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日签字生效，特此声明。</w:t>
      </w:r>
    </w:p>
    <w:p>
      <w:pPr>
        <w:spacing w:line="360" w:lineRule="auto"/>
        <w:jc w:val="left"/>
        <w:rPr>
          <w:rFonts w:ascii="宋体" w:hAnsi="宋体"/>
          <w:sz w:val="24"/>
        </w:rPr>
      </w:pPr>
      <w:r>
        <w:rPr>
          <w:rFonts w:hint="eastAsia" w:ascii="宋体" w:hAnsi="宋体"/>
          <w:sz w:val="24"/>
        </w:rPr>
        <w:t>竞标人名称（加盖公章）：</w:t>
      </w:r>
      <w:r>
        <w:rPr>
          <w:rFonts w:hint="eastAsia" w:ascii="宋体" w:hAnsi="宋体"/>
          <w:sz w:val="24"/>
          <w:u w:val="single"/>
        </w:rPr>
        <w:t xml:space="preserve">                  </w:t>
      </w:r>
      <w:r>
        <w:rPr>
          <w:rFonts w:hint="eastAsia" w:ascii="宋体" w:hAnsi="宋体"/>
          <w:sz w:val="24"/>
        </w:rPr>
        <w:t xml:space="preserve"> 日    期：</w:t>
      </w:r>
      <w:r>
        <w:rPr>
          <w:rFonts w:hint="eastAsia" w:ascii="宋体" w:hAnsi="宋体"/>
          <w:sz w:val="24"/>
          <w:u w:val="single"/>
        </w:rPr>
        <w:t xml:space="preserve">                   </w:t>
      </w:r>
      <w:r>
        <w:rPr>
          <w:rFonts w:hint="eastAsia" w:ascii="宋体" w:hAnsi="宋体"/>
          <w:sz w:val="24"/>
        </w:rPr>
        <w:t xml:space="preserve">  </w:t>
      </w:r>
    </w:p>
    <w:p>
      <w:pPr>
        <w:spacing w:line="360" w:lineRule="auto"/>
        <w:jc w:val="left"/>
        <w:rPr>
          <w:rFonts w:ascii="宋体" w:hAnsi="宋体"/>
          <w:sz w:val="24"/>
        </w:rPr>
      </w:pPr>
      <w:r>
        <w:rPr>
          <w:rFonts w:hint="eastAsia" w:ascii="宋体" w:hAnsi="宋体"/>
          <w:sz w:val="24"/>
        </w:rPr>
        <w:t>法定代表人（签字或印章）：</w:t>
      </w:r>
      <w:r>
        <w:rPr>
          <w:rFonts w:hint="eastAsia" w:ascii="宋体" w:hAnsi="宋体"/>
          <w:sz w:val="24"/>
          <w:u w:val="single"/>
        </w:rPr>
        <w:t xml:space="preserve">                 </w:t>
      </w:r>
      <w:r>
        <w:rPr>
          <w:rFonts w:hint="eastAsia" w:ascii="宋体" w:hAnsi="宋体"/>
          <w:sz w:val="24"/>
        </w:rPr>
        <w:t xml:space="preserve"> 身份证号：</w:t>
      </w:r>
      <w:r>
        <w:rPr>
          <w:rFonts w:hint="eastAsia" w:ascii="宋体" w:hAnsi="宋体"/>
          <w:sz w:val="24"/>
          <w:u w:val="single"/>
        </w:rPr>
        <w:t xml:space="preserve">                  </w:t>
      </w:r>
    </w:p>
    <w:p>
      <w:pPr>
        <w:spacing w:line="360" w:lineRule="auto"/>
        <w:ind w:firstLine="480" w:firstLineChars="200"/>
        <w:jc w:val="left"/>
        <w:rPr>
          <w:rFonts w:ascii="宋体" w:hAnsi="宋体"/>
          <w:sz w:val="24"/>
        </w:rPr>
      </w:pPr>
      <w:r>
        <w:rPr>
          <w:rFonts w:hint="eastAsia" w:ascii="宋体" w:hAnsi="宋体"/>
          <w:sz w:val="24"/>
          <w:u w:val="single"/>
        </w:rPr>
        <w:t xml:space="preserve">                                                                    </w:t>
      </w:r>
      <w:r>
        <w:rPr>
          <w:rFonts w:hint="eastAsia" w:ascii="宋体" w:hAnsi="宋体"/>
          <w:sz w:val="24"/>
        </w:rPr>
        <w:t xml:space="preserve">  </w:t>
      </w:r>
    </w:p>
    <w:p>
      <w:pPr>
        <w:spacing w:line="360" w:lineRule="auto"/>
        <w:ind w:firstLine="482" w:firstLineChars="200"/>
        <w:jc w:val="left"/>
        <w:rPr>
          <w:rFonts w:ascii="宋体" w:hAnsi="宋体"/>
          <w:sz w:val="24"/>
        </w:rPr>
      </w:pPr>
      <w:r>
        <w:rPr>
          <w:rFonts w:hint="eastAsia" w:ascii="宋体" w:hAnsi="宋体"/>
          <w:b/>
          <w:bCs/>
          <w:sz w:val="24"/>
        </w:rPr>
        <w:t>附</w:t>
      </w:r>
      <w:r>
        <w:rPr>
          <w:rFonts w:hint="eastAsia" w:ascii="宋体" w:hAnsi="宋体"/>
          <w:sz w:val="24"/>
        </w:rPr>
        <w:t xml:space="preserve">  授权代理人情况（附加盖竞标人公章的代理人身份证复印件）：</w:t>
      </w:r>
    </w:p>
    <w:p>
      <w:pPr>
        <w:spacing w:line="360" w:lineRule="auto"/>
        <w:ind w:firstLine="480" w:firstLineChars="200"/>
        <w:jc w:val="left"/>
        <w:rPr>
          <w:rFonts w:ascii="宋体" w:hAnsi="宋体"/>
          <w:sz w:val="24"/>
        </w:rPr>
      </w:pPr>
      <w:r>
        <w:rPr>
          <w:rFonts w:hint="eastAsia" w:ascii="宋体" w:hAnsi="宋体"/>
          <w:sz w:val="24"/>
        </w:rPr>
        <w:t xml:space="preserve">    姓名：</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jc w:val="left"/>
        <w:rPr>
          <w:rFonts w:ascii="宋体" w:hAnsi="宋体"/>
          <w:sz w:val="24"/>
        </w:rPr>
      </w:pPr>
      <w:r>
        <w:rPr>
          <w:rFonts w:hint="eastAsia" w:ascii="宋体" w:hAnsi="宋体"/>
          <w:sz w:val="24"/>
        </w:rPr>
        <w:t xml:space="preserve">    年龄：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jc w:val="left"/>
        <w:rPr>
          <w:rFonts w:ascii="宋体" w:hAnsi="宋体"/>
          <w:sz w:val="24"/>
        </w:rPr>
      </w:pPr>
      <w:r>
        <w:rPr>
          <w:rFonts w:hint="eastAsia" w:ascii="宋体" w:hAnsi="宋体"/>
          <w:sz w:val="24"/>
        </w:rPr>
        <w:t xml:space="preserve">    联系电话：</w:t>
      </w:r>
      <w:r>
        <w:rPr>
          <w:rFonts w:hint="eastAsia" w:ascii="宋体" w:hAnsi="宋体"/>
          <w:sz w:val="24"/>
          <w:u w:val="single"/>
        </w:rPr>
        <w:t xml:space="preserve">                  </w:t>
      </w:r>
      <w:r>
        <w:rPr>
          <w:rFonts w:hint="eastAsia" w:ascii="宋体" w:hAnsi="宋体"/>
          <w:sz w:val="24"/>
        </w:rPr>
        <w:t xml:space="preserve">    手机：</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jc w:val="left"/>
        <w:rPr>
          <w:rFonts w:ascii="宋体" w:hAnsi="宋体"/>
          <w:sz w:val="24"/>
          <w:u w:val="single"/>
        </w:rPr>
      </w:pPr>
      <w:r>
        <w:rPr>
          <w:rFonts w:hint="eastAsia" w:ascii="宋体" w:hAnsi="宋体"/>
          <w:sz w:val="24"/>
        </w:rPr>
        <w:t xml:space="preserve">    详细通信地址：</w:t>
      </w:r>
      <w:r>
        <w:rPr>
          <w:rFonts w:hint="eastAsia" w:ascii="宋体" w:hAnsi="宋体"/>
          <w:sz w:val="24"/>
          <w:u w:val="single"/>
        </w:rPr>
        <w:t xml:space="preserve">                                         </w:t>
      </w:r>
    </w:p>
    <w:p>
      <w:pPr>
        <w:spacing w:line="360" w:lineRule="auto"/>
        <w:ind w:firstLine="480" w:firstLineChars="200"/>
        <w:jc w:val="left"/>
        <w:rPr>
          <w:rFonts w:ascii="宋体" w:hAnsi="宋体"/>
          <w:sz w:val="24"/>
        </w:rPr>
      </w:pPr>
    </w:p>
    <w:p>
      <w:pPr>
        <w:spacing w:line="360" w:lineRule="auto"/>
        <w:jc w:val="left"/>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说明：</w:t>
      </w:r>
    </w:p>
    <w:p>
      <w:pPr>
        <w:spacing w:line="360" w:lineRule="auto"/>
        <w:rPr>
          <w:rFonts w:ascii="宋体" w:hAnsi="宋体"/>
          <w:sz w:val="24"/>
        </w:rPr>
      </w:pPr>
      <w:r>
        <w:rPr>
          <w:rFonts w:ascii="宋体" w:hAnsi="宋体"/>
          <w:sz w:val="24"/>
        </w:rPr>
        <w:t xml:space="preserve">    </w:t>
      </w:r>
      <w:r>
        <w:rPr>
          <w:rFonts w:hint="eastAsia" w:ascii="宋体" w:hAnsi="宋体"/>
          <w:sz w:val="24"/>
        </w:rPr>
        <w:t>1、如法定代表人参加竞标的，竞标文件中不需提供法定代表人授权委托书，但必须提供法定代表人身份证复印件。</w:t>
      </w:r>
    </w:p>
    <w:p>
      <w:pPr>
        <w:spacing w:line="360" w:lineRule="auto"/>
        <w:rPr>
          <w:rFonts w:ascii="宋体" w:hAnsi="宋体"/>
          <w:sz w:val="24"/>
        </w:rPr>
      </w:pPr>
      <w:r>
        <w:rPr>
          <w:rFonts w:ascii="宋体" w:hAnsi="宋体"/>
          <w:sz w:val="24"/>
        </w:rPr>
        <w:t xml:space="preserve">    </w:t>
      </w:r>
      <w:r>
        <w:rPr>
          <w:rFonts w:hint="eastAsia" w:ascii="宋体" w:hAnsi="宋体"/>
          <w:sz w:val="24"/>
        </w:rPr>
        <w:t>2、如委托代理人参加竞标的，竞标文件中必须提供法定代表人授权委托书和委托代理人的身份证复印件。</w:t>
      </w:r>
    </w:p>
    <w:p>
      <w:pPr>
        <w:rPr>
          <w:sz w:val="32"/>
        </w:rPr>
      </w:pPr>
      <w:r>
        <w:br w:type="page"/>
      </w:r>
      <w:bookmarkStart w:id="17" w:name="_Toc386297882"/>
      <w:r>
        <w:rPr>
          <w:rFonts w:hint="eastAsia" w:eastAsia="黑体"/>
          <w:b/>
          <w:bCs/>
          <w:sz w:val="28"/>
        </w:rPr>
        <w:t>附件格式1-</w:t>
      </w:r>
      <w:r>
        <w:rPr>
          <w:rFonts w:eastAsia="黑体"/>
          <w:b/>
          <w:bCs/>
          <w:sz w:val="28"/>
        </w:rPr>
        <w:t>3</w:t>
      </w:r>
      <w:r>
        <w:rPr>
          <w:rFonts w:hint="eastAsia" w:eastAsia="黑体"/>
          <w:b/>
          <w:bCs/>
          <w:sz w:val="28"/>
        </w:rPr>
        <w:t>、竞标人资格证明文件</w:t>
      </w:r>
      <w:bookmarkEnd w:id="17"/>
    </w:p>
    <w:p>
      <w:pPr>
        <w:spacing w:line="360" w:lineRule="auto"/>
        <w:rPr>
          <w:rFonts w:ascii="宋体" w:hAnsi="宋体"/>
          <w:sz w:val="24"/>
        </w:rPr>
      </w:pPr>
      <w:r>
        <w:rPr>
          <w:rFonts w:hint="eastAsia" w:ascii="宋体" w:hAnsi="宋体"/>
          <w:sz w:val="24"/>
        </w:rPr>
        <w:t>中国重型汽车集团有限公司：</w:t>
      </w:r>
    </w:p>
    <w:p>
      <w:pPr>
        <w:spacing w:line="360" w:lineRule="auto"/>
        <w:ind w:firstLine="480" w:firstLineChars="200"/>
        <w:rPr>
          <w:rFonts w:ascii="宋体" w:hAnsi="宋体"/>
          <w:sz w:val="24"/>
        </w:rPr>
      </w:pPr>
      <w:r>
        <w:rPr>
          <w:rFonts w:hint="eastAsia" w:ascii="宋体" w:hAnsi="宋体"/>
          <w:sz w:val="24"/>
        </w:rPr>
        <w:t xml:space="preserve">贵公司组织的 </w:t>
      </w:r>
      <w:r>
        <w:rPr>
          <w:rFonts w:ascii="宋体" w:hAnsi="宋体"/>
          <w:sz w:val="24"/>
          <w:u w:val="single"/>
        </w:rPr>
        <w:t xml:space="preserve">      </w:t>
      </w:r>
      <w:r>
        <w:rPr>
          <w:rFonts w:hint="eastAsia" w:ascii="宋体" w:hAnsi="宋体"/>
          <w:sz w:val="24"/>
        </w:rPr>
        <w:t>项目谈判采购活动，我公司愿意参加，并证明提交的下列文件、证明和陈述均是准确的、真实的。若与真实情况不符，我公司愿意承担由此而产生的一切后果。</w:t>
      </w:r>
    </w:p>
    <w:p>
      <w:pPr>
        <w:numPr>
          <w:ilvl w:val="0"/>
          <w:numId w:val="10"/>
        </w:numPr>
        <w:spacing w:line="360" w:lineRule="auto"/>
        <w:ind w:firstLine="480" w:firstLineChars="200"/>
        <w:rPr>
          <w:rFonts w:ascii="宋体" w:hAnsi="宋体"/>
          <w:sz w:val="24"/>
        </w:rPr>
      </w:pPr>
      <w:r>
        <w:rPr>
          <w:rFonts w:hint="eastAsia" w:ascii="宋体" w:hAnsi="宋体"/>
          <w:sz w:val="24"/>
        </w:rPr>
        <w:t>工商营业执照副本复印件（加盖公章）。</w:t>
      </w:r>
    </w:p>
    <w:p>
      <w:pPr>
        <w:numPr>
          <w:ilvl w:val="0"/>
          <w:numId w:val="10"/>
        </w:numPr>
        <w:spacing w:line="360" w:lineRule="auto"/>
        <w:ind w:firstLine="480" w:firstLineChars="200"/>
        <w:rPr>
          <w:rFonts w:ascii="宋体" w:hAnsi="宋体"/>
          <w:sz w:val="24"/>
        </w:rPr>
      </w:pPr>
      <w:r>
        <w:rPr>
          <w:rFonts w:hint="eastAsia" w:ascii="宋体" w:hAnsi="宋体"/>
          <w:sz w:val="24"/>
        </w:rPr>
        <w:t>竞标人认为有必要提供的其他证明文件（加盖公章）。</w:t>
      </w:r>
    </w:p>
    <w:p>
      <w:pPr>
        <w:spacing w:line="360" w:lineRule="auto"/>
        <w:rPr>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sz w:val="24"/>
        </w:rPr>
      </w:pPr>
    </w:p>
    <w:p>
      <w:pPr>
        <w:spacing w:line="360" w:lineRule="auto"/>
        <w:rPr>
          <w:sz w:val="24"/>
        </w:rPr>
      </w:pPr>
    </w:p>
    <w:p>
      <w:pPr>
        <w:spacing w:line="360" w:lineRule="auto"/>
        <w:rPr>
          <w:b/>
          <w:bCs/>
          <w:sz w:val="28"/>
        </w:rPr>
      </w:pPr>
      <w:r>
        <w:rPr>
          <w:rFonts w:hint="eastAsia"/>
          <w:sz w:val="24"/>
        </w:rPr>
        <w:br w:type="textWrapping"/>
      </w:r>
      <w:r>
        <w:rPr>
          <w:rFonts w:hint="eastAsia"/>
          <w:sz w:val="24"/>
        </w:rPr>
        <w:t xml:space="preserve">   </w:t>
      </w:r>
      <w:r>
        <w:rPr>
          <w:rFonts w:hint="eastAsia"/>
          <w:b/>
          <w:bCs/>
          <w:sz w:val="28"/>
        </w:rPr>
        <w:t>竞标人名称：</w:t>
      </w:r>
      <w:r>
        <w:rPr>
          <w:rFonts w:hint="eastAsia"/>
          <w:b/>
          <w:bCs/>
          <w:sz w:val="28"/>
          <w:u w:val="thick"/>
        </w:rPr>
        <w:t xml:space="preserve">                                 </w:t>
      </w:r>
      <w:r>
        <w:rPr>
          <w:rFonts w:hint="eastAsia"/>
          <w:b/>
          <w:bCs/>
          <w:sz w:val="28"/>
        </w:rPr>
        <w:t>（加盖公章）</w:t>
      </w:r>
    </w:p>
    <w:p>
      <w:pPr>
        <w:spacing w:line="360" w:lineRule="auto"/>
        <w:rPr>
          <w:b/>
          <w:sz w:val="28"/>
          <w:szCs w:val="28"/>
        </w:rPr>
      </w:pPr>
      <w:r>
        <w:rPr>
          <w:rFonts w:hint="eastAsia"/>
          <w:sz w:val="28"/>
        </w:rPr>
        <w:t xml:space="preserve">  </w:t>
      </w:r>
      <w:r>
        <w:rPr>
          <w:rFonts w:hint="eastAsia"/>
          <w:b/>
          <w:sz w:val="28"/>
          <w:szCs w:val="28"/>
        </w:rPr>
        <w:t xml:space="preserve"> 法定代表人或其代理人：                       （签    字）     </w:t>
      </w:r>
    </w:p>
    <w:p>
      <w:pPr>
        <w:spacing w:line="360" w:lineRule="auto"/>
        <w:rPr>
          <w:rFonts w:ascii="黑体" w:eastAsia="黑体"/>
          <w:sz w:val="30"/>
        </w:rPr>
      </w:pPr>
    </w:p>
    <w:p>
      <w:pPr>
        <w:widowControl/>
        <w:jc w:val="left"/>
        <w:rPr>
          <w:rFonts w:eastAsia="黑体"/>
          <w:b/>
          <w:bCs/>
          <w:sz w:val="28"/>
        </w:rPr>
      </w:pPr>
      <w:r>
        <w:rPr>
          <w:rFonts w:ascii="宋体" w:hAnsi="宋体"/>
          <w:sz w:val="24"/>
        </w:rPr>
        <w:br w:type="page"/>
      </w:r>
      <w:r>
        <w:rPr>
          <w:rFonts w:hint="eastAsia" w:eastAsia="黑体"/>
          <w:b/>
          <w:bCs/>
          <w:sz w:val="28"/>
        </w:rPr>
        <w:t>附件格式1-</w:t>
      </w:r>
      <w:r>
        <w:rPr>
          <w:rFonts w:eastAsia="黑体"/>
          <w:b/>
          <w:bCs/>
          <w:sz w:val="28"/>
        </w:rPr>
        <w:t>4</w:t>
      </w:r>
      <w:r>
        <w:rPr>
          <w:rFonts w:hint="eastAsia" w:eastAsia="黑体"/>
          <w:b/>
          <w:bCs/>
          <w:sz w:val="28"/>
        </w:rPr>
        <w:t>：开标一览表</w:t>
      </w:r>
    </w:p>
    <w:p>
      <w:pPr>
        <w:spacing w:before="6"/>
        <w:ind w:right="88"/>
        <w:jc w:val="left"/>
        <w:rPr>
          <w:rFonts w:ascii="宋体" w:hAnsi="宋体" w:cs="宋体"/>
          <w:color w:val="000000"/>
          <w:u w:val="single"/>
        </w:rPr>
      </w:pPr>
      <w:r>
        <w:rPr>
          <w:rFonts w:ascii="宋体" w:hAnsi="宋体" w:cs="宋体"/>
          <w:color w:val="000000"/>
        </w:rPr>
        <w:t>项目</w:t>
      </w:r>
      <w:r>
        <w:rPr>
          <w:rFonts w:hint="eastAsia" w:ascii="宋体" w:hAnsi="宋体" w:cs="宋体"/>
          <w:color w:val="000000"/>
        </w:rPr>
        <w:t>名称</w:t>
      </w:r>
      <w:r>
        <w:rPr>
          <w:rFonts w:ascii="宋体" w:hAnsi="宋体" w:cs="宋体"/>
          <w:color w:val="000000"/>
        </w:rPr>
        <w:t>：</w:t>
      </w:r>
    </w:p>
    <w:p>
      <w:pPr>
        <w:spacing w:before="6"/>
        <w:ind w:right="88"/>
        <w:jc w:val="left"/>
        <w:rPr>
          <w:rFonts w:ascii="宋体" w:hAnsi="宋体" w:cs="宋体"/>
          <w:color w:val="000000"/>
          <w:u w:val="single"/>
        </w:rPr>
      </w:pPr>
      <w:r>
        <w:rPr>
          <w:rFonts w:hint="eastAsia" w:ascii="宋体" w:hAnsi="宋体" w:cs="宋体"/>
          <w:color w:val="000000"/>
        </w:rPr>
        <w:t>投标人名称（公章）：</w:t>
      </w:r>
    </w:p>
    <w:p>
      <w:pPr>
        <w:spacing w:before="6"/>
        <w:ind w:right="88"/>
        <w:jc w:val="left"/>
        <w:rPr>
          <w:rFonts w:ascii="宋体" w:hAnsi="宋体" w:cs="宋体"/>
          <w:color w:val="000000"/>
          <w:u w:val="single"/>
        </w:rPr>
      </w:pPr>
      <w:r>
        <w:rPr>
          <w:rFonts w:hint="eastAsia"/>
        </w:rPr>
        <w:t>投标人代表签字：</w:t>
      </w:r>
    </w:p>
    <w:p>
      <w:pPr>
        <w:spacing w:before="62"/>
        <w:ind w:right="88"/>
        <w:jc w:val="right"/>
        <w:rPr>
          <w:rFonts w:ascii="宋体" w:hAnsi="宋体" w:cs="宋体"/>
          <w:color w:val="000000"/>
        </w:rPr>
      </w:pPr>
      <w:r>
        <w:rPr>
          <w:rFonts w:ascii="宋体" w:hAnsi="宋体" w:cs="宋体"/>
          <w:color w:val="000000"/>
        </w:rPr>
        <w:t>价格单位：元</w:t>
      </w:r>
    </w:p>
    <w:tbl>
      <w:tblPr>
        <w:tblStyle w:val="43"/>
        <w:tblW w:w="9368" w:type="dxa"/>
        <w:tblInd w:w="96" w:type="dxa"/>
        <w:tblLayout w:type="autofit"/>
        <w:tblCellMar>
          <w:top w:w="0" w:type="dxa"/>
          <w:left w:w="108" w:type="dxa"/>
          <w:bottom w:w="0" w:type="dxa"/>
          <w:right w:w="108" w:type="dxa"/>
        </w:tblCellMar>
      </w:tblPr>
      <w:tblGrid>
        <w:gridCol w:w="960"/>
        <w:gridCol w:w="3021"/>
        <w:gridCol w:w="1134"/>
        <w:gridCol w:w="1560"/>
        <w:gridCol w:w="1134"/>
        <w:gridCol w:w="1559"/>
      </w:tblGrid>
      <w:tr>
        <w:tblPrEx>
          <w:tblCellMar>
            <w:top w:w="0" w:type="dxa"/>
            <w:left w:w="108" w:type="dxa"/>
            <w:bottom w:w="0" w:type="dxa"/>
            <w:right w:w="108" w:type="dxa"/>
          </w:tblCellMar>
        </w:tblPrEx>
        <w:trPr>
          <w:trHeight w:val="300" w:hRule="atLeast"/>
        </w:trPr>
        <w:tc>
          <w:tcPr>
            <w:tcW w:w="96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3021" w:type="dxa"/>
            <w:tcBorders>
              <w:top w:val="single" w:color="000000" w:sz="8" w:space="0"/>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产品名称</w:t>
            </w:r>
          </w:p>
        </w:tc>
        <w:tc>
          <w:tcPr>
            <w:tcW w:w="1134" w:type="dxa"/>
            <w:tcBorders>
              <w:top w:val="single" w:color="000000" w:sz="8" w:space="0"/>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1560" w:type="dxa"/>
            <w:tcBorders>
              <w:top w:val="single" w:color="000000" w:sz="8" w:space="0"/>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设备价格</w:t>
            </w:r>
          </w:p>
        </w:tc>
        <w:tc>
          <w:tcPr>
            <w:tcW w:w="1134" w:type="dxa"/>
            <w:tcBorders>
              <w:top w:val="single" w:color="000000" w:sz="8" w:space="0"/>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税费</w:t>
            </w:r>
          </w:p>
        </w:tc>
        <w:tc>
          <w:tcPr>
            <w:tcW w:w="1559" w:type="dxa"/>
            <w:tcBorders>
              <w:top w:val="single" w:color="000000" w:sz="8" w:space="0"/>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CellMar>
            <w:top w:w="0" w:type="dxa"/>
            <w:left w:w="108" w:type="dxa"/>
            <w:bottom w:w="0" w:type="dxa"/>
            <w:right w:w="108" w:type="dxa"/>
          </w:tblCellMar>
        </w:tblPrEx>
        <w:trPr>
          <w:trHeight w:val="73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热成像感温火灾探测器</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3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点型光电感烟火灾探测器</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56</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3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点型感温火灾探测器</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3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点型探测器通用底座</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62</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7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火灾报警控制器/气体灭火控制器</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火灾声光警报器</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3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火灾声光警报器底座</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手动火灾报警按钮</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气体释放警报器</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紧急启停按钮</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00"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枪机支架</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3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柜式七氟丙烷气体灭火装置</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七氟丙烷灭火剂</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1260</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防爆摄像机</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防爆绕线管</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7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防爆点型光电感温度火灾探测器</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7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防爆点型光电感火度火灾探测器</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探测器底座</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隔离式安全栅</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3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防爆火灾声光警报器</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悬挂式超细干粉</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智慧用电设备</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剩余电流互感器</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电流互感器</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88</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NTC测温线</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88</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智慧用电监测网关</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3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智慧用电监测模块3P</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总线中继器  </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总线隔离器</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模块通用底座</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室外交接箱</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00"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镀锌管</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2450</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00"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光缆</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6000</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光纤配线架</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光纤配线盒</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00"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法兰</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00"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尾纤</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00"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跳线</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00"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熔接</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超五类网线</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00"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电源线</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3400</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00"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信号线</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1400</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分支管道施工</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3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物联网数据采集终端</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3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物联网采集箱备电蓄电池</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核心交换机</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接入层网络交换机</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00"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光模块</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网络硬盘录像机</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7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消防用户信息传输装置（4G版）</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00"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硬盘</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消防设施维保</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68000</w:t>
            </w:r>
          </w:p>
        </w:tc>
        <w:tc>
          <w:tcPr>
            <w:tcW w:w="1560"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3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灭火器箱二维码点检</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600</w:t>
            </w:r>
          </w:p>
        </w:tc>
        <w:tc>
          <w:tcPr>
            <w:tcW w:w="1560" w:type="dxa"/>
            <w:tcBorders>
              <w:top w:val="nil"/>
              <w:left w:val="nil"/>
              <w:bottom w:val="single" w:color="000000" w:sz="8" w:space="0"/>
              <w:right w:val="single" w:color="000000" w:sz="8" w:space="0"/>
            </w:tcBorders>
            <w:shd w:val="clear" w:color="000000" w:fill="FFFFFF"/>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3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54</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推车灭火器二维码点检</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560" w:type="dxa"/>
            <w:tcBorders>
              <w:top w:val="nil"/>
              <w:left w:val="nil"/>
              <w:bottom w:val="single" w:color="000000" w:sz="8" w:space="0"/>
              <w:right w:val="single" w:color="000000" w:sz="8" w:space="0"/>
            </w:tcBorders>
            <w:shd w:val="clear" w:color="000000" w:fill="FFFFFF"/>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消防柜二维码点检</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560" w:type="dxa"/>
            <w:tcBorders>
              <w:top w:val="nil"/>
              <w:left w:val="nil"/>
              <w:bottom w:val="single" w:color="000000" w:sz="8" w:space="0"/>
              <w:right w:val="single" w:color="000000" w:sz="8" w:space="0"/>
            </w:tcBorders>
            <w:shd w:val="clear" w:color="000000" w:fill="FFFFFF"/>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72" w:hRule="atLeast"/>
        </w:trPr>
        <w:tc>
          <w:tcPr>
            <w:tcW w:w="9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56</w:t>
            </w:r>
          </w:p>
        </w:tc>
        <w:tc>
          <w:tcPr>
            <w:tcW w:w="3021" w:type="dxa"/>
            <w:tcBorders>
              <w:top w:val="nil"/>
              <w:left w:val="nil"/>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二维码点检基础数据库建设及调试</w:t>
            </w:r>
          </w:p>
        </w:tc>
        <w:tc>
          <w:tcPr>
            <w:tcW w:w="1134" w:type="dxa"/>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560" w:type="dxa"/>
            <w:tcBorders>
              <w:top w:val="nil"/>
              <w:left w:val="nil"/>
              <w:bottom w:val="single" w:color="000000" w:sz="8" w:space="0"/>
              <w:right w:val="single" w:color="000000" w:sz="8" w:space="0"/>
            </w:tcBorders>
            <w:shd w:val="clear" w:color="000000" w:fill="FFFFFF"/>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000000" w:sz="8" w:space="0"/>
              <w:right w:val="single" w:color="000000" w:sz="8" w:space="0"/>
            </w:tcBorders>
            <w:shd w:val="clear" w:color="000000" w:fill="FFFFFF"/>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000000" w:sz="8" w:space="0"/>
              <w:right w:val="single" w:color="000000" w:sz="8" w:space="0"/>
            </w:tcBorders>
            <w:shd w:val="clear" w:color="000000" w:fill="FFFFFF"/>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00" w:hRule="atLeast"/>
        </w:trPr>
        <w:tc>
          <w:tcPr>
            <w:tcW w:w="9368" w:type="dxa"/>
            <w:gridSpan w:val="6"/>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人工价格：</w:t>
            </w:r>
          </w:p>
        </w:tc>
      </w:tr>
      <w:tr>
        <w:tblPrEx>
          <w:tblCellMar>
            <w:top w:w="0" w:type="dxa"/>
            <w:left w:w="108" w:type="dxa"/>
            <w:bottom w:w="0" w:type="dxa"/>
            <w:right w:w="108" w:type="dxa"/>
          </w:tblCellMar>
        </w:tblPrEx>
        <w:trPr>
          <w:trHeight w:val="300" w:hRule="atLeast"/>
        </w:trPr>
        <w:tc>
          <w:tcPr>
            <w:tcW w:w="9368" w:type="dxa"/>
            <w:gridSpan w:val="6"/>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总报价（含税）人民币（大写）：</w:t>
            </w:r>
          </w:p>
        </w:tc>
      </w:tr>
      <w:tr>
        <w:tblPrEx>
          <w:tblCellMar>
            <w:top w:w="0" w:type="dxa"/>
            <w:left w:w="108" w:type="dxa"/>
            <w:bottom w:w="0" w:type="dxa"/>
            <w:right w:w="108" w:type="dxa"/>
          </w:tblCellMar>
        </w:tblPrEx>
        <w:trPr>
          <w:trHeight w:val="300" w:hRule="atLeast"/>
        </w:trPr>
        <w:tc>
          <w:tcPr>
            <w:tcW w:w="9368" w:type="dxa"/>
            <w:gridSpan w:val="6"/>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交货期：</w:t>
            </w:r>
          </w:p>
        </w:tc>
      </w:tr>
      <w:tr>
        <w:tblPrEx>
          <w:tblCellMar>
            <w:top w:w="0" w:type="dxa"/>
            <w:left w:w="108" w:type="dxa"/>
            <w:bottom w:w="0" w:type="dxa"/>
            <w:right w:w="108" w:type="dxa"/>
          </w:tblCellMar>
        </w:tblPrEx>
        <w:trPr>
          <w:trHeight w:val="300" w:hRule="atLeast"/>
        </w:trPr>
        <w:tc>
          <w:tcPr>
            <w:tcW w:w="9368" w:type="dxa"/>
            <w:gridSpan w:val="6"/>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对招标文件的响应程度：</w:t>
            </w:r>
          </w:p>
        </w:tc>
      </w:tr>
      <w:tr>
        <w:tblPrEx>
          <w:tblCellMar>
            <w:top w:w="0" w:type="dxa"/>
            <w:left w:w="108" w:type="dxa"/>
            <w:bottom w:w="0" w:type="dxa"/>
            <w:right w:w="108" w:type="dxa"/>
          </w:tblCellMar>
        </w:tblPrEx>
        <w:trPr>
          <w:trHeight w:val="300" w:hRule="atLeast"/>
        </w:trPr>
        <w:tc>
          <w:tcPr>
            <w:tcW w:w="9368" w:type="dxa"/>
            <w:gridSpan w:val="6"/>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（是否完全响应）</w:t>
            </w:r>
          </w:p>
        </w:tc>
      </w:tr>
    </w:tbl>
    <w:p>
      <w:pPr>
        <w:pStyle w:val="5"/>
        <w:spacing w:before="48"/>
        <w:ind w:left="400" w:hanging="400"/>
        <w:rPr>
          <w:color w:val="000000"/>
        </w:rPr>
      </w:pPr>
    </w:p>
    <w:p>
      <w:pPr>
        <w:pStyle w:val="5"/>
        <w:spacing w:before="48"/>
        <w:ind w:left="400" w:hanging="400"/>
        <w:rPr>
          <w:color w:val="000000"/>
          <w:spacing w:val="-1"/>
        </w:rPr>
      </w:pPr>
      <w:r>
        <w:rPr>
          <w:color w:val="000000"/>
        </w:rPr>
        <w:t>说明：</w:t>
      </w:r>
    </w:p>
    <w:p>
      <w:pPr>
        <w:pStyle w:val="5"/>
        <w:spacing w:before="48"/>
        <w:ind w:left="400" w:hanging="400"/>
        <w:rPr>
          <w:color w:val="000000"/>
        </w:rPr>
      </w:pPr>
      <w:r>
        <w:rPr>
          <w:color w:val="000000"/>
        </w:rPr>
        <w:t xml:space="preserve">1、开标一览表中“投标总价”是指提供服务的全部费用的报价。 </w:t>
      </w:r>
    </w:p>
    <w:p>
      <w:pPr>
        <w:pStyle w:val="5"/>
        <w:spacing w:before="48"/>
        <w:ind w:left="400" w:hanging="400"/>
        <w:rPr>
          <w:color w:val="000000"/>
        </w:rPr>
      </w:pPr>
      <w:r>
        <w:rPr>
          <w:color w:val="000000"/>
        </w:rPr>
        <w:t>2、投标人严格按照规定的格式填写。</w:t>
      </w:r>
    </w:p>
    <w:p>
      <w:pPr>
        <w:rPr>
          <w:rFonts w:ascii="宋体" w:hAnsi="宋体" w:cs="宋体"/>
          <w:color w:val="000000"/>
        </w:rPr>
      </w:pPr>
    </w:p>
    <w:p>
      <w:pPr>
        <w:spacing w:before="2"/>
        <w:rPr>
          <w:rFonts w:ascii="宋体" w:hAnsi="宋体" w:cs="宋体"/>
          <w:color w:val="000000"/>
        </w:rPr>
      </w:pPr>
    </w:p>
    <w:p>
      <w:pPr>
        <w:pStyle w:val="5"/>
        <w:tabs>
          <w:tab w:val="left" w:pos="524"/>
          <w:tab w:val="left" w:pos="1049"/>
        </w:tabs>
        <w:spacing w:before="35"/>
        <w:ind w:left="400" w:right="677" w:hanging="400"/>
        <w:jc w:val="right"/>
        <w:rPr>
          <w:color w:val="000000"/>
        </w:rPr>
      </w:pPr>
      <w:r>
        <w:rPr>
          <w:rFonts w:hint="eastAsia"/>
          <w:color w:val="000000"/>
        </w:rPr>
        <w:t xml:space="preserve">日期：  </w:t>
      </w:r>
      <w:r>
        <w:rPr>
          <w:color w:val="000000"/>
        </w:rPr>
        <w:t xml:space="preserve"> </w:t>
      </w:r>
      <w:r>
        <w:rPr>
          <w:rFonts w:hint="eastAsia"/>
          <w:color w:val="000000"/>
        </w:rPr>
        <w:t xml:space="preserve">年 </w:t>
      </w:r>
      <w:r>
        <w:rPr>
          <w:color w:val="000000"/>
        </w:rPr>
        <w:t xml:space="preserve">  </w:t>
      </w:r>
      <w:r>
        <w:rPr>
          <w:rFonts w:hint="eastAsia"/>
          <w:color w:val="000000"/>
        </w:rPr>
        <w:t xml:space="preserve">月 </w:t>
      </w:r>
      <w:r>
        <w:rPr>
          <w:color w:val="000000"/>
        </w:rPr>
        <w:t xml:space="preserve"> </w:t>
      </w:r>
      <w:r>
        <w:rPr>
          <w:rFonts w:hint="eastAsia"/>
          <w:color w:val="000000"/>
        </w:rPr>
        <w:t xml:space="preserve"> 日</w:t>
      </w:r>
    </w:p>
    <w:p>
      <w:pPr>
        <w:ind w:firstLine="480"/>
        <w:rPr>
          <w:rFonts w:ascii="宋体" w:hAnsi="宋体"/>
          <w:sz w:val="24"/>
        </w:rPr>
      </w:pPr>
    </w:p>
    <w:p>
      <w:pPr>
        <w:ind w:firstLine="480"/>
        <w:rPr>
          <w:rFonts w:ascii="宋体" w:hAnsi="宋体"/>
          <w:sz w:val="24"/>
        </w:rPr>
      </w:pPr>
    </w:p>
    <w:p>
      <w:pPr>
        <w:ind w:firstLine="480"/>
        <w:rPr>
          <w:rFonts w:ascii="宋体" w:hAnsi="宋体"/>
          <w:sz w:val="24"/>
        </w:rPr>
      </w:pPr>
    </w:p>
    <w:p>
      <w:pPr>
        <w:ind w:firstLine="480"/>
        <w:rPr>
          <w:rFonts w:ascii="宋体" w:hAnsi="宋体"/>
          <w:sz w:val="24"/>
        </w:rPr>
      </w:pPr>
    </w:p>
    <w:p>
      <w:pPr>
        <w:ind w:firstLine="480"/>
        <w:rPr>
          <w:rFonts w:ascii="宋体" w:hAnsi="宋体"/>
          <w:sz w:val="24"/>
        </w:rPr>
      </w:pPr>
    </w:p>
    <w:p>
      <w:pPr>
        <w:ind w:firstLine="480"/>
        <w:rPr>
          <w:rFonts w:ascii="宋体" w:hAnsi="宋体"/>
          <w:sz w:val="24"/>
        </w:rPr>
      </w:pPr>
    </w:p>
    <w:p>
      <w:pPr>
        <w:ind w:firstLine="480"/>
        <w:rPr>
          <w:rFonts w:ascii="宋体" w:hAnsi="宋体"/>
          <w:sz w:val="24"/>
        </w:rPr>
      </w:pPr>
    </w:p>
    <w:p>
      <w:pPr>
        <w:ind w:firstLine="480"/>
        <w:rPr>
          <w:rFonts w:ascii="宋体" w:hAnsi="宋体"/>
          <w:sz w:val="24"/>
        </w:rPr>
      </w:pPr>
    </w:p>
    <w:p>
      <w:pPr>
        <w:ind w:firstLine="480"/>
        <w:rPr>
          <w:rFonts w:ascii="宋体" w:hAnsi="宋体"/>
          <w:sz w:val="24"/>
        </w:rPr>
      </w:pPr>
    </w:p>
    <w:p>
      <w:pPr>
        <w:ind w:firstLine="480"/>
        <w:rPr>
          <w:rFonts w:ascii="宋体" w:hAnsi="宋体"/>
          <w:sz w:val="24"/>
        </w:rPr>
      </w:pPr>
    </w:p>
    <w:p>
      <w:pPr>
        <w:ind w:firstLine="480"/>
        <w:rPr>
          <w:rFonts w:ascii="宋体" w:hAnsi="宋体"/>
          <w:sz w:val="24"/>
        </w:rPr>
      </w:pPr>
    </w:p>
    <w:p>
      <w:pPr>
        <w:rPr>
          <w:rFonts w:eastAsia="黑体"/>
          <w:b/>
          <w:bCs/>
          <w:sz w:val="28"/>
        </w:rPr>
      </w:pPr>
      <w:r>
        <w:rPr>
          <w:rFonts w:hint="eastAsia" w:eastAsia="黑体"/>
          <w:b/>
          <w:bCs/>
          <w:sz w:val="28"/>
        </w:rPr>
        <w:t>附件格式1-</w:t>
      </w:r>
      <w:r>
        <w:rPr>
          <w:rFonts w:eastAsia="黑体"/>
          <w:b/>
          <w:bCs/>
          <w:sz w:val="28"/>
        </w:rPr>
        <w:t>5</w:t>
      </w:r>
      <w:r>
        <w:rPr>
          <w:rFonts w:hint="eastAsia" w:eastAsia="黑体"/>
          <w:b/>
          <w:bCs/>
          <w:sz w:val="28"/>
        </w:rPr>
        <w:t>：投标价格分解表</w:t>
      </w:r>
    </w:p>
    <w:p>
      <w:pPr>
        <w:ind w:firstLine="480"/>
        <w:rPr>
          <w:rFonts w:ascii="宋体" w:hAnsi="宋体"/>
          <w:sz w:val="24"/>
        </w:rPr>
      </w:pPr>
    </w:p>
    <w:p>
      <w:pPr>
        <w:ind w:firstLine="480"/>
        <w:rPr>
          <w:rFonts w:ascii="宋体" w:hAnsi="宋体"/>
          <w:sz w:val="24"/>
        </w:rPr>
      </w:pPr>
    </w:p>
    <w:p>
      <w:pPr>
        <w:spacing w:before="6"/>
        <w:ind w:right="88"/>
        <w:jc w:val="left"/>
        <w:rPr>
          <w:rFonts w:ascii="宋体" w:hAnsi="宋体" w:cs="宋体"/>
          <w:color w:val="000000"/>
          <w:u w:val="single"/>
        </w:rPr>
      </w:pPr>
      <w:r>
        <w:rPr>
          <w:rFonts w:ascii="宋体" w:hAnsi="宋体" w:cs="宋体"/>
          <w:color w:val="000000"/>
        </w:rPr>
        <w:t>项目</w:t>
      </w:r>
      <w:r>
        <w:rPr>
          <w:rFonts w:hint="eastAsia" w:ascii="宋体" w:hAnsi="宋体" w:cs="宋体"/>
          <w:color w:val="000000"/>
        </w:rPr>
        <w:t>名称</w:t>
      </w:r>
      <w:r>
        <w:rPr>
          <w:rFonts w:ascii="宋体" w:hAnsi="宋体" w:cs="宋体"/>
          <w:color w:val="000000"/>
        </w:rPr>
        <w:t>：</w:t>
      </w:r>
    </w:p>
    <w:p>
      <w:pPr>
        <w:spacing w:before="6"/>
        <w:ind w:right="88"/>
        <w:jc w:val="left"/>
        <w:rPr>
          <w:rFonts w:ascii="宋体" w:hAnsi="宋体" w:cs="宋体"/>
          <w:color w:val="000000"/>
          <w:u w:val="single"/>
        </w:rPr>
      </w:pPr>
      <w:r>
        <w:rPr>
          <w:rFonts w:hint="eastAsia" w:ascii="宋体" w:hAnsi="宋体" w:cs="宋体"/>
          <w:color w:val="000000"/>
        </w:rPr>
        <w:t>投标人名称（公章）：</w:t>
      </w:r>
    </w:p>
    <w:p>
      <w:pPr>
        <w:spacing w:before="6"/>
        <w:ind w:right="88"/>
        <w:jc w:val="left"/>
        <w:rPr>
          <w:rFonts w:ascii="宋体" w:hAnsi="宋体" w:cs="宋体"/>
          <w:color w:val="000000"/>
          <w:u w:val="single"/>
        </w:rPr>
      </w:pPr>
      <w:r>
        <w:rPr>
          <w:rFonts w:hint="eastAsia"/>
        </w:rPr>
        <w:t>投标人代表签字：</w:t>
      </w:r>
    </w:p>
    <w:p>
      <w:pPr>
        <w:spacing w:before="62"/>
        <w:ind w:right="88"/>
        <w:jc w:val="right"/>
        <w:rPr>
          <w:rFonts w:ascii="宋体" w:hAnsi="宋体" w:cs="宋体"/>
          <w:color w:val="000000"/>
        </w:rPr>
      </w:pPr>
      <w:r>
        <w:rPr>
          <w:rFonts w:ascii="宋体" w:hAnsi="宋体" w:cs="宋体"/>
          <w:color w:val="000000"/>
        </w:rPr>
        <w:t>价格单位：元</w:t>
      </w:r>
    </w:p>
    <w:p>
      <w:pPr>
        <w:rPr>
          <w:rFonts w:ascii="宋体" w:hAnsi="宋体"/>
          <w:sz w:val="24"/>
        </w:rPr>
      </w:pPr>
    </w:p>
    <w:tbl>
      <w:tblPr>
        <w:tblStyle w:val="4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20" w:type="dxa"/>
            <w:shd w:val="clear" w:color="auto" w:fill="auto"/>
            <w:vAlign w:val="center"/>
          </w:tcPr>
          <w:p>
            <w:pPr>
              <w:jc w:val="center"/>
              <w:rPr>
                <w:rFonts w:ascii="宋体" w:hAnsi="宋体"/>
                <w:b/>
                <w:sz w:val="24"/>
              </w:rPr>
            </w:pPr>
            <w:r>
              <w:rPr>
                <w:rFonts w:hint="eastAsia" w:ascii="宋体" w:hAnsi="宋体"/>
                <w:b/>
                <w:sz w:val="24"/>
              </w:rPr>
              <w:t>序号</w:t>
            </w:r>
          </w:p>
        </w:tc>
        <w:tc>
          <w:tcPr>
            <w:tcW w:w="1420" w:type="dxa"/>
            <w:shd w:val="clear" w:color="auto" w:fill="auto"/>
            <w:vAlign w:val="center"/>
          </w:tcPr>
          <w:p>
            <w:pPr>
              <w:jc w:val="center"/>
              <w:rPr>
                <w:rFonts w:ascii="宋体" w:hAnsi="宋体"/>
                <w:b/>
                <w:sz w:val="24"/>
              </w:rPr>
            </w:pPr>
            <w:r>
              <w:rPr>
                <w:rFonts w:hint="eastAsia" w:ascii="宋体" w:hAnsi="宋体"/>
                <w:b/>
                <w:sz w:val="24"/>
              </w:rPr>
              <w:t>产品</w:t>
            </w:r>
          </w:p>
        </w:tc>
        <w:tc>
          <w:tcPr>
            <w:tcW w:w="1420" w:type="dxa"/>
            <w:shd w:val="clear" w:color="auto" w:fill="auto"/>
            <w:vAlign w:val="center"/>
          </w:tcPr>
          <w:p>
            <w:pPr>
              <w:jc w:val="center"/>
              <w:rPr>
                <w:rFonts w:ascii="宋体" w:hAnsi="宋体"/>
                <w:b/>
                <w:sz w:val="24"/>
              </w:rPr>
            </w:pPr>
            <w:r>
              <w:rPr>
                <w:rFonts w:hint="eastAsia" w:ascii="宋体" w:hAnsi="宋体"/>
                <w:b/>
                <w:sz w:val="24"/>
              </w:rPr>
              <w:t>单价</w:t>
            </w:r>
          </w:p>
        </w:tc>
        <w:tc>
          <w:tcPr>
            <w:tcW w:w="1420" w:type="dxa"/>
            <w:shd w:val="clear" w:color="auto" w:fill="auto"/>
            <w:vAlign w:val="center"/>
          </w:tcPr>
          <w:p>
            <w:pPr>
              <w:jc w:val="center"/>
              <w:rPr>
                <w:rFonts w:ascii="宋体" w:hAnsi="宋体"/>
                <w:b/>
                <w:sz w:val="24"/>
              </w:rPr>
            </w:pPr>
            <w:r>
              <w:rPr>
                <w:rFonts w:hint="eastAsia" w:ascii="宋体" w:hAnsi="宋体"/>
                <w:b/>
                <w:sz w:val="24"/>
              </w:rPr>
              <w:t>数量</w:t>
            </w:r>
          </w:p>
        </w:tc>
        <w:tc>
          <w:tcPr>
            <w:tcW w:w="1421" w:type="dxa"/>
            <w:shd w:val="clear" w:color="auto" w:fill="auto"/>
            <w:vAlign w:val="center"/>
          </w:tcPr>
          <w:p>
            <w:pPr>
              <w:jc w:val="center"/>
              <w:rPr>
                <w:rFonts w:ascii="宋体" w:hAnsi="宋体"/>
                <w:b/>
                <w:sz w:val="24"/>
              </w:rPr>
            </w:pPr>
            <w:r>
              <w:rPr>
                <w:rFonts w:hint="eastAsia" w:ascii="宋体" w:hAnsi="宋体"/>
                <w:b/>
                <w:sz w:val="24"/>
              </w:rPr>
              <w:t>总价</w:t>
            </w:r>
          </w:p>
        </w:tc>
        <w:tc>
          <w:tcPr>
            <w:tcW w:w="1421" w:type="dxa"/>
            <w:shd w:val="clear" w:color="auto" w:fill="auto"/>
            <w:vAlign w:val="center"/>
          </w:tcPr>
          <w:p>
            <w:pPr>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420" w:type="dxa"/>
            <w:shd w:val="clear" w:color="auto" w:fill="auto"/>
            <w:vAlign w:val="center"/>
          </w:tcPr>
          <w:p>
            <w:pPr>
              <w:jc w:val="center"/>
              <w:rPr>
                <w:rFonts w:ascii="宋体" w:hAnsi="宋体"/>
                <w:sz w:val="24"/>
              </w:rPr>
            </w:pPr>
            <w:r>
              <w:rPr>
                <w:rFonts w:hint="eastAsia" w:ascii="宋体" w:hAnsi="宋体"/>
                <w:sz w:val="24"/>
              </w:rPr>
              <w:t>1</w:t>
            </w:r>
          </w:p>
        </w:tc>
        <w:tc>
          <w:tcPr>
            <w:tcW w:w="1420" w:type="dxa"/>
            <w:shd w:val="clear" w:color="auto" w:fill="auto"/>
            <w:vAlign w:val="center"/>
          </w:tcPr>
          <w:p>
            <w:pPr>
              <w:rPr>
                <w:rFonts w:ascii="宋体" w:hAnsi="宋体"/>
                <w:sz w:val="24"/>
              </w:rPr>
            </w:pPr>
          </w:p>
        </w:tc>
        <w:tc>
          <w:tcPr>
            <w:tcW w:w="1420" w:type="dxa"/>
            <w:shd w:val="clear" w:color="auto" w:fill="auto"/>
            <w:vAlign w:val="center"/>
          </w:tcPr>
          <w:p>
            <w:pPr>
              <w:rPr>
                <w:rFonts w:ascii="宋体" w:hAnsi="宋体"/>
                <w:sz w:val="24"/>
              </w:rPr>
            </w:pPr>
          </w:p>
        </w:tc>
        <w:tc>
          <w:tcPr>
            <w:tcW w:w="1420" w:type="dxa"/>
            <w:shd w:val="clear" w:color="auto" w:fill="auto"/>
            <w:vAlign w:val="center"/>
          </w:tcPr>
          <w:p>
            <w:pPr>
              <w:rPr>
                <w:rFonts w:ascii="宋体" w:hAnsi="宋体"/>
                <w:sz w:val="24"/>
              </w:rPr>
            </w:pPr>
          </w:p>
        </w:tc>
        <w:tc>
          <w:tcPr>
            <w:tcW w:w="1421" w:type="dxa"/>
            <w:shd w:val="clear" w:color="auto" w:fill="auto"/>
            <w:vAlign w:val="center"/>
          </w:tcPr>
          <w:p>
            <w:pPr>
              <w:rPr>
                <w:rFonts w:ascii="宋体" w:hAnsi="宋体"/>
                <w:sz w:val="24"/>
              </w:rPr>
            </w:pPr>
          </w:p>
        </w:tc>
        <w:tc>
          <w:tcPr>
            <w:tcW w:w="1421" w:type="dxa"/>
            <w:shd w:val="clear" w:color="auto" w:fill="auto"/>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420" w:type="dxa"/>
            <w:shd w:val="clear" w:color="auto" w:fill="auto"/>
            <w:vAlign w:val="center"/>
          </w:tcPr>
          <w:p>
            <w:pPr>
              <w:jc w:val="center"/>
              <w:rPr>
                <w:rFonts w:ascii="宋体" w:hAnsi="宋体"/>
                <w:sz w:val="24"/>
              </w:rPr>
            </w:pPr>
            <w:r>
              <w:rPr>
                <w:rFonts w:hint="eastAsia" w:ascii="宋体" w:hAnsi="宋体"/>
                <w:sz w:val="24"/>
              </w:rPr>
              <w:t>2</w:t>
            </w:r>
          </w:p>
        </w:tc>
        <w:tc>
          <w:tcPr>
            <w:tcW w:w="1420" w:type="dxa"/>
            <w:shd w:val="clear" w:color="auto" w:fill="auto"/>
            <w:vAlign w:val="center"/>
          </w:tcPr>
          <w:p>
            <w:pPr>
              <w:rPr>
                <w:rFonts w:ascii="宋体" w:hAnsi="宋体"/>
                <w:sz w:val="24"/>
              </w:rPr>
            </w:pPr>
          </w:p>
        </w:tc>
        <w:tc>
          <w:tcPr>
            <w:tcW w:w="1420" w:type="dxa"/>
            <w:shd w:val="clear" w:color="auto" w:fill="auto"/>
            <w:vAlign w:val="center"/>
          </w:tcPr>
          <w:p>
            <w:pPr>
              <w:rPr>
                <w:rFonts w:ascii="宋体" w:hAnsi="宋体"/>
                <w:sz w:val="24"/>
              </w:rPr>
            </w:pPr>
          </w:p>
        </w:tc>
        <w:tc>
          <w:tcPr>
            <w:tcW w:w="1420" w:type="dxa"/>
            <w:shd w:val="clear" w:color="auto" w:fill="auto"/>
            <w:vAlign w:val="center"/>
          </w:tcPr>
          <w:p>
            <w:pPr>
              <w:rPr>
                <w:rFonts w:ascii="宋体" w:hAnsi="宋体"/>
                <w:sz w:val="24"/>
              </w:rPr>
            </w:pPr>
          </w:p>
        </w:tc>
        <w:tc>
          <w:tcPr>
            <w:tcW w:w="1421" w:type="dxa"/>
            <w:shd w:val="clear" w:color="auto" w:fill="auto"/>
            <w:vAlign w:val="center"/>
          </w:tcPr>
          <w:p>
            <w:pPr>
              <w:rPr>
                <w:rFonts w:ascii="宋体" w:hAnsi="宋体"/>
                <w:sz w:val="24"/>
              </w:rPr>
            </w:pPr>
          </w:p>
        </w:tc>
        <w:tc>
          <w:tcPr>
            <w:tcW w:w="1421" w:type="dxa"/>
            <w:shd w:val="clear" w:color="auto" w:fill="auto"/>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20" w:type="dxa"/>
            <w:shd w:val="clear" w:color="auto" w:fill="auto"/>
            <w:vAlign w:val="center"/>
          </w:tcPr>
          <w:p>
            <w:pPr>
              <w:jc w:val="center"/>
              <w:rPr>
                <w:rFonts w:ascii="宋体" w:hAnsi="宋体"/>
                <w:sz w:val="24"/>
              </w:rPr>
            </w:pPr>
            <w:r>
              <w:rPr>
                <w:rFonts w:hint="eastAsia" w:ascii="宋体" w:hAnsi="宋体"/>
                <w:sz w:val="24"/>
              </w:rPr>
              <w:t>……</w:t>
            </w:r>
          </w:p>
        </w:tc>
        <w:tc>
          <w:tcPr>
            <w:tcW w:w="1420" w:type="dxa"/>
            <w:shd w:val="clear" w:color="auto" w:fill="auto"/>
            <w:vAlign w:val="center"/>
          </w:tcPr>
          <w:p>
            <w:pPr>
              <w:rPr>
                <w:rFonts w:ascii="宋体" w:hAnsi="宋体"/>
                <w:sz w:val="24"/>
              </w:rPr>
            </w:pPr>
          </w:p>
        </w:tc>
        <w:tc>
          <w:tcPr>
            <w:tcW w:w="1420" w:type="dxa"/>
            <w:shd w:val="clear" w:color="auto" w:fill="auto"/>
            <w:vAlign w:val="center"/>
          </w:tcPr>
          <w:p>
            <w:pPr>
              <w:rPr>
                <w:rFonts w:ascii="宋体" w:hAnsi="宋体"/>
                <w:sz w:val="24"/>
              </w:rPr>
            </w:pPr>
          </w:p>
        </w:tc>
        <w:tc>
          <w:tcPr>
            <w:tcW w:w="1420" w:type="dxa"/>
            <w:shd w:val="clear" w:color="auto" w:fill="auto"/>
            <w:vAlign w:val="center"/>
          </w:tcPr>
          <w:p>
            <w:pPr>
              <w:rPr>
                <w:rFonts w:ascii="宋体" w:hAnsi="宋体"/>
                <w:sz w:val="24"/>
              </w:rPr>
            </w:pPr>
          </w:p>
        </w:tc>
        <w:tc>
          <w:tcPr>
            <w:tcW w:w="1421" w:type="dxa"/>
            <w:shd w:val="clear" w:color="auto" w:fill="auto"/>
            <w:vAlign w:val="center"/>
          </w:tcPr>
          <w:p>
            <w:pPr>
              <w:rPr>
                <w:rFonts w:ascii="宋体" w:hAnsi="宋体"/>
                <w:sz w:val="24"/>
              </w:rPr>
            </w:pPr>
          </w:p>
        </w:tc>
        <w:tc>
          <w:tcPr>
            <w:tcW w:w="1421" w:type="dxa"/>
            <w:shd w:val="clear" w:color="auto" w:fill="auto"/>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840" w:type="dxa"/>
            <w:gridSpan w:val="2"/>
            <w:shd w:val="clear" w:color="auto" w:fill="auto"/>
            <w:vAlign w:val="center"/>
          </w:tcPr>
          <w:p>
            <w:pPr>
              <w:jc w:val="right"/>
              <w:rPr>
                <w:rFonts w:ascii="宋体" w:hAnsi="宋体"/>
                <w:sz w:val="24"/>
              </w:rPr>
            </w:pPr>
            <w:r>
              <w:rPr>
                <w:rFonts w:hint="eastAsia" w:ascii="宋体" w:hAnsi="宋体"/>
                <w:sz w:val="24"/>
              </w:rPr>
              <w:t>总价：</w:t>
            </w:r>
          </w:p>
        </w:tc>
        <w:tc>
          <w:tcPr>
            <w:tcW w:w="5682" w:type="dxa"/>
            <w:gridSpan w:val="4"/>
            <w:shd w:val="clear" w:color="auto" w:fill="auto"/>
            <w:vAlign w:val="center"/>
          </w:tcPr>
          <w:p>
            <w:pPr>
              <w:rPr>
                <w:rFonts w:ascii="宋体" w:hAnsi="宋体"/>
                <w:sz w:val="24"/>
              </w:rPr>
            </w:pPr>
            <w:r>
              <w:rPr>
                <w:rFonts w:hint="eastAsia" w:ascii="宋体" w:hAnsi="宋体"/>
                <w:sz w:val="24"/>
              </w:rPr>
              <w:t>小写：</w:t>
            </w:r>
          </w:p>
          <w:p>
            <w:pPr>
              <w:rPr>
                <w:rFonts w:ascii="宋体" w:hAnsi="宋体"/>
                <w:sz w:val="24"/>
              </w:rPr>
            </w:pPr>
            <w:r>
              <w:rPr>
                <w:rFonts w:hint="eastAsia" w:ascii="宋体" w:hAnsi="宋体"/>
                <w:sz w:val="24"/>
              </w:rPr>
              <w:t>大写：</w:t>
            </w:r>
          </w:p>
        </w:tc>
      </w:tr>
    </w:tbl>
    <w:p>
      <w:pPr>
        <w:rPr>
          <w:rFonts w:ascii="宋体" w:hAnsi="宋体"/>
          <w:sz w:val="24"/>
        </w:rPr>
      </w:pPr>
    </w:p>
    <w:p>
      <w:pPr>
        <w:ind w:firstLine="480"/>
        <w:rPr>
          <w:rFonts w:ascii="宋体" w:hAnsi="宋体"/>
          <w:sz w:val="24"/>
        </w:rPr>
      </w:pPr>
    </w:p>
    <w:p>
      <w:pPr>
        <w:ind w:firstLine="480"/>
        <w:rPr>
          <w:rFonts w:ascii="宋体" w:hAnsi="宋体"/>
          <w:sz w:val="24"/>
        </w:rPr>
      </w:pPr>
    </w:p>
    <w:p>
      <w:pPr>
        <w:ind w:firstLine="480"/>
        <w:rPr>
          <w:rFonts w:ascii="宋体" w:hAnsi="宋体"/>
          <w:sz w:val="24"/>
        </w:rPr>
      </w:pPr>
    </w:p>
    <w:p>
      <w:pPr>
        <w:rPr>
          <w:rFonts w:ascii="黑体" w:eastAsia="黑体"/>
          <w:sz w:val="30"/>
        </w:rPr>
      </w:pPr>
    </w:p>
    <w:p>
      <w:pPr>
        <w:rPr>
          <w:rFonts w:ascii="黑体" w:eastAsia="黑体"/>
          <w:sz w:val="30"/>
        </w:rPr>
      </w:pPr>
    </w:p>
    <w:p>
      <w:pPr>
        <w:rPr>
          <w:rFonts w:ascii="黑体" w:eastAsia="黑体"/>
          <w:sz w:val="30"/>
        </w:rPr>
      </w:pPr>
    </w:p>
    <w:p>
      <w:pPr>
        <w:rPr>
          <w:rFonts w:ascii="黑体" w:eastAsia="黑体"/>
          <w:sz w:val="30"/>
        </w:rPr>
      </w:pPr>
    </w:p>
    <w:p>
      <w:pPr>
        <w:rPr>
          <w:rFonts w:ascii="黑体" w:eastAsia="黑体"/>
          <w:sz w:val="30"/>
        </w:rPr>
      </w:pPr>
    </w:p>
    <w:p>
      <w:pPr>
        <w:rPr>
          <w:rFonts w:eastAsia="黑体"/>
          <w:b/>
          <w:bCs/>
          <w:sz w:val="28"/>
        </w:rPr>
      </w:pPr>
      <w:r>
        <w:rPr>
          <w:rFonts w:hint="eastAsia" w:eastAsia="黑体"/>
          <w:b/>
          <w:bCs/>
          <w:sz w:val="28"/>
        </w:rPr>
        <w:t>附件格式1-</w:t>
      </w:r>
      <w:r>
        <w:rPr>
          <w:rFonts w:eastAsia="黑体"/>
          <w:b/>
          <w:bCs/>
          <w:sz w:val="28"/>
        </w:rPr>
        <w:t>6</w:t>
      </w:r>
      <w:r>
        <w:rPr>
          <w:rFonts w:hint="eastAsia" w:eastAsia="黑体"/>
          <w:b/>
          <w:bCs/>
          <w:sz w:val="28"/>
        </w:rPr>
        <w:t>：商务条款偏离表</w:t>
      </w:r>
    </w:p>
    <w:p>
      <w:pPr>
        <w:rPr>
          <w:rFonts w:ascii="黑体" w:hAnsi="宋体" w:eastAsia="黑体"/>
          <w:sz w:val="30"/>
        </w:rPr>
      </w:pPr>
    </w:p>
    <w:tbl>
      <w:tblPr>
        <w:tblStyle w:val="4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060"/>
        <w:gridCol w:w="108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vAlign w:val="center"/>
          </w:tcPr>
          <w:p>
            <w:pPr>
              <w:jc w:val="center"/>
              <w:rPr>
                <w:rFonts w:ascii="宋体" w:hAnsi="宋体"/>
                <w:sz w:val="24"/>
              </w:rPr>
            </w:pPr>
            <w:r>
              <w:rPr>
                <w:rFonts w:hint="eastAsia" w:ascii="宋体" w:hAnsi="宋体"/>
                <w:sz w:val="24"/>
              </w:rPr>
              <w:t>序号</w:t>
            </w:r>
          </w:p>
        </w:tc>
        <w:tc>
          <w:tcPr>
            <w:tcW w:w="4140" w:type="dxa"/>
            <w:gridSpan w:val="2"/>
            <w:vAlign w:val="center"/>
          </w:tcPr>
          <w:p>
            <w:pPr>
              <w:jc w:val="center"/>
              <w:rPr>
                <w:rFonts w:ascii="宋体" w:hAnsi="宋体"/>
                <w:sz w:val="24"/>
              </w:rPr>
            </w:pPr>
            <w:r>
              <w:rPr>
                <w:rFonts w:hint="eastAsia" w:ascii="宋体" w:hAnsi="宋体"/>
                <w:sz w:val="24"/>
              </w:rPr>
              <w:t>招标文件条款</w:t>
            </w:r>
          </w:p>
        </w:tc>
        <w:tc>
          <w:tcPr>
            <w:tcW w:w="3554" w:type="dxa"/>
            <w:gridSpan w:val="2"/>
            <w:vAlign w:val="center"/>
          </w:tcPr>
          <w:p>
            <w:pPr>
              <w:jc w:val="center"/>
              <w:rPr>
                <w:rFonts w:ascii="宋体" w:hAnsi="宋体"/>
                <w:sz w:val="24"/>
              </w:rPr>
            </w:pPr>
            <w:r>
              <w:rPr>
                <w:rFonts w:hint="eastAsia" w:ascii="宋体" w:hAnsi="宋体"/>
                <w:sz w:val="24"/>
              </w:rPr>
              <w:t>投标书条款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vAlign w:val="center"/>
          </w:tcPr>
          <w:p>
            <w:pPr>
              <w:rPr>
                <w:rFonts w:ascii="宋体" w:hAnsi="宋体"/>
                <w:sz w:val="24"/>
              </w:rPr>
            </w:pPr>
          </w:p>
        </w:tc>
        <w:tc>
          <w:tcPr>
            <w:tcW w:w="1080" w:type="dxa"/>
            <w:vAlign w:val="center"/>
          </w:tcPr>
          <w:p>
            <w:pPr>
              <w:jc w:val="center"/>
              <w:rPr>
                <w:rFonts w:ascii="宋体" w:hAnsi="宋体"/>
                <w:sz w:val="24"/>
              </w:rPr>
            </w:pPr>
            <w:r>
              <w:rPr>
                <w:rFonts w:hint="eastAsia" w:ascii="宋体" w:hAnsi="宋体"/>
                <w:sz w:val="24"/>
              </w:rPr>
              <w:t>条款号</w:t>
            </w:r>
          </w:p>
        </w:tc>
        <w:tc>
          <w:tcPr>
            <w:tcW w:w="3060" w:type="dxa"/>
            <w:vAlign w:val="center"/>
          </w:tcPr>
          <w:p>
            <w:pPr>
              <w:jc w:val="center"/>
              <w:rPr>
                <w:rFonts w:ascii="宋体" w:hAnsi="宋体"/>
                <w:sz w:val="24"/>
              </w:rPr>
            </w:pPr>
            <w:r>
              <w:rPr>
                <w:rFonts w:hint="eastAsia" w:ascii="宋体" w:hAnsi="宋体"/>
                <w:sz w:val="24"/>
              </w:rPr>
              <w:t>条款内容</w:t>
            </w:r>
          </w:p>
        </w:tc>
        <w:tc>
          <w:tcPr>
            <w:tcW w:w="1080" w:type="dxa"/>
            <w:vAlign w:val="center"/>
          </w:tcPr>
          <w:p>
            <w:pPr>
              <w:jc w:val="center"/>
              <w:rPr>
                <w:rFonts w:ascii="宋体" w:hAnsi="宋体"/>
                <w:sz w:val="24"/>
              </w:rPr>
            </w:pPr>
            <w:r>
              <w:rPr>
                <w:rFonts w:hint="eastAsia" w:ascii="宋体" w:hAnsi="宋体"/>
                <w:sz w:val="24"/>
              </w:rPr>
              <w:t>条款号</w:t>
            </w:r>
          </w:p>
        </w:tc>
        <w:tc>
          <w:tcPr>
            <w:tcW w:w="2474" w:type="dxa"/>
            <w:vAlign w:val="center"/>
          </w:tcPr>
          <w:p>
            <w:pPr>
              <w:jc w:val="center"/>
              <w:rPr>
                <w:rFonts w:ascii="宋体" w:hAnsi="宋体"/>
                <w:sz w:val="24"/>
              </w:rPr>
            </w:pPr>
            <w:r>
              <w:rPr>
                <w:rFonts w:hint="eastAsia" w:ascii="宋体" w:hAnsi="宋体"/>
                <w:sz w:val="24"/>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vAlign w:val="center"/>
          </w:tcPr>
          <w:p>
            <w:pPr>
              <w:rPr>
                <w:rFonts w:ascii="宋体" w:hAnsi="宋体"/>
                <w:sz w:val="24"/>
              </w:rPr>
            </w:pP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1080" w:type="dxa"/>
            <w:vAlign w:val="center"/>
          </w:tcPr>
          <w:p>
            <w:pPr>
              <w:rPr>
                <w:rFonts w:ascii="宋体" w:hAnsi="宋体"/>
                <w:sz w:val="24"/>
              </w:rPr>
            </w:pPr>
          </w:p>
        </w:tc>
        <w:tc>
          <w:tcPr>
            <w:tcW w:w="247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vAlign w:val="center"/>
          </w:tcPr>
          <w:p>
            <w:pPr>
              <w:rPr>
                <w:rFonts w:ascii="宋体" w:hAnsi="宋体"/>
                <w:sz w:val="24"/>
              </w:rPr>
            </w:pP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1080" w:type="dxa"/>
            <w:vAlign w:val="center"/>
          </w:tcPr>
          <w:p>
            <w:pPr>
              <w:rPr>
                <w:rFonts w:ascii="宋体" w:hAnsi="宋体"/>
                <w:sz w:val="24"/>
              </w:rPr>
            </w:pPr>
          </w:p>
        </w:tc>
        <w:tc>
          <w:tcPr>
            <w:tcW w:w="247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vAlign w:val="center"/>
          </w:tcPr>
          <w:p>
            <w:pPr>
              <w:rPr>
                <w:rFonts w:ascii="宋体" w:hAnsi="宋体"/>
                <w:sz w:val="24"/>
              </w:rPr>
            </w:pP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1080" w:type="dxa"/>
            <w:vAlign w:val="center"/>
          </w:tcPr>
          <w:p>
            <w:pPr>
              <w:rPr>
                <w:rFonts w:ascii="宋体" w:hAnsi="宋体"/>
                <w:sz w:val="24"/>
              </w:rPr>
            </w:pPr>
          </w:p>
        </w:tc>
        <w:tc>
          <w:tcPr>
            <w:tcW w:w="247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vAlign w:val="center"/>
          </w:tcPr>
          <w:p>
            <w:pPr>
              <w:rPr>
                <w:rFonts w:ascii="宋体" w:hAnsi="宋体"/>
                <w:sz w:val="24"/>
              </w:rPr>
            </w:pP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1080" w:type="dxa"/>
            <w:vAlign w:val="center"/>
          </w:tcPr>
          <w:p>
            <w:pPr>
              <w:rPr>
                <w:rFonts w:ascii="宋体" w:hAnsi="宋体"/>
                <w:sz w:val="24"/>
              </w:rPr>
            </w:pPr>
          </w:p>
        </w:tc>
        <w:tc>
          <w:tcPr>
            <w:tcW w:w="247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vAlign w:val="center"/>
          </w:tcPr>
          <w:p>
            <w:pPr>
              <w:rPr>
                <w:rFonts w:ascii="宋体" w:hAnsi="宋体"/>
                <w:sz w:val="24"/>
              </w:rPr>
            </w:pP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1080" w:type="dxa"/>
            <w:vAlign w:val="center"/>
          </w:tcPr>
          <w:p>
            <w:pPr>
              <w:rPr>
                <w:rFonts w:ascii="宋体" w:hAnsi="宋体"/>
                <w:sz w:val="24"/>
              </w:rPr>
            </w:pPr>
          </w:p>
        </w:tc>
        <w:tc>
          <w:tcPr>
            <w:tcW w:w="247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vAlign w:val="center"/>
          </w:tcPr>
          <w:p>
            <w:pPr>
              <w:rPr>
                <w:rFonts w:ascii="宋体" w:hAnsi="宋体"/>
                <w:sz w:val="24"/>
              </w:rPr>
            </w:pP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1080" w:type="dxa"/>
            <w:vAlign w:val="center"/>
          </w:tcPr>
          <w:p>
            <w:pPr>
              <w:rPr>
                <w:rFonts w:ascii="宋体" w:hAnsi="宋体"/>
                <w:sz w:val="24"/>
              </w:rPr>
            </w:pPr>
          </w:p>
        </w:tc>
        <w:tc>
          <w:tcPr>
            <w:tcW w:w="247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vAlign w:val="center"/>
          </w:tcPr>
          <w:p>
            <w:pPr>
              <w:rPr>
                <w:rFonts w:ascii="宋体" w:hAnsi="宋体"/>
                <w:sz w:val="24"/>
              </w:rPr>
            </w:pP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1080" w:type="dxa"/>
            <w:vAlign w:val="center"/>
          </w:tcPr>
          <w:p>
            <w:pPr>
              <w:rPr>
                <w:rFonts w:ascii="宋体" w:hAnsi="宋体"/>
                <w:sz w:val="24"/>
              </w:rPr>
            </w:pPr>
          </w:p>
        </w:tc>
        <w:tc>
          <w:tcPr>
            <w:tcW w:w="247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vAlign w:val="center"/>
          </w:tcPr>
          <w:p>
            <w:pPr>
              <w:rPr>
                <w:rFonts w:ascii="宋体" w:hAnsi="宋体"/>
                <w:sz w:val="24"/>
              </w:rPr>
            </w:pP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1080" w:type="dxa"/>
            <w:vAlign w:val="center"/>
          </w:tcPr>
          <w:p>
            <w:pPr>
              <w:rPr>
                <w:rFonts w:ascii="宋体" w:hAnsi="宋体"/>
                <w:sz w:val="24"/>
              </w:rPr>
            </w:pPr>
          </w:p>
        </w:tc>
        <w:tc>
          <w:tcPr>
            <w:tcW w:w="247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vAlign w:val="center"/>
          </w:tcPr>
          <w:p>
            <w:pPr>
              <w:rPr>
                <w:rFonts w:ascii="宋体" w:hAnsi="宋体"/>
                <w:sz w:val="24"/>
              </w:rPr>
            </w:pP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1080" w:type="dxa"/>
            <w:vAlign w:val="center"/>
          </w:tcPr>
          <w:p>
            <w:pPr>
              <w:rPr>
                <w:rFonts w:ascii="宋体" w:hAnsi="宋体"/>
                <w:sz w:val="24"/>
              </w:rPr>
            </w:pPr>
          </w:p>
        </w:tc>
        <w:tc>
          <w:tcPr>
            <w:tcW w:w="247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vAlign w:val="center"/>
          </w:tcPr>
          <w:p>
            <w:pPr>
              <w:rPr>
                <w:rFonts w:ascii="宋体" w:hAnsi="宋体"/>
                <w:sz w:val="24"/>
              </w:rPr>
            </w:pP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1080" w:type="dxa"/>
            <w:vAlign w:val="center"/>
          </w:tcPr>
          <w:p>
            <w:pPr>
              <w:rPr>
                <w:rFonts w:ascii="宋体" w:hAnsi="宋体"/>
                <w:sz w:val="24"/>
              </w:rPr>
            </w:pPr>
          </w:p>
        </w:tc>
        <w:tc>
          <w:tcPr>
            <w:tcW w:w="247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vAlign w:val="center"/>
          </w:tcPr>
          <w:p>
            <w:pPr>
              <w:rPr>
                <w:rFonts w:ascii="宋体" w:hAnsi="宋体"/>
                <w:sz w:val="24"/>
              </w:rPr>
            </w:pP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1080" w:type="dxa"/>
            <w:vAlign w:val="center"/>
          </w:tcPr>
          <w:p>
            <w:pPr>
              <w:rPr>
                <w:rFonts w:ascii="宋体" w:hAnsi="宋体"/>
                <w:sz w:val="24"/>
              </w:rPr>
            </w:pPr>
          </w:p>
        </w:tc>
        <w:tc>
          <w:tcPr>
            <w:tcW w:w="247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vAlign w:val="center"/>
          </w:tcPr>
          <w:p>
            <w:pPr>
              <w:rPr>
                <w:rFonts w:ascii="宋体" w:hAnsi="宋体"/>
                <w:sz w:val="24"/>
              </w:rPr>
            </w:pP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1080" w:type="dxa"/>
            <w:vAlign w:val="center"/>
          </w:tcPr>
          <w:p>
            <w:pPr>
              <w:rPr>
                <w:rFonts w:ascii="宋体" w:hAnsi="宋体"/>
                <w:sz w:val="24"/>
              </w:rPr>
            </w:pPr>
          </w:p>
        </w:tc>
        <w:tc>
          <w:tcPr>
            <w:tcW w:w="247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vAlign w:val="center"/>
          </w:tcPr>
          <w:p>
            <w:pPr>
              <w:rPr>
                <w:rFonts w:ascii="宋体" w:hAnsi="宋体"/>
                <w:sz w:val="24"/>
              </w:rPr>
            </w:pP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1080" w:type="dxa"/>
            <w:vAlign w:val="center"/>
          </w:tcPr>
          <w:p>
            <w:pPr>
              <w:rPr>
                <w:rFonts w:ascii="宋体" w:hAnsi="宋体"/>
                <w:sz w:val="24"/>
              </w:rPr>
            </w:pPr>
          </w:p>
        </w:tc>
        <w:tc>
          <w:tcPr>
            <w:tcW w:w="2474" w:type="dxa"/>
            <w:vAlign w:val="center"/>
          </w:tcPr>
          <w:p>
            <w:pPr>
              <w:rPr>
                <w:rFonts w:ascii="宋体" w:hAnsi="宋体"/>
                <w:sz w:val="24"/>
              </w:rPr>
            </w:pPr>
          </w:p>
        </w:tc>
      </w:tr>
    </w:tbl>
    <w:p>
      <w:pPr>
        <w:rPr>
          <w:rFonts w:ascii="宋体" w:hAnsi="宋体"/>
          <w:sz w:val="24"/>
        </w:rPr>
      </w:pPr>
      <w:r>
        <w:rPr>
          <w:rFonts w:hint="eastAsia" w:ascii="宋体" w:hAnsi="宋体"/>
          <w:sz w:val="24"/>
        </w:rPr>
        <w:t>投标人名称：                   投标人代表签字：            日期：</w:t>
      </w:r>
    </w:p>
    <w:p>
      <w:pPr>
        <w:rPr>
          <w:rFonts w:ascii="宋体" w:hAnsi="宋体"/>
          <w:sz w:val="24"/>
        </w:rPr>
      </w:pPr>
      <w:r>
        <w:rPr>
          <w:rFonts w:hint="eastAsia" w:ascii="宋体" w:hAnsi="宋体"/>
          <w:sz w:val="24"/>
        </w:rPr>
        <w:t>注：为避免歧义，无偏离也应要提报该表，并注明“无”字。如无该表则即使在其它部分已反映，将也被视为“无偏离”。</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eastAsia="黑体"/>
          <w:b/>
          <w:bCs/>
          <w:sz w:val="28"/>
        </w:rPr>
      </w:pPr>
      <w:r>
        <w:rPr>
          <w:rFonts w:hint="eastAsia" w:eastAsia="黑体"/>
          <w:b/>
          <w:bCs/>
          <w:sz w:val="28"/>
        </w:rPr>
        <w:t>附件格式1-</w:t>
      </w:r>
      <w:r>
        <w:rPr>
          <w:rFonts w:eastAsia="黑体"/>
          <w:b/>
          <w:bCs/>
          <w:sz w:val="28"/>
        </w:rPr>
        <w:t>7</w:t>
      </w:r>
      <w:r>
        <w:rPr>
          <w:rFonts w:hint="eastAsia" w:eastAsia="黑体"/>
          <w:b/>
          <w:bCs/>
          <w:sz w:val="28"/>
        </w:rPr>
        <w:t>：技术规格、参数偏离表</w:t>
      </w:r>
    </w:p>
    <w:p>
      <w:pPr>
        <w:rPr>
          <w:rFonts w:ascii="宋体" w:hAnsi="宋体"/>
          <w:sz w:val="24"/>
        </w:rPr>
      </w:pPr>
    </w:p>
    <w:tbl>
      <w:tblPr>
        <w:tblStyle w:val="4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2891"/>
        <w:gridCol w:w="1110"/>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vAlign w:val="center"/>
          </w:tcPr>
          <w:p>
            <w:pPr>
              <w:jc w:val="center"/>
              <w:rPr>
                <w:rFonts w:ascii="宋体" w:hAnsi="宋体"/>
                <w:sz w:val="24"/>
              </w:rPr>
            </w:pPr>
            <w:r>
              <w:rPr>
                <w:rFonts w:hint="eastAsia" w:ascii="宋体" w:hAnsi="宋体"/>
                <w:sz w:val="24"/>
              </w:rPr>
              <w:t>序号</w:t>
            </w:r>
          </w:p>
        </w:tc>
        <w:tc>
          <w:tcPr>
            <w:tcW w:w="3971" w:type="dxa"/>
            <w:gridSpan w:val="2"/>
            <w:vAlign w:val="center"/>
          </w:tcPr>
          <w:p>
            <w:pPr>
              <w:jc w:val="center"/>
              <w:rPr>
                <w:rFonts w:ascii="宋体" w:hAnsi="宋体"/>
                <w:sz w:val="24"/>
              </w:rPr>
            </w:pPr>
            <w:r>
              <w:rPr>
                <w:rFonts w:hint="eastAsia" w:ascii="宋体" w:hAnsi="宋体"/>
                <w:sz w:val="24"/>
              </w:rPr>
              <w:t>招标文件条款</w:t>
            </w:r>
          </w:p>
        </w:tc>
        <w:tc>
          <w:tcPr>
            <w:tcW w:w="3723" w:type="dxa"/>
            <w:gridSpan w:val="2"/>
            <w:vAlign w:val="center"/>
          </w:tcPr>
          <w:p>
            <w:pPr>
              <w:jc w:val="center"/>
              <w:rPr>
                <w:rFonts w:ascii="宋体" w:hAnsi="宋体"/>
                <w:sz w:val="24"/>
              </w:rPr>
            </w:pPr>
            <w:r>
              <w:rPr>
                <w:rFonts w:hint="eastAsia" w:ascii="宋体" w:hAnsi="宋体"/>
                <w:sz w:val="24"/>
              </w:rPr>
              <w:t>投标书条款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vAlign w:val="center"/>
          </w:tcPr>
          <w:p>
            <w:pPr>
              <w:rPr>
                <w:rFonts w:ascii="宋体" w:hAnsi="宋体"/>
                <w:sz w:val="24"/>
              </w:rPr>
            </w:pPr>
          </w:p>
        </w:tc>
        <w:tc>
          <w:tcPr>
            <w:tcW w:w="1080" w:type="dxa"/>
            <w:vAlign w:val="center"/>
          </w:tcPr>
          <w:p>
            <w:pPr>
              <w:jc w:val="center"/>
              <w:rPr>
                <w:rFonts w:ascii="宋体" w:hAnsi="宋体"/>
                <w:sz w:val="24"/>
              </w:rPr>
            </w:pPr>
            <w:r>
              <w:rPr>
                <w:rFonts w:hint="eastAsia" w:ascii="宋体" w:hAnsi="宋体"/>
                <w:sz w:val="24"/>
              </w:rPr>
              <w:t>条款号</w:t>
            </w:r>
          </w:p>
        </w:tc>
        <w:tc>
          <w:tcPr>
            <w:tcW w:w="2891" w:type="dxa"/>
            <w:vAlign w:val="center"/>
          </w:tcPr>
          <w:p>
            <w:pPr>
              <w:jc w:val="center"/>
              <w:rPr>
                <w:rFonts w:ascii="宋体" w:hAnsi="宋体"/>
                <w:sz w:val="24"/>
              </w:rPr>
            </w:pPr>
            <w:r>
              <w:rPr>
                <w:rFonts w:hint="eastAsia" w:ascii="宋体" w:hAnsi="宋体"/>
                <w:sz w:val="24"/>
              </w:rPr>
              <w:t>条款内容</w:t>
            </w:r>
          </w:p>
        </w:tc>
        <w:tc>
          <w:tcPr>
            <w:tcW w:w="1110" w:type="dxa"/>
            <w:vAlign w:val="center"/>
          </w:tcPr>
          <w:p>
            <w:pPr>
              <w:jc w:val="center"/>
              <w:rPr>
                <w:rFonts w:ascii="宋体" w:hAnsi="宋体"/>
                <w:sz w:val="24"/>
              </w:rPr>
            </w:pPr>
            <w:r>
              <w:rPr>
                <w:rFonts w:hint="eastAsia" w:ascii="宋体" w:hAnsi="宋体"/>
                <w:sz w:val="24"/>
              </w:rPr>
              <w:t>条款号</w:t>
            </w:r>
          </w:p>
        </w:tc>
        <w:tc>
          <w:tcPr>
            <w:tcW w:w="2613" w:type="dxa"/>
            <w:vAlign w:val="center"/>
          </w:tcPr>
          <w:p>
            <w:pPr>
              <w:jc w:val="center"/>
              <w:rPr>
                <w:rFonts w:ascii="宋体" w:hAnsi="宋体"/>
                <w:sz w:val="24"/>
              </w:rPr>
            </w:pPr>
            <w:r>
              <w:rPr>
                <w:rFonts w:hint="eastAsia" w:ascii="宋体" w:hAnsi="宋体"/>
                <w:sz w:val="24"/>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vAlign w:val="center"/>
          </w:tcPr>
          <w:p>
            <w:pPr>
              <w:rPr>
                <w:rFonts w:ascii="宋体" w:hAnsi="宋体"/>
                <w:sz w:val="24"/>
              </w:rPr>
            </w:pPr>
          </w:p>
        </w:tc>
        <w:tc>
          <w:tcPr>
            <w:tcW w:w="1080" w:type="dxa"/>
            <w:vAlign w:val="center"/>
          </w:tcPr>
          <w:p>
            <w:pPr>
              <w:rPr>
                <w:rFonts w:ascii="宋体" w:hAnsi="宋体"/>
                <w:sz w:val="24"/>
              </w:rPr>
            </w:pPr>
          </w:p>
        </w:tc>
        <w:tc>
          <w:tcPr>
            <w:tcW w:w="2891" w:type="dxa"/>
            <w:vAlign w:val="center"/>
          </w:tcPr>
          <w:p>
            <w:pPr>
              <w:rPr>
                <w:rFonts w:ascii="宋体" w:hAnsi="宋体"/>
                <w:sz w:val="24"/>
              </w:rPr>
            </w:pPr>
          </w:p>
        </w:tc>
        <w:tc>
          <w:tcPr>
            <w:tcW w:w="1110" w:type="dxa"/>
            <w:vAlign w:val="center"/>
          </w:tcPr>
          <w:p>
            <w:pPr>
              <w:rPr>
                <w:rFonts w:ascii="宋体" w:hAnsi="宋体"/>
                <w:sz w:val="24"/>
              </w:rPr>
            </w:pPr>
          </w:p>
        </w:tc>
        <w:tc>
          <w:tcPr>
            <w:tcW w:w="2613"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vAlign w:val="center"/>
          </w:tcPr>
          <w:p>
            <w:pPr>
              <w:rPr>
                <w:rFonts w:ascii="宋体" w:hAnsi="宋体"/>
                <w:sz w:val="24"/>
              </w:rPr>
            </w:pPr>
          </w:p>
        </w:tc>
        <w:tc>
          <w:tcPr>
            <w:tcW w:w="1080" w:type="dxa"/>
            <w:vAlign w:val="center"/>
          </w:tcPr>
          <w:p>
            <w:pPr>
              <w:rPr>
                <w:rFonts w:ascii="宋体" w:hAnsi="宋体"/>
                <w:sz w:val="24"/>
              </w:rPr>
            </w:pPr>
          </w:p>
        </w:tc>
        <w:tc>
          <w:tcPr>
            <w:tcW w:w="2891" w:type="dxa"/>
            <w:vAlign w:val="center"/>
          </w:tcPr>
          <w:p>
            <w:pPr>
              <w:rPr>
                <w:rFonts w:ascii="宋体" w:hAnsi="宋体"/>
                <w:sz w:val="24"/>
              </w:rPr>
            </w:pPr>
          </w:p>
        </w:tc>
        <w:tc>
          <w:tcPr>
            <w:tcW w:w="1110" w:type="dxa"/>
            <w:vAlign w:val="center"/>
          </w:tcPr>
          <w:p>
            <w:pPr>
              <w:rPr>
                <w:rFonts w:ascii="宋体" w:hAnsi="宋体"/>
                <w:sz w:val="24"/>
              </w:rPr>
            </w:pPr>
          </w:p>
        </w:tc>
        <w:tc>
          <w:tcPr>
            <w:tcW w:w="2613"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vAlign w:val="center"/>
          </w:tcPr>
          <w:p>
            <w:pPr>
              <w:rPr>
                <w:rFonts w:ascii="宋体" w:hAnsi="宋体"/>
                <w:sz w:val="24"/>
              </w:rPr>
            </w:pPr>
          </w:p>
        </w:tc>
        <w:tc>
          <w:tcPr>
            <w:tcW w:w="1080" w:type="dxa"/>
            <w:vAlign w:val="center"/>
          </w:tcPr>
          <w:p>
            <w:pPr>
              <w:rPr>
                <w:rFonts w:ascii="宋体" w:hAnsi="宋体"/>
                <w:sz w:val="24"/>
              </w:rPr>
            </w:pPr>
          </w:p>
        </w:tc>
        <w:tc>
          <w:tcPr>
            <w:tcW w:w="2891" w:type="dxa"/>
            <w:vAlign w:val="center"/>
          </w:tcPr>
          <w:p>
            <w:pPr>
              <w:rPr>
                <w:rFonts w:ascii="宋体" w:hAnsi="宋体"/>
                <w:sz w:val="24"/>
              </w:rPr>
            </w:pPr>
          </w:p>
        </w:tc>
        <w:tc>
          <w:tcPr>
            <w:tcW w:w="1110" w:type="dxa"/>
            <w:vAlign w:val="center"/>
          </w:tcPr>
          <w:p>
            <w:pPr>
              <w:rPr>
                <w:rFonts w:ascii="宋体" w:hAnsi="宋体"/>
                <w:sz w:val="24"/>
              </w:rPr>
            </w:pPr>
          </w:p>
        </w:tc>
        <w:tc>
          <w:tcPr>
            <w:tcW w:w="2613"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vAlign w:val="center"/>
          </w:tcPr>
          <w:p>
            <w:pPr>
              <w:rPr>
                <w:rFonts w:ascii="宋体" w:hAnsi="宋体"/>
                <w:sz w:val="24"/>
              </w:rPr>
            </w:pPr>
          </w:p>
        </w:tc>
        <w:tc>
          <w:tcPr>
            <w:tcW w:w="1080" w:type="dxa"/>
            <w:vAlign w:val="center"/>
          </w:tcPr>
          <w:p>
            <w:pPr>
              <w:rPr>
                <w:rFonts w:ascii="宋体" w:hAnsi="宋体"/>
                <w:sz w:val="24"/>
              </w:rPr>
            </w:pPr>
          </w:p>
        </w:tc>
        <w:tc>
          <w:tcPr>
            <w:tcW w:w="2891" w:type="dxa"/>
            <w:vAlign w:val="center"/>
          </w:tcPr>
          <w:p>
            <w:pPr>
              <w:rPr>
                <w:rFonts w:ascii="宋体" w:hAnsi="宋体"/>
                <w:sz w:val="24"/>
              </w:rPr>
            </w:pPr>
          </w:p>
        </w:tc>
        <w:tc>
          <w:tcPr>
            <w:tcW w:w="1110" w:type="dxa"/>
            <w:vAlign w:val="center"/>
          </w:tcPr>
          <w:p>
            <w:pPr>
              <w:rPr>
                <w:rFonts w:ascii="宋体" w:hAnsi="宋体"/>
                <w:sz w:val="24"/>
              </w:rPr>
            </w:pPr>
          </w:p>
        </w:tc>
        <w:tc>
          <w:tcPr>
            <w:tcW w:w="2613"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vAlign w:val="center"/>
          </w:tcPr>
          <w:p>
            <w:pPr>
              <w:rPr>
                <w:rFonts w:ascii="宋体" w:hAnsi="宋体"/>
                <w:sz w:val="24"/>
              </w:rPr>
            </w:pPr>
          </w:p>
        </w:tc>
        <w:tc>
          <w:tcPr>
            <w:tcW w:w="1080" w:type="dxa"/>
            <w:vAlign w:val="center"/>
          </w:tcPr>
          <w:p>
            <w:pPr>
              <w:rPr>
                <w:rFonts w:ascii="宋体" w:hAnsi="宋体"/>
                <w:sz w:val="24"/>
              </w:rPr>
            </w:pPr>
          </w:p>
        </w:tc>
        <w:tc>
          <w:tcPr>
            <w:tcW w:w="2891" w:type="dxa"/>
            <w:vAlign w:val="center"/>
          </w:tcPr>
          <w:p>
            <w:pPr>
              <w:rPr>
                <w:rFonts w:ascii="宋体" w:hAnsi="宋体"/>
                <w:sz w:val="24"/>
              </w:rPr>
            </w:pPr>
          </w:p>
        </w:tc>
        <w:tc>
          <w:tcPr>
            <w:tcW w:w="1110" w:type="dxa"/>
            <w:vAlign w:val="center"/>
          </w:tcPr>
          <w:p>
            <w:pPr>
              <w:rPr>
                <w:rFonts w:ascii="宋体" w:hAnsi="宋体"/>
                <w:sz w:val="24"/>
              </w:rPr>
            </w:pPr>
          </w:p>
        </w:tc>
        <w:tc>
          <w:tcPr>
            <w:tcW w:w="2613"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vAlign w:val="center"/>
          </w:tcPr>
          <w:p>
            <w:pPr>
              <w:rPr>
                <w:rFonts w:ascii="宋体" w:hAnsi="宋体"/>
                <w:sz w:val="24"/>
              </w:rPr>
            </w:pPr>
          </w:p>
        </w:tc>
        <w:tc>
          <w:tcPr>
            <w:tcW w:w="1080" w:type="dxa"/>
            <w:vAlign w:val="center"/>
          </w:tcPr>
          <w:p>
            <w:pPr>
              <w:rPr>
                <w:rFonts w:ascii="宋体" w:hAnsi="宋体"/>
                <w:sz w:val="24"/>
              </w:rPr>
            </w:pPr>
          </w:p>
        </w:tc>
        <w:tc>
          <w:tcPr>
            <w:tcW w:w="2891" w:type="dxa"/>
            <w:vAlign w:val="center"/>
          </w:tcPr>
          <w:p>
            <w:pPr>
              <w:rPr>
                <w:rFonts w:ascii="宋体" w:hAnsi="宋体"/>
                <w:sz w:val="24"/>
              </w:rPr>
            </w:pPr>
          </w:p>
        </w:tc>
        <w:tc>
          <w:tcPr>
            <w:tcW w:w="1110" w:type="dxa"/>
            <w:vAlign w:val="center"/>
          </w:tcPr>
          <w:p>
            <w:pPr>
              <w:rPr>
                <w:rFonts w:ascii="宋体" w:hAnsi="宋体"/>
                <w:sz w:val="24"/>
              </w:rPr>
            </w:pPr>
          </w:p>
        </w:tc>
        <w:tc>
          <w:tcPr>
            <w:tcW w:w="2613"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vAlign w:val="center"/>
          </w:tcPr>
          <w:p>
            <w:pPr>
              <w:rPr>
                <w:rFonts w:ascii="宋体" w:hAnsi="宋体"/>
                <w:sz w:val="24"/>
              </w:rPr>
            </w:pPr>
          </w:p>
        </w:tc>
        <w:tc>
          <w:tcPr>
            <w:tcW w:w="1080" w:type="dxa"/>
            <w:vAlign w:val="center"/>
          </w:tcPr>
          <w:p>
            <w:pPr>
              <w:rPr>
                <w:rFonts w:ascii="宋体" w:hAnsi="宋体"/>
                <w:sz w:val="24"/>
              </w:rPr>
            </w:pPr>
          </w:p>
        </w:tc>
        <w:tc>
          <w:tcPr>
            <w:tcW w:w="2891" w:type="dxa"/>
            <w:vAlign w:val="center"/>
          </w:tcPr>
          <w:p>
            <w:pPr>
              <w:rPr>
                <w:rFonts w:ascii="宋体" w:hAnsi="宋体"/>
                <w:sz w:val="24"/>
              </w:rPr>
            </w:pPr>
          </w:p>
        </w:tc>
        <w:tc>
          <w:tcPr>
            <w:tcW w:w="1110" w:type="dxa"/>
            <w:vAlign w:val="center"/>
          </w:tcPr>
          <w:p>
            <w:pPr>
              <w:rPr>
                <w:rFonts w:ascii="宋体" w:hAnsi="宋体"/>
                <w:sz w:val="24"/>
              </w:rPr>
            </w:pPr>
          </w:p>
        </w:tc>
        <w:tc>
          <w:tcPr>
            <w:tcW w:w="2613"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vAlign w:val="center"/>
          </w:tcPr>
          <w:p>
            <w:pPr>
              <w:rPr>
                <w:rFonts w:ascii="宋体" w:hAnsi="宋体"/>
                <w:sz w:val="24"/>
              </w:rPr>
            </w:pPr>
          </w:p>
        </w:tc>
        <w:tc>
          <w:tcPr>
            <w:tcW w:w="1080" w:type="dxa"/>
            <w:vAlign w:val="center"/>
          </w:tcPr>
          <w:p>
            <w:pPr>
              <w:rPr>
                <w:rFonts w:ascii="宋体" w:hAnsi="宋体"/>
                <w:sz w:val="24"/>
              </w:rPr>
            </w:pPr>
          </w:p>
        </w:tc>
        <w:tc>
          <w:tcPr>
            <w:tcW w:w="2891" w:type="dxa"/>
            <w:vAlign w:val="center"/>
          </w:tcPr>
          <w:p>
            <w:pPr>
              <w:rPr>
                <w:rFonts w:ascii="宋体" w:hAnsi="宋体"/>
                <w:sz w:val="24"/>
              </w:rPr>
            </w:pPr>
          </w:p>
        </w:tc>
        <w:tc>
          <w:tcPr>
            <w:tcW w:w="1110" w:type="dxa"/>
            <w:vAlign w:val="center"/>
          </w:tcPr>
          <w:p>
            <w:pPr>
              <w:rPr>
                <w:rFonts w:ascii="宋体" w:hAnsi="宋体"/>
                <w:sz w:val="24"/>
              </w:rPr>
            </w:pPr>
          </w:p>
        </w:tc>
        <w:tc>
          <w:tcPr>
            <w:tcW w:w="2613"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vAlign w:val="center"/>
          </w:tcPr>
          <w:p>
            <w:pPr>
              <w:rPr>
                <w:rFonts w:ascii="宋体" w:hAnsi="宋体"/>
                <w:sz w:val="24"/>
              </w:rPr>
            </w:pPr>
          </w:p>
        </w:tc>
        <w:tc>
          <w:tcPr>
            <w:tcW w:w="1080" w:type="dxa"/>
            <w:vAlign w:val="center"/>
          </w:tcPr>
          <w:p>
            <w:pPr>
              <w:rPr>
                <w:rFonts w:ascii="宋体" w:hAnsi="宋体"/>
                <w:sz w:val="24"/>
              </w:rPr>
            </w:pPr>
          </w:p>
        </w:tc>
        <w:tc>
          <w:tcPr>
            <w:tcW w:w="2891" w:type="dxa"/>
            <w:vAlign w:val="center"/>
          </w:tcPr>
          <w:p>
            <w:pPr>
              <w:rPr>
                <w:rFonts w:ascii="宋体" w:hAnsi="宋体"/>
                <w:sz w:val="24"/>
              </w:rPr>
            </w:pPr>
          </w:p>
        </w:tc>
        <w:tc>
          <w:tcPr>
            <w:tcW w:w="1110" w:type="dxa"/>
            <w:vAlign w:val="center"/>
          </w:tcPr>
          <w:p>
            <w:pPr>
              <w:rPr>
                <w:rFonts w:ascii="宋体" w:hAnsi="宋体"/>
                <w:sz w:val="24"/>
              </w:rPr>
            </w:pPr>
          </w:p>
        </w:tc>
        <w:tc>
          <w:tcPr>
            <w:tcW w:w="2613"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vAlign w:val="center"/>
          </w:tcPr>
          <w:p>
            <w:pPr>
              <w:rPr>
                <w:rFonts w:ascii="宋体" w:hAnsi="宋体"/>
                <w:sz w:val="24"/>
              </w:rPr>
            </w:pPr>
          </w:p>
        </w:tc>
        <w:tc>
          <w:tcPr>
            <w:tcW w:w="1080" w:type="dxa"/>
            <w:vAlign w:val="center"/>
          </w:tcPr>
          <w:p>
            <w:pPr>
              <w:rPr>
                <w:rFonts w:ascii="宋体" w:hAnsi="宋体"/>
                <w:sz w:val="24"/>
              </w:rPr>
            </w:pPr>
          </w:p>
        </w:tc>
        <w:tc>
          <w:tcPr>
            <w:tcW w:w="2891" w:type="dxa"/>
            <w:vAlign w:val="center"/>
          </w:tcPr>
          <w:p>
            <w:pPr>
              <w:rPr>
                <w:rFonts w:ascii="宋体" w:hAnsi="宋体"/>
                <w:sz w:val="24"/>
              </w:rPr>
            </w:pPr>
          </w:p>
        </w:tc>
        <w:tc>
          <w:tcPr>
            <w:tcW w:w="1110" w:type="dxa"/>
            <w:vAlign w:val="center"/>
          </w:tcPr>
          <w:p>
            <w:pPr>
              <w:rPr>
                <w:rFonts w:ascii="宋体" w:hAnsi="宋体"/>
                <w:sz w:val="24"/>
              </w:rPr>
            </w:pPr>
          </w:p>
        </w:tc>
        <w:tc>
          <w:tcPr>
            <w:tcW w:w="2613"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vAlign w:val="center"/>
          </w:tcPr>
          <w:p>
            <w:pPr>
              <w:rPr>
                <w:rFonts w:ascii="宋体" w:hAnsi="宋体"/>
                <w:sz w:val="24"/>
              </w:rPr>
            </w:pPr>
          </w:p>
        </w:tc>
        <w:tc>
          <w:tcPr>
            <w:tcW w:w="1080" w:type="dxa"/>
            <w:vAlign w:val="center"/>
          </w:tcPr>
          <w:p>
            <w:pPr>
              <w:rPr>
                <w:rFonts w:ascii="宋体" w:hAnsi="宋体"/>
                <w:sz w:val="24"/>
              </w:rPr>
            </w:pPr>
          </w:p>
        </w:tc>
        <w:tc>
          <w:tcPr>
            <w:tcW w:w="2891" w:type="dxa"/>
            <w:vAlign w:val="center"/>
          </w:tcPr>
          <w:p>
            <w:pPr>
              <w:rPr>
                <w:rFonts w:ascii="宋体" w:hAnsi="宋体"/>
                <w:sz w:val="24"/>
              </w:rPr>
            </w:pPr>
          </w:p>
        </w:tc>
        <w:tc>
          <w:tcPr>
            <w:tcW w:w="1110" w:type="dxa"/>
            <w:vAlign w:val="center"/>
          </w:tcPr>
          <w:p>
            <w:pPr>
              <w:rPr>
                <w:rFonts w:ascii="宋体" w:hAnsi="宋体"/>
                <w:sz w:val="24"/>
              </w:rPr>
            </w:pPr>
          </w:p>
        </w:tc>
        <w:tc>
          <w:tcPr>
            <w:tcW w:w="2613"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vAlign w:val="center"/>
          </w:tcPr>
          <w:p>
            <w:pPr>
              <w:rPr>
                <w:rFonts w:ascii="宋体" w:hAnsi="宋体"/>
                <w:sz w:val="24"/>
              </w:rPr>
            </w:pPr>
          </w:p>
        </w:tc>
        <w:tc>
          <w:tcPr>
            <w:tcW w:w="1080" w:type="dxa"/>
            <w:vAlign w:val="center"/>
          </w:tcPr>
          <w:p>
            <w:pPr>
              <w:rPr>
                <w:rFonts w:ascii="宋体" w:hAnsi="宋体"/>
                <w:sz w:val="24"/>
              </w:rPr>
            </w:pPr>
          </w:p>
        </w:tc>
        <w:tc>
          <w:tcPr>
            <w:tcW w:w="2891" w:type="dxa"/>
            <w:vAlign w:val="center"/>
          </w:tcPr>
          <w:p>
            <w:pPr>
              <w:rPr>
                <w:rFonts w:ascii="宋体" w:hAnsi="宋体"/>
                <w:sz w:val="24"/>
              </w:rPr>
            </w:pPr>
          </w:p>
        </w:tc>
        <w:tc>
          <w:tcPr>
            <w:tcW w:w="1110" w:type="dxa"/>
            <w:vAlign w:val="center"/>
          </w:tcPr>
          <w:p>
            <w:pPr>
              <w:rPr>
                <w:rFonts w:ascii="宋体" w:hAnsi="宋体"/>
                <w:sz w:val="24"/>
              </w:rPr>
            </w:pPr>
          </w:p>
        </w:tc>
        <w:tc>
          <w:tcPr>
            <w:tcW w:w="2613"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vAlign w:val="center"/>
          </w:tcPr>
          <w:p>
            <w:pPr>
              <w:rPr>
                <w:rFonts w:ascii="宋体" w:hAnsi="宋体"/>
                <w:sz w:val="24"/>
              </w:rPr>
            </w:pPr>
          </w:p>
        </w:tc>
        <w:tc>
          <w:tcPr>
            <w:tcW w:w="1080" w:type="dxa"/>
            <w:vAlign w:val="center"/>
          </w:tcPr>
          <w:p>
            <w:pPr>
              <w:rPr>
                <w:rFonts w:ascii="宋体" w:hAnsi="宋体"/>
                <w:sz w:val="24"/>
              </w:rPr>
            </w:pPr>
          </w:p>
        </w:tc>
        <w:tc>
          <w:tcPr>
            <w:tcW w:w="2891" w:type="dxa"/>
            <w:vAlign w:val="center"/>
          </w:tcPr>
          <w:p>
            <w:pPr>
              <w:rPr>
                <w:rFonts w:ascii="宋体" w:hAnsi="宋体"/>
                <w:sz w:val="24"/>
              </w:rPr>
            </w:pPr>
          </w:p>
        </w:tc>
        <w:tc>
          <w:tcPr>
            <w:tcW w:w="1110" w:type="dxa"/>
            <w:vAlign w:val="center"/>
          </w:tcPr>
          <w:p>
            <w:pPr>
              <w:rPr>
                <w:rFonts w:ascii="宋体" w:hAnsi="宋体"/>
                <w:sz w:val="24"/>
              </w:rPr>
            </w:pPr>
          </w:p>
        </w:tc>
        <w:tc>
          <w:tcPr>
            <w:tcW w:w="2613" w:type="dxa"/>
            <w:vAlign w:val="center"/>
          </w:tcPr>
          <w:p>
            <w:pPr>
              <w:rPr>
                <w:rFonts w:ascii="宋体" w:hAnsi="宋体"/>
                <w:sz w:val="24"/>
              </w:rPr>
            </w:pPr>
          </w:p>
        </w:tc>
      </w:tr>
    </w:tbl>
    <w:p>
      <w:pPr>
        <w:rPr>
          <w:rFonts w:ascii="宋体" w:hAnsi="宋体"/>
          <w:sz w:val="24"/>
        </w:rPr>
      </w:pPr>
      <w:r>
        <w:rPr>
          <w:rFonts w:hint="eastAsia" w:ascii="宋体" w:hAnsi="宋体"/>
          <w:sz w:val="24"/>
        </w:rPr>
        <w:t>投标人名称：                   投标人代表签字：            日期：</w:t>
      </w:r>
    </w:p>
    <w:p>
      <w:pPr>
        <w:rPr>
          <w:rFonts w:ascii="宋体" w:hAnsi="宋体"/>
          <w:sz w:val="24"/>
        </w:rPr>
      </w:pPr>
      <w:r>
        <w:rPr>
          <w:rFonts w:hint="eastAsia" w:ascii="宋体" w:hAnsi="宋体"/>
          <w:sz w:val="24"/>
        </w:rPr>
        <w:t>注：为避免歧义，无偏离也应要提报该表，并注明“无”字。如无该表则即使在其它部分已反映，将也被视为“无偏离”。</w:t>
      </w:r>
    </w:p>
    <w:p>
      <w:pPr>
        <w:rPr>
          <w:rFonts w:ascii="宋体" w:hAnsi="宋体"/>
          <w:sz w:val="24"/>
        </w:rPr>
      </w:pPr>
    </w:p>
    <w:p>
      <w:pPr>
        <w:pStyle w:val="26"/>
        <w:spacing w:line="360" w:lineRule="auto"/>
        <w:ind w:left="820" w:hanging="400"/>
        <w:jc w:val="center"/>
      </w:pPr>
    </w:p>
    <w:p>
      <w:pPr>
        <w:ind w:firstLine="480"/>
        <w:rPr>
          <w:rFonts w:ascii="宋体" w:hAnsi="宋体"/>
          <w:sz w:val="24"/>
        </w:rPr>
      </w:pPr>
    </w:p>
    <w:p>
      <w:pPr>
        <w:ind w:firstLine="480"/>
        <w:rPr>
          <w:rFonts w:ascii="宋体" w:hAnsi="宋体"/>
          <w:sz w:val="24"/>
        </w:rPr>
      </w:pPr>
    </w:p>
    <w:p>
      <w:pPr>
        <w:ind w:firstLine="480"/>
        <w:rPr>
          <w:rFonts w:ascii="宋体" w:hAnsi="宋体"/>
          <w:sz w:val="24"/>
        </w:rPr>
      </w:pPr>
    </w:p>
    <w:p>
      <w:pPr>
        <w:rPr>
          <w:rFonts w:eastAsia="黑体"/>
          <w:b/>
          <w:bCs/>
          <w:sz w:val="28"/>
        </w:rPr>
      </w:pPr>
      <w:r>
        <w:rPr>
          <w:rFonts w:hint="eastAsia" w:eastAsia="黑体"/>
          <w:b/>
          <w:bCs/>
          <w:sz w:val="28"/>
        </w:rPr>
        <w:t>附件格式1-</w:t>
      </w:r>
      <w:r>
        <w:rPr>
          <w:rFonts w:eastAsia="黑体"/>
          <w:b/>
          <w:bCs/>
          <w:sz w:val="28"/>
        </w:rPr>
        <w:t>8</w:t>
      </w:r>
      <w:r>
        <w:rPr>
          <w:rFonts w:hint="eastAsia" w:eastAsia="黑体"/>
          <w:b/>
          <w:bCs/>
          <w:sz w:val="28"/>
        </w:rPr>
        <w:t>：项目实施方案</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1、招标文件技术规范书要求完整实施方案、包括项目计划时间节点、人员组成、培训安排、项目具体实施内容等。</w:t>
      </w:r>
    </w:p>
    <w:p>
      <w:pPr>
        <w:spacing w:line="360" w:lineRule="auto"/>
        <w:ind w:firstLine="480" w:firstLineChars="200"/>
        <w:rPr>
          <w:rFonts w:ascii="宋体" w:hAnsi="宋体"/>
          <w:sz w:val="24"/>
        </w:rPr>
      </w:pPr>
      <w:r>
        <w:rPr>
          <w:rFonts w:ascii="宋体" w:hAnsi="宋体"/>
          <w:color w:val="000000"/>
          <w:kern w:val="0"/>
          <w:sz w:val="24"/>
        </w:rPr>
        <w:t>2</w:t>
      </w:r>
      <w:r>
        <w:rPr>
          <w:rFonts w:hint="eastAsia" w:ascii="宋体" w:hAnsi="宋体"/>
          <w:color w:val="000000"/>
          <w:kern w:val="0"/>
          <w:sz w:val="24"/>
        </w:rPr>
        <w:t>、</w:t>
      </w:r>
      <w:r>
        <w:rPr>
          <w:rFonts w:hint="eastAsia" w:ascii="宋体" w:hAnsi="宋体"/>
          <w:color w:val="000000"/>
          <w:kern w:val="0"/>
          <w:sz w:val="24"/>
          <w:lang w:val="zh-CN"/>
        </w:rPr>
        <w:t>实施方案不提供，按无效投标处理。</w:t>
      </w:r>
    </w:p>
    <w:p>
      <w:pPr>
        <w:ind w:left="570"/>
        <w:rPr>
          <w:rFonts w:ascii="宋体" w:hAnsi="宋体"/>
          <w:sz w:val="24"/>
        </w:rPr>
      </w:pPr>
    </w:p>
    <w:p>
      <w:pPr>
        <w:ind w:left="570"/>
        <w:rPr>
          <w:rFonts w:ascii="宋体" w:hAnsi="宋体"/>
          <w:sz w:val="24"/>
        </w:rPr>
      </w:pPr>
    </w:p>
    <w:p>
      <w:pPr>
        <w:ind w:left="570"/>
        <w:rPr>
          <w:rFonts w:ascii="宋体" w:hAnsi="宋体"/>
          <w:sz w:val="24"/>
        </w:rPr>
      </w:pPr>
    </w:p>
    <w:p>
      <w:pPr>
        <w:ind w:left="570"/>
        <w:rPr>
          <w:rFonts w:ascii="宋体" w:hAnsi="宋体"/>
          <w:sz w:val="24"/>
        </w:rPr>
      </w:pPr>
    </w:p>
    <w:p>
      <w:pPr>
        <w:ind w:left="570"/>
        <w:rPr>
          <w:rFonts w:ascii="宋体" w:hAnsi="宋体"/>
          <w:sz w:val="24"/>
        </w:rPr>
      </w:pPr>
    </w:p>
    <w:p>
      <w:pPr>
        <w:ind w:left="570"/>
        <w:rPr>
          <w:rFonts w:ascii="宋体" w:hAnsi="宋体"/>
          <w:sz w:val="24"/>
        </w:rPr>
      </w:pPr>
      <w:r>
        <w:rPr>
          <w:rFonts w:hint="eastAsia" w:ascii="宋体" w:hAnsi="宋体"/>
          <w:sz w:val="24"/>
        </w:rPr>
        <w:t>注：</w:t>
      </w:r>
    </w:p>
    <w:p>
      <w:pPr>
        <w:ind w:left="900"/>
        <w:rPr>
          <w:rFonts w:ascii="宋体" w:hAnsi="宋体"/>
          <w:sz w:val="24"/>
        </w:rPr>
      </w:pPr>
      <w:r>
        <w:rPr>
          <w:rFonts w:hint="eastAsia" w:ascii="宋体" w:hAnsi="宋体"/>
          <w:sz w:val="24"/>
        </w:rPr>
        <w:t>投标人应根据上述内容、要求自行编制</w:t>
      </w:r>
    </w:p>
    <w:p>
      <w:pPr>
        <w:ind w:left="900"/>
        <w:rPr>
          <w:rFonts w:ascii="宋体" w:hAnsi="宋体"/>
          <w:sz w:val="24"/>
        </w:rPr>
      </w:pPr>
    </w:p>
    <w:p>
      <w:pPr>
        <w:ind w:left="900"/>
        <w:rPr>
          <w:rFonts w:ascii="宋体" w:hAnsi="宋体"/>
          <w:sz w:val="24"/>
        </w:rPr>
      </w:pPr>
    </w:p>
    <w:p>
      <w:pPr>
        <w:spacing w:line="520" w:lineRule="exact"/>
        <w:ind w:right="2"/>
        <w:rPr>
          <w:rFonts w:ascii="宋体" w:hAnsi="Courier New"/>
          <w:sz w:val="24"/>
        </w:rPr>
      </w:pPr>
    </w:p>
    <w:p>
      <w:pPr>
        <w:spacing w:line="520" w:lineRule="exact"/>
        <w:ind w:right="2"/>
        <w:rPr>
          <w:rFonts w:ascii="宋体" w:hAnsi="Courier New"/>
          <w:sz w:val="24"/>
        </w:rPr>
      </w:pPr>
    </w:p>
    <w:p>
      <w:pPr>
        <w:spacing w:line="520" w:lineRule="exact"/>
        <w:ind w:right="2"/>
        <w:rPr>
          <w:rFonts w:ascii="宋体" w:hAnsi="Courier New"/>
          <w:sz w:val="24"/>
        </w:rPr>
      </w:pPr>
    </w:p>
    <w:p>
      <w:pPr>
        <w:spacing w:line="520" w:lineRule="exact"/>
        <w:ind w:right="2"/>
        <w:rPr>
          <w:rFonts w:ascii="宋体" w:hAnsi="Courier New"/>
          <w:sz w:val="24"/>
        </w:rPr>
      </w:pPr>
    </w:p>
    <w:p>
      <w:pPr>
        <w:spacing w:line="520" w:lineRule="exact"/>
        <w:ind w:right="2"/>
        <w:rPr>
          <w:rFonts w:ascii="宋体" w:hAnsi="Courier New"/>
          <w:sz w:val="24"/>
        </w:rPr>
      </w:pPr>
    </w:p>
    <w:p>
      <w:pPr>
        <w:spacing w:line="520" w:lineRule="exact"/>
        <w:ind w:right="2"/>
        <w:rPr>
          <w:rFonts w:ascii="宋体" w:hAnsi="Courier New"/>
          <w:sz w:val="24"/>
        </w:rPr>
      </w:pPr>
    </w:p>
    <w:p>
      <w:pPr>
        <w:spacing w:line="520" w:lineRule="exact"/>
        <w:ind w:right="2"/>
        <w:rPr>
          <w:rFonts w:ascii="宋体" w:hAnsi="Courier New"/>
          <w:sz w:val="24"/>
        </w:rPr>
      </w:pPr>
    </w:p>
    <w:p>
      <w:pPr>
        <w:spacing w:line="520" w:lineRule="exact"/>
        <w:ind w:right="2"/>
        <w:rPr>
          <w:rFonts w:ascii="宋体" w:hAnsi="Courier New"/>
          <w:sz w:val="24"/>
        </w:rPr>
      </w:pPr>
    </w:p>
    <w:p>
      <w:pPr>
        <w:spacing w:line="520" w:lineRule="exact"/>
        <w:ind w:right="2"/>
        <w:rPr>
          <w:rFonts w:ascii="宋体" w:hAnsi="Courier New"/>
          <w:sz w:val="24"/>
        </w:rPr>
      </w:pPr>
    </w:p>
    <w:p>
      <w:pPr>
        <w:spacing w:line="520" w:lineRule="exact"/>
        <w:ind w:right="2"/>
        <w:rPr>
          <w:rFonts w:ascii="宋体" w:hAnsi="Courier New"/>
          <w:sz w:val="24"/>
        </w:rPr>
      </w:pPr>
    </w:p>
    <w:p>
      <w:pPr>
        <w:spacing w:line="520" w:lineRule="exact"/>
        <w:ind w:right="2"/>
        <w:rPr>
          <w:rFonts w:ascii="宋体" w:hAnsi="Courier New"/>
          <w:sz w:val="24"/>
        </w:rPr>
      </w:pPr>
    </w:p>
    <w:p>
      <w:pPr>
        <w:spacing w:line="520" w:lineRule="exact"/>
        <w:ind w:right="2"/>
        <w:rPr>
          <w:rFonts w:ascii="宋体" w:hAnsi="Courier New"/>
          <w:sz w:val="24"/>
        </w:rPr>
      </w:pPr>
    </w:p>
    <w:p>
      <w:pPr>
        <w:spacing w:line="520" w:lineRule="exact"/>
        <w:ind w:right="2"/>
        <w:rPr>
          <w:rFonts w:ascii="宋体" w:hAnsi="Courier New"/>
          <w:sz w:val="24"/>
        </w:rPr>
      </w:pPr>
    </w:p>
    <w:p>
      <w:pPr>
        <w:spacing w:line="520" w:lineRule="exact"/>
        <w:ind w:right="2"/>
        <w:rPr>
          <w:rFonts w:ascii="宋体" w:hAnsi="Courier New"/>
          <w:sz w:val="24"/>
        </w:rPr>
      </w:pPr>
    </w:p>
    <w:p>
      <w:pPr>
        <w:spacing w:line="520" w:lineRule="exact"/>
        <w:ind w:right="2"/>
        <w:rPr>
          <w:rFonts w:ascii="宋体" w:hAnsi="Courier New"/>
          <w:sz w:val="24"/>
        </w:rPr>
      </w:pPr>
    </w:p>
    <w:p>
      <w:pPr>
        <w:spacing w:line="520" w:lineRule="exact"/>
        <w:ind w:right="2"/>
        <w:rPr>
          <w:rFonts w:ascii="宋体" w:hAnsi="Courier New"/>
          <w:sz w:val="24"/>
        </w:rPr>
      </w:pPr>
    </w:p>
    <w:p>
      <w:pPr>
        <w:rPr>
          <w:rFonts w:eastAsia="黑体"/>
          <w:b/>
          <w:bCs/>
          <w:sz w:val="28"/>
        </w:rPr>
      </w:pPr>
    </w:p>
    <w:p>
      <w:pPr>
        <w:rPr>
          <w:rFonts w:eastAsia="黑体"/>
          <w:b/>
          <w:bCs/>
          <w:sz w:val="28"/>
        </w:rPr>
      </w:pPr>
      <w:r>
        <w:rPr>
          <w:rFonts w:hint="eastAsia" w:eastAsia="黑体"/>
          <w:b/>
          <w:bCs/>
          <w:sz w:val="28"/>
        </w:rPr>
        <w:t>附件格式1</w:t>
      </w:r>
      <w:r>
        <w:rPr>
          <w:rFonts w:eastAsia="黑体"/>
          <w:b/>
          <w:bCs/>
          <w:sz w:val="28"/>
        </w:rPr>
        <w:t>-9</w:t>
      </w:r>
    </w:p>
    <w:p>
      <w:pPr>
        <w:jc w:val="center"/>
        <w:rPr>
          <w:rFonts w:eastAsia="黑体"/>
          <w:b/>
          <w:bCs/>
          <w:sz w:val="28"/>
        </w:rPr>
      </w:pPr>
      <w:r>
        <w:rPr>
          <w:rFonts w:hint="eastAsia" w:eastAsia="黑体"/>
          <w:b/>
          <w:bCs/>
          <w:sz w:val="28"/>
        </w:rPr>
        <w:t xml:space="preserve">  投标报名表</w:t>
      </w:r>
    </w:p>
    <w:p>
      <w:pPr>
        <w:ind w:firstLine="120" w:firstLineChars="50"/>
        <w:rPr>
          <w:sz w:val="24"/>
        </w:rPr>
      </w:pPr>
      <w:r>
        <w:rPr>
          <w:rFonts w:hint="eastAsia"/>
          <w:sz w:val="24"/>
        </w:rPr>
        <w:t>公章：</w:t>
      </w:r>
    </w:p>
    <w:tbl>
      <w:tblPr>
        <w:tblStyle w:val="43"/>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2526"/>
        <w:gridCol w:w="2272"/>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801" w:type="dxa"/>
            <w:vAlign w:val="center"/>
          </w:tcPr>
          <w:p>
            <w:pPr>
              <w:jc w:val="center"/>
              <w:rPr>
                <w:sz w:val="24"/>
              </w:rPr>
            </w:pPr>
            <w:r>
              <w:rPr>
                <w:rFonts w:hint="eastAsia"/>
                <w:sz w:val="24"/>
              </w:rPr>
              <w:t>项目名称</w:t>
            </w:r>
          </w:p>
        </w:tc>
        <w:tc>
          <w:tcPr>
            <w:tcW w:w="7123" w:type="dxa"/>
            <w:gridSpan w:val="3"/>
            <w:vAlign w:val="center"/>
          </w:tcPr>
          <w:p>
            <w:pPr>
              <w:spacing w:line="360" w:lineRule="auto"/>
              <w:ind w:firstLine="420" w:firstLineChars="200"/>
              <w:jc w:val="center"/>
              <w:rPr>
                <w:rFonts w:ascii="宋体" w:hAnsi="Courier New"/>
              </w:rPr>
            </w:pPr>
            <w:r>
              <w:rPr>
                <w:rFonts w:hint="eastAsia" w:ascii="宋体" w:hAnsi="Courier Ne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801" w:type="dxa"/>
            <w:vAlign w:val="center"/>
          </w:tcPr>
          <w:p>
            <w:pPr>
              <w:jc w:val="center"/>
              <w:rPr>
                <w:sz w:val="24"/>
              </w:rPr>
            </w:pPr>
            <w:r>
              <w:rPr>
                <w:rFonts w:hint="eastAsia"/>
                <w:sz w:val="24"/>
              </w:rPr>
              <w:t>投标单位</w:t>
            </w:r>
          </w:p>
          <w:p>
            <w:pPr>
              <w:jc w:val="center"/>
              <w:rPr>
                <w:sz w:val="24"/>
              </w:rPr>
            </w:pPr>
            <w:r>
              <w:rPr>
                <w:rFonts w:hint="eastAsia"/>
                <w:sz w:val="24"/>
              </w:rPr>
              <w:t>（全称）</w:t>
            </w:r>
          </w:p>
        </w:tc>
        <w:tc>
          <w:tcPr>
            <w:tcW w:w="7123"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1801" w:type="dxa"/>
            <w:vAlign w:val="center"/>
          </w:tcPr>
          <w:p>
            <w:pPr>
              <w:jc w:val="center"/>
              <w:rPr>
                <w:sz w:val="24"/>
              </w:rPr>
            </w:pPr>
            <w:r>
              <w:rPr>
                <w:rFonts w:hint="eastAsia"/>
                <w:sz w:val="24"/>
              </w:rPr>
              <w:t>投标内容</w:t>
            </w:r>
          </w:p>
        </w:tc>
        <w:tc>
          <w:tcPr>
            <w:tcW w:w="7123"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801" w:type="dxa"/>
            <w:vAlign w:val="center"/>
          </w:tcPr>
          <w:p>
            <w:pPr>
              <w:jc w:val="center"/>
              <w:rPr>
                <w:sz w:val="24"/>
              </w:rPr>
            </w:pPr>
            <w:r>
              <w:rPr>
                <w:rFonts w:hint="eastAsia"/>
                <w:sz w:val="24"/>
              </w:rPr>
              <w:t>项目负责人</w:t>
            </w:r>
          </w:p>
        </w:tc>
        <w:tc>
          <w:tcPr>
            <w:tcW w:w="2526" w:type="dxa"/>
            <w:vAlign w:val="center"/>
          </w:tcPr>
          <w:p>
            <w:pPr>
              <w:jc w:val="center"/>
              <w:rPr>
                <w:sz w:val="24"/>
              </w:rPr>
            </w:pPr>
          </w:p>
        </w:tc>
        <w:tc>
          <w:tcPr>
            <w:tcW w:w="2272" w:type="dxa"/>
            <w:vAlign w:val="center"/>
          </w:tcPr>
          <w:p>
            <w:pPr>
              <w:jc w:val="center"/>
              <w:rPr>
                <w:sz w:val="24"/>
              </w:rPr>
            </w:pPr>
            <w:r>
              <w:rPr>
                <w:rFonts w:hint="eastAsia"/>
                <w:sz w:val="24"/>
              </w:rPr>
              <w:t>联系电话</w:t>
            </w:r>
          </w:p>
        </w:tc>
        <w:tc>
          <w:tcPr>
            <w:tcW w:w="232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801" w:type="dxa"/>
            <w:vAlign w:val="center"/>
          </w:tcPr>
          <w:p>
            <w:pPr>
              <w:jc w:val="center"/>
              <w:rPr>
                <w:sz w:val="24"/>
              </w:rPr>
            </w:pPr>
            <w:r>
              <w:rPr>
                <w:rFonts w:hint="eastAsia"/>
                <w:sz w:val="24"/>
              </w:rPr>
              <w:t>公司电话</w:t>
            </w:r>
          </w:p>
        </w:tc>
        <w:tc>
          <w:tcPr>
            <w:tcW w:w="2526" w:type="dxa"/>
            <w:vAlign w:val="center"/>
          </w:tcPr>
          <w:p>
            <w:pPr>
              <w:jc w:val="center"/>
              <w:rPr>
                <w:sz w:val="24"/>
              </w:rPr>
            </w:pPr>
          </w:p>
          <w:p>
            <w:pPr>
              <w:jc w:val="center"/>
              <w:rPr>
                <w:sz w:val="24"/>
              </w:rPr>
            </w:pPr>
          </w:p>
        </w:tc>
        <w:tc>
          <w:tcPr>
            <w:tcW w:w="2272" w:type="dxa"/>
            <w:vAlign w:val="center"/>
          </w:tcPr>
          <w:p>
            <w:pPr>
              <w:jc w:val="center"/>
              <w:rPr>
                <w:sz w:val="24"/>
              </w:rPr>
            </w:pPr>
            <w:r>
              <w:rPr>
                <w:rFonts w:hint="eastAsia"/>
                <w:sz w:val="24"/>
              </w:rPr>
              <w:t>传真</w:t>
            </w:r>
          </w:p>
        </w:tc>
        <w:tc>
          <w:tcPr>
            <w:tcW w:w="232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801" w:type="dxa"/>
            <w:vAlign w:val="center"/>
          </w:tcPr>
          <w:p>
            <w:pPr>
              <w:jc w:val="center"/>
              <w:rPr>
                <w:sz w:val="24"/>
              </w:rPr>
            </w:pPr>
            <w:r>
              <w:rPr>
                <w:rFonts w:hint="eastAsia"/>
                <w:sz w:val="24"/>
              </w:rPr>
              <w:t>E-mail</w:t>
            </w:r>
          </w:p>
        </w:tc>
        <w:tc>
          <w:tcPr>
            <w:tcW w:w="7123"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801" w:type="dxa"/>
            <w:vAlign w:val="center"/>
          </w:tcPr>
          <w:p>
            <w:pPr>
              <w:jc w:val="center"/>
              <w:rPr>
                <w:sz w:val="24"/>
              </w:rPr>
            </w:pPr>
            <w:r>
              <w:rPr>
                <w:rFonts w:hint="eastAsia"/>
                <w:sz w:val="24"/>
              </w:rPr>
              <w:t>报名时间</w:t>
            </w:r>
          </w:p>
        </w:tc>
        <w:tc>
          <w:tcPr>
            <w:tcW w:w="7123" w:type="dxa"/>
            <w:gridSpan w:val="3"/>
            <w:vAlign w:val="center"/>
          </w:tcPr>
          <w:p>
            <w:pPr>
              <w:jc w:val="center"/>
              <w:rPr>
                <w:sz w:val="24"/>
              </w:rPr>
            </w:pPr>
            <w:r>
              <w:rPr>
                <w:rFonts w:hint="eastAsia"/>
                <w:sz w:val="24"/>
              </w:rPr>
              <w:t>年    月    日</w:t>
            </w:r>
          </w:p>
        </w:tc>
      </w:tr>
    </w:tbl>
    <w:p>
      <w:pPr>
        <w:ind w:left="472" w:right="69" w:rightChars="33" w:hanging="472" w:hangingChars="196"/>
        <w:rPr>
          <w:rFonts w:ascii="宋体" w:hAnsi="宋体"/>
          <w:sz w:val="24"/>
        </w:rPr>
      </w:pPr>
      <w:r>
        <w:rPr>
          <w:rFonts w:hint="eastAsia" w:ascii="宋体" w:hAnsi="宋体"/>
          <w:b/>
          <w:sz w:val="24"/>
        </w:rPr>
        <w:t>注：</w:t>
      </w:r>
      <w:r>
        <w:rPr>
          <w:rFonts w:hint="eastAsia" w:ascii="宋体" w:hAnsi="宋体"/>
          <w:sz w:val="24"/>
        </w:rPr>
        <w:t>请投标单位认真填写并加盖公章，并于规定时间前回传邮箱并打电话确认。缺项及不按要求时间回复均视为自动放弃本次投标资格。</w:t>
      </w:r>
    </w:p>
    <w:p>
      <w:pPr>
        <w:rPr>
          <w:rFonts w:ascii="宋体" w:hAnsi="宋体"/>
          <w:sz w:val="24"/>
        </w:rPr>
      </w:pPr>
      <w:r>
        <w:rPr>
          <w:rFonts w:hint="eastAsia" w:ascii="宋体" w:hAnsi="宋体"/>
          <w:sz w:val="24"/>
        </w:rPr>
        <w:t xml:space="preserve">联系人：                    联系电话：  </w:t>
      </w:r>
      <w:r>
        <w:rPr>
          <w:rFonts w:ascii="宋体" w:hAnsi="宋体"/>
          <w:sz w:val="24"/>
        </w:rPr>
        <w:t xml:space="preserve"> </w:t>
      </w:r>
    </w:p>
    <w:p>
      <w:pPr>
        <w:rPr>
          <w:rFonts w:ascii="仿宋" w:hAnsi="仿宋" w:eastAsia="仿宋"/>
          <w:bCs/>
          <w:szCs w:val="21"/>
        </w:rPr>
      </w:pPr>
    </w:p>
    <w:p>
      <w:pPr>
        <w:rPr>
          <w:rFonts w:ascii="仿宋" w:hAnsi="仿宋" w:eastAsia="仿宋"/>
          <w:bCs/>
          <w:szCs w:val="21"/>
        </w:rPr>
      </w:pPr>
    </w:p>
    <w:p>
      <w:pPr>
        <w:rPr>
          <w:rFonts w:ascii="仿宋" w:hAnsi="仿宋" w:eastAsia="仿宋"/>
          <w:bCs/>
          <w:szCs w:val="21"/>
        </w:rPr>
      </w:pPr>
    </w:p>
    <w:p>
      <w:pPr>
        <w:rPr>
          <w:rFonts w:ascii="仿宋" w:hAnsi="仿宋" w:eastAsia="仿宋"/>
          <w:bCs/>
          <w:szCs w:val="21"/>
        </w:rPr>
      </w:pPr>
    </w:p>
    <w:p>
      <w:pPr>
        <w:pStyle w:val="4"/>
        <w:spacing w:line="360" w:lineRule="exact"/>
        <w:rPr>
          <w:rFonts w:ascii="宋体" w:hAnsi="宋体" w:cs="宋体"/>
          <w:b w:val="0"/>
          <w:szCs w:val="24"/>
        </w:rPr>
      </w:pPr>
      <w:bookmarkStart w:id="18" w:name="_Toc9193"/>
      <w:bookmarkStart w:id="19" w:name="_Toc353881022"/>
      <w:bookmarkStart w:id="20" w:name="_Toc424118191"/>
      <w:bookmarkStart w:id="21" w:name="_Toc762"/>
      <w:bookmarkStart w:id="22" w:name="_Toc518655814"/>
      <w:bookmarkStart w:id="23" w:name="_Toc28424563"/>
      <w:r>
        <w:rPr>
          <w:rFonts w:hint="eastAsia" w:eastAsia="黑体"/>
          <w:bCs/>
          <w:sz w:val="28"/>
        </w:rPr>
        <w:t>附件格式1-10：</w:t>
      </w:r>
      <w:bookmarkEnd w:id="18"/>
      <w:bookmarkEnd w:id="19"/>
      <w:bookmarkEnd w:id="20"/>
      <w:bookmarkEnd w:id="21"/>
      <w:bookmarkEnd w:id="22"/>
      <w:bookmarkEnd w:id="23"/>
    </w:p>
    <w:p>
      <w:pPr>
        <w:pStyle w:val="5"/>
        <w:spacing w:after="0" w:line="460" w:lineRule="exact"/>
        <w:ind w:left="0"/>
        <w:jc w:val="center"/>
        <w:rPr>
          <w:rFonts w:ascii="Times New Roman" w:hAnsi="Times New Roman" w:eastAsia="黑体"/>
          <w:b/>
          <w:bCs/>
          <w:kern w:val="2"/>
          <w:sz w:val="28"/>
          <w:szCs w:val="24"/>
        </w:rPr>
      </w:pPr>
      <w:r>
        <w:rPr>
          <w:rFonts w:hint="eastAsia" w:ascii="Times New Roman" w:hAnsi="Times New Roman" w:eastAsia="黑体"/>
          <w:b/>
          <w:bCs/>
          <w:kern w:val="2"/>
          <w:sz w:val="28"/>
          <w:szCs w:val="24"/>
        </w:rPr>
        <w:t>设备质量承诺函</w:t>
      </w:r>
    </w:p>
    <w:p>
      <w:pPr>
        <w:spacing w:line="240" w:lineRule="exact"/>
        <w:rPr>
          <w:rFonts w:ascii="宋体" w:hAnsi="宋体"/>
        </w:rPr>
      </w:pPr>
      <w:r>
        <w:rPr>
          <w:rFonts w:hint="eastAsia" w:ascii="宋体" w:hAnsi="宋体"/>
        </w:rPr>
        <w:t xml:space="preserve">                                               </w:t>
      </w:r>
    </w:p>
    <w:p>
      <w:pPr>
        <w:spacing w:line="360" w:lineRule="auto"/>
        <w:rPr>
          <w:rFonts w:ascii="宋体" w:hAnsi="宋体"/>
          <w:sz w:val="24"/>
          <w:u w:val="single"/>
        </w:rPr>
      </w:pPr>
      <w:r>
        <w:rPr>
          <w:rFonts w:hint="eastAsia" w:ascii="宋体" w:hAnsi="宋体"/>
          <w:sz w:val="24"/>
        </w:rPr>
        <w:t xml:space="preserve">项目名称: </w:t>
      </w:r>
      <w:r>
        <w:rPr>
          <w:rFonts w:hint="eastAsia" w:ascii="宋体" w:hAnsi="宋体"/>
          <w:sz w:val="24"/>
          <w:u w:val="single"/>
        </w:rPr>
        <w:t xml:space="preserve">                         </w:t>
      </w:r>
    </w:p>
    <w:p>
      <w:pPr>
        <w:pStyle w:val="30"/>
        <w:adjustRightInd w:val="0"/>
        <w:snapToGrid w:val="0"/>
        <w:spacing w:beforeLines="30" w:line="460" w:lineRule="exact"/>
        <w:ind w:left="0" w:leftChars="0"/>
        <w:rPr>
          <w:rFonts w:ascii="宋体" w:hAnsi="宋体"/>
          <w:i/>
          <w:iCs/>
        </w:rPr>
      </w:pPr>
      <w:r>
        <w:rPr>
          <w:rFonts w:hint="eastAsia" w:ascii="宋体" w:hAnsi="宋体"/>
          <w:u w:val="single"/>
        </w:rPr>
        <w:t xml:space="preserve">        公司:</w:t>
      </w:r>
      <w:r>
        <w:rPr>
          <w:rFonts w:hint="eastAsia" w:ascii="宋体" w:hAnsi="宋体"/>
          <w:i/>
          <w:iCs/>
        </w:rPr>
        <w:t>（招标人全称）</w:t>
      </w:r>
    </w:p>
    <w:p>
      <w:pPr>
        <w:spacing w:line="360" w:lineRule="auto"/>
        <w:ind w:firstLine="480" w:firstLineChars="200"/>
        <w:rPr>
          <w:rFonts w:ascii="宋体" w:hAnsi="宋体"/>
          <w:sz w:val="24"/>
        </w:rPr>
      </w:pPr>
      <w:r>
        <w:rPr>
          <w:rFonts w:hint="eastAsia" w:ascii="宋体" w:hAnsi="宋体"/>
          <w:sz w:val="24"/>
        </w:rPr>
        <w:t>我代表(投标单位名称)为保证中标产品的质量特作如下承诺：</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left="480"/>
        <w:rPr>
          <w:rFonts w:ascii="宋体" w:hAnsi="宋体"/>
          <w:sz w:val="24"/>
        </w:rPr>
      </w:pPr>
      <w:r>
        <w:rPr>
          <w:rFonts w:hint="eastAsia" w:ascii="宋体" w:hAnsi="宋体"/>
          <w:sz w:val="24"/>
        </w:rPr>
        <w:t xml:space="preserve">                           </w:t>
      </w:r>
    </w:p>
    <w:p>
      <w:pPr>
        <w:spacing w:line="660" w:lineRule="exact"/>
        <w:rPr>
          <w:rFonts w:ascii="宋体" w:hAnsi="宋体"/>
          <w:sz w:val="24"/>
        </w:rPr>
      </w:pPr>
      <w:r>
        <w:rPr>
          <w:rFonts w:hint="eastAsia" w:ascii="宋体" w:hAnsi="宋体"/>
          <w:sz w:val="24"/>
        </w:rPr>
        <w:t>投标人：（盖章）</w:t>
      </w:r>
    </w:p>
    <w:p>
      <w:pPr>
        <w:spacing w:line="660" w:lineRule="exact"/>
        <w:rPr>
          <w:rFonts w:ascii="宋体" w:hAnsi="宋体"/>
          <w:sz w:val="24"/>
        </w:rPr>
      </w:pPr>
      <w:r>
        <w:rPr>
          <w:rFonts w:hint="eastAsia" w:ascii="宋体" w:hAnsi="宋体"/>
          <w:sz w:val="24"/>
        </w:rPr>
        <w:t>法定代表人（委托代理人）：（签字）</w:t>
      </w:r>
    </w:p>
    <w:p>
      <w:pPr>
        <w:rPr>
          <w:rFonts w:ascii="仿宋" w:hAnsi="仿宋" w:eastAsia="仿宋"/>
          <w:bCs/>
          <w:szCs w:val="21"/>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sectPr>
      <w:footerReference r:id="rId3" w:type="default"/>
      <w:pgSz w:w="11906" w:h="16838"/>
      <w:pgMar w:top="1247" w:right="1247" w:bottom="1247" w:left="1247" w:header="851" w:footer="56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Book Antiqua">
    <w:panose1 w:val="02040602050305030304"/>
    <w:charset w:val="00"/>
    <w:family w:val="roman"/>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4590" w:firstLineChars="2550"/>
    </w:pPr>
    <w:r>
      <w:fldChar w:fldCharType="begin"/>
    </w:r>
    <w:r>
      <w:instrText xml:space="preserve">PAGE   \* MERGEFORMAT</w:instrText>
    </w:r>
    <w:r>
      <w:fldChar w:fldCharType="separate"/>
    </w:r>
    <w:r>
      <w:rPr>
        <w:lang w:val="zh-CN"/>
      </w:rPr>
      <w:t>-</w:t>
    </w:r>
    <w:r>
      <w:t xml:space="preserve"> 23 -</w:t>
    </w:r>
    <w:r>
      <w:fldChar w:fldCharType="end"/>
    </w:r>
  </w:p>
  <w:p>
    <w:pPr>
      <w:pStyle w:val="32"/>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3"/>
      <w:lvlText w:val="%1."/>
      <w:lvlJc w:val="left"/>
      <w:pPr>
        <w:tabs>
          <w:tab w:val="left" w:pos="780"/>
        </w:tabs>
        <w:ind w:left="780" w:leftChars="200" w:hanging="360" w:hangingChars="200"/>
      </w:pPr>
    </w:lvl>
  </w:abstractNum>
  <w:abstractNum w:abstractNumId="1">
    <w:nsid w:val="FFFFFF81"/>
    <w:multiLevelType w:val="singleLevel"/>
    <w:tmpl w:val="FFFFFF81"/>
    <w:lvl w:ilvl="0" w:tentative="0">
      <w:start w:val="1"/>
      <w:numFmt w:val="bullet"/>
      <w:pStyle w:val="14"/>
      <w:lvlText w:val=""/>
      <w:lvlJc w:val="left"/>
      <w:pPr>
        <w:tabs>
          <w:tab w:val="left" w:pos="1620"/>
        </w:tabs>
        <w:ind w:left="1620" w:leftChars="600" w:hanging="360" w:hangingChars="200"/>
      </w:pPr>
      <w:rPr>
        <w:rFonts w:hint="default" w:ascii="Wingdings" w:hAnsi="Wingdings"/>
      </w:rPr>
    </w:lvl>
  </w:abstractNum>
  <w:abstractNum w:abstractNumId="2">
    <w:nsid w:val="FFFFFF88"/>
    <w:multiLevelType w:val="singleLevel"/>
    <w:tmpl w:val="FFFFFF88"/>
    <w:lvl w:ilvl="0" w:tentative="0">
      <w:start w:val="1"/>
      <w:numFmt w:val="decimal"/>
      <w:pStyle w:val="15"/>
      <w:lvlText w:val="%1."/>
      <w:lvlJc w:val="left"/>
      <w:pPr>
        <w:tabs>
          <w:tab w:val="left" w:pos="360"/>
        </w:tabs>
        <w:ind w:left="360" w:hanging="360" w:hangingChars="200"/>
      </w:pPr>
    </w:lvl>
  </w:abstractNum>
  <w:abstractNum w:abstractNumId="3">
    <w:nsid w:val="FFFFFF89"/>
    <w:multiLevelType w:val="singleLevel"/>
    <w:tmpl w:val="FFFFFF89"/>
    <w:lvl w:ilvl="0" w:tentative="0">
      <w:start w:val="1"/>
      <w:numFmt w:val="bullet"/>
      <w:pStyle w:val="17"/>
      <w:lvlText w:val=""/>
      <w:lvlJc w:val="left"/>
      <w:pPr>
        <w:tabs>
          <w:tab w:val="left" w:pos="360"/>
        </w:tabs>
        <w:ind w:left="360" w:hanging="360" w:hangingChars="200"/>
      </w:pPr>
      <w:rPr>
        <w:rFonts w:hint="default" w:ascii="Wingdings" w:hAnsi="Wingdings"/>
      </w:rPr>
    </w:lvl>
  </w:abstractNum>
  <w:abstractNum w:abstractNumId="4">
    <w:nsid w:val="0000000F"/>
    <w:multiLevelType w:val="singleLevel"/>
    <w:tmpl w:val="0000000F"/>
    <w:lvl w:ilvl="0" w:tentative="0">
      <w:start w:val="1"/>
      <w:numFmt w:val="decimal"/>
      <w:suff w:val="nothing"/>
      <w:lvlText w:val="%1."/>
      <w:lvlJc w:val="left"/>
    </w:lvl>
  </w:abstractNum>
  <w:abstractNum w:abstractNumId="5">
    <w:nsid w:val="04BB2CE1"/>
    <w:multiLevelType w:val="multilevel"/>
    <w:tmpl w:val="04BB2CE1"/>
    <w:lvl w:ilvl="0" w:tentative="0">
      <w:start w:val="1"/>
      <w:numFmt w:val="decimal"/>
      <w:lvlText w:val="（%1）"/>
      <w:lvlJc w:val="left"/>
      <w:pPr>
        <w:tabs>
          <w:tab w:val="left" w:pos="1080"/>
        </w:tabs>
        <w:ind w:left="1080" w:hanging="720"/>
      </w:pPr>
      <w:rPr>
        <w:lang w:val="en-US"/>
      </w:rPr>
    </w:lvl>
    <w:lvl w:ilvl="1" w:tentative="0">
      <w:start w:val="1"/>
      <w:numFmt w:val="lowerLetter"/>
      <w:lvlText w:val="%2)"/>
      <w:lvlJc w:val="left"/>
      <w:pPr>
        <w:tabs>
          <w:tab w:val="left" w:pos="1260"/>
        </w:tabs>
        <w:ind w:left="126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34153A8D"/>
    <w:multiLevelType w:val="singleLevel"/>
    <w:tmpl w:val="34153A8D"/>
    <w:lvl w:ilvl="0" w:tentative="0">
      <w:start w:val="4"/>
      <w:numFmt w:val="chineseCounting"/>
      <w:suff w:val="nothing"/>
      <w:lvlText w:val="%1、"/>
      <w:lvlJc w:val="left"/>
      <w:rPr>
        <w:rFonts w:hint="eastAsia"/>
      </w:rPr>
    </w:lvl>
  </w:abstractNum>
  <w:abstractNum w:abstractNumId="7">
    <w:nsid w:val="59DB61C2"/>
    <w:multiLevelType w:val="multilevel"/>
    <w:tmpl w:val="59DB61C2"/>
    <w:lvl w:ilvl="0" w:tentative="0">
      <w:start w:val="1"/>
      <w:numFmt w:val="decimal"/>
      <w:lvlText w:val="（%1）"/>
      <w:lvlJc w:val="left"/>
      <w:pPr>
        <w:tabs>
          <w:tab w:val="left" w:pos="692"/>
        </w:tabs>
        <w:ind w:left="692" w:hanging="720"/>
      </w:pPr>
      <w:rPr>
        <w:rFonts w:hint="default"/>
      </w:rPr>
    </w:lvl>
    <w:lvl w:ilvl="1" w:tentative="0">
      <w:start w:val="1"/>
      <w:numFmt w:val="lowerLetter"/>
      <w:lvlText w:val="%2)"/>
      <w:lvlJc w:val="left"/>
      <w:pPr>
        <w:tabs>
          <w:tab w:val="left" w:pos="812"/>
        </w:tabs>
        <w:ind w:left="812" w:hanging="420"/>
      </w:pPr>
    </w:lvl>
    <w:lvl w:ilvl="2" w:tentative="0">
      <w:start w:val="1"/>
      <w:numFmt w:val="lowerRoman"/>
      <w:lvlText w:val="%3."/>
      <w:lvlJc w:val="right"/>
      <w:pPr>
        <w:tabs>
          <w:tab w:val="left" w:pos="1232"/>
        </w:tabs>
        <w:ind w:left="1232" w:hanging="420"/>
      </w:pPr>
    </w:lvl>
    <w:lvl w:ilvl="3" w:tentative="0">
      <w:start w:val="1"/>
      <w:numFmt w:val="decimal"/>
      <w:lvlText w:val="%4."/>
      <w:lvlJc w:val="left"/>
      <w:pPr>
        <w:tabs>
          <w:tab w:val="left" w:pos="1652"/>
        </w:tabs>
        <w:ind w:left="1652" w:hanging="420"/>
      </w:pPr>
    </w:lvl>
    <w:lvl w:ilvl="4" w:tentative="0">
      <w:start w:val="1"/>
      <w:numFmt w:val="lowerLetter"/>
      <w:lvlText w:val="%5)"/>
      <w:lvlJc w:val="left"/>
      <w:pPr>
        <w:tabs>
          <w:tab w:val="left" w:pos="2072"/>
        </w:tabs>
        <w:ind w:left="2072" w:hanging="420"/>
      </w:pPr>
    </w:lvl>
    <w:lvl w:ilvl="5" w:tentative="0">
      <w:start w:val="1"/>
      <w:numFmt w:val="lowerRoman"/>
      <w:lvlText w:val="%6."/>
      <w:lvlJc w:val="right"/>
      <w:pPr>
        <w:tabs>
          <w:tab w:val="left" w:pos="2492"/>
        </w:tabs>
        <w:ind w:left="2492" w:hanging="420"/>
      </w:pPr>
    </w:lvl>
    <w:lvl w:ilvl="6" w:tentative="0">
      <w:start w:val="1"/>
      <w:numFmt w:val="decimal"/>
      <w:lvlText w:val="%7."/>
      <w:lvlJc w:val="left"/>
      <w:pPr>
        <w:tabs>
          <w:tab w:val="left" w:pos="2912"/>
        </w:tabs>
        <w:ind w:left="2912" w:hanging="420"/>
      </w:pPr>
    </w:lvl>
    <w:lvl w:ilvl="7" w:tentative="0">
      <w:start w:val="1"/>
      <w:numFmt w:val="lowerLetter"/>
      <w:lvlText w:val="%8)"/>
      <w:lvlJc w:val="left"/>
      <w:pPr>
        <w:tabs>
          <w:tab w:val="left" w:pos="3332"/>
        </w:tabs>
        <w:ind w:left="3332" w:hanging="420"/>
      </w:pPr>
    </w:lvl>
    <w:lvl w:ilvl="8" w:tentative="0">
      <w:start w:val="1"/>
      <w:numFmt w:val="lowerRoman"/>
      <w:lvlText w:val="%9."/>
      <w:lvlJc w:val="right"/>
      <w:pPr>
        <w:tabs>
          <w:tab w:val="left" w:pos="3752"/>
        </w:tabs>
        <w:ind w:left="3752" w:hanging="420"/>
      </w:pPr>
    </w:lvl>
  </w:abstractNum>
  <w:abstractNum w:abstractNumId="8">
    <w:nsid w:val="685090D1"/>
    <w:multiLevelType w:val="multilevel"/>
    <w:tmpl w:val="685090D1"/>
    <w:lvl w:ilvl="0" w:tentative="0">
      <w:start w:val="1"/>
      <w:numFmt w:val="decimal"/>
      <w:pStyle w:val="82"/>
      <w:lvlText w:val="%1）"/>
      <w:lvlJc w:val="left"/>
      <w:pPr>
        <w:tabs>
          <w:tab w:val="left" w:pos="-420"/>
        </w:tabs>
        <w:ind w:left="420" w:hanging="420"/>
      </w:pPr>
      <w:rPr>
        <w:rFonts w:hint="eastAsia" w:ascii="Times New Roman" w:hAnsi="Times New Roman" w:eastAsia="宋体" w:cs="Times New Roman"/>
        <w:b/>
      </w:rPr>
    </w:lvl>
    <w:lvl w:ilvl="1" w:tentative="0">
      <w:start w:val="1"/>
      <w:numFmt w:val="decimal"/>
      <w:lvlText w:val="%2)"/>
      <w:lvlJc w:val="left"/>
      <w:pPr>
        <w:tabs>
          <w:tab w:val="left" w:pos="693"/>
        </w:tabs>
        <w:ind w:left="693" w:hanging="420"/>
      </w:pPr>
    </w:lvl>
    <w:lvl w:ilvl="2" w:tentative="0">
      <w:start w:val="1"/>
      <w:numFmt w:val="lowerRoman"/>
      <w:pStyle w:val="83"/>
      <w:lvlText w:val="%3."/>
      <w:lvlJc w:val="right"/>
      <w:pPr>
        <w:tabs>
          <w:tab w:val="left" w:pos="-420"/>
        </w:tabs>
        <w:ind w:left="1113" w:hanging="420"/>
      </w:pPr>
    </w:lvl>
    <w:lvl w:ilvl="3" w:tentative="0">
      <w:start w:val="1"/>
      <w:numFmt w:val="decimal"/>
      <w:lvlText w:val="%4."/>
      <w:lvlJc w:val="left"/>
      <w:pPr>
        <w:tabs>
          <w:tab w:val="left" w:pos="-420"/>
        </w:tabs>
        <w:ind w:left="1533" w:hanging="420"/>
      </w:pPr>
    </w:lvl>
    <w:lvl w:ilvl="4" w:tentative="0">
      <w:start w:val="1"/>
      <w:numFmt w:val="lowerLetter"/>
      <w:lvlText w:val="%5)"/>
      <w:lvlJc w:val="left"/>
      <w:pPr>
        <w:tabs>
          <w:tab w:val="left" w:pos="-420"/>
        </w:tabs>
        <w:ind w:left="1953" w:hanging="420"/>
      </w:pPr>
    </w:lvl>
    <w:lvl w:ilvl="5" w:tentative="0">
      <w:start w:val="1"/>
      <w:numFmt w:val="lowerRoman"/>
      <w:lvlText w:val="%6."/>
      <w:lvlJc w:val="right"/>
      <w:pPr>
        <w:tabs>
          <w:tab w:val="left" w:pos="-420"/>
        </w:tabs>
        <w:ind w:left="2373" w:hanging="420"/>
      </w:pPr>
    </w:lvl>
    <w:lvl w:ilvl="6" w:tentative="0">
      <w:start w:val="1"/>
      <w:numFmt w:val="decimal"/>
      <w:lvlText w:val="%7."/>
      <w:lvlJc w:val="left"/>
      <w:pPr>
        <w:tabs>
          <w:tab w:val="left" w:pos="-420"/>
        </w:tabs>
        <w:ind w:left="2793" w:hanging="420"/>
      </w:pPr>
    </w:lvl>
    <w:lvl w:ilvl="7" w:tentative="0">
      <w:start w:val="1"/>
      <w:numFmt w:val="lowerLetter"/>
      <w:lvlText w:val="%8)"/>
      <w:lvlJc w:val="left"/>
      <w:pPr>
        <w:tabs>
          <w:tab w:val="left" w:pos="-420"/>
        </w:tabs>
        <w:ind w:left="3213" w:hanging="420"/>
      </w:pPr>
    </w:lvl>
    <w:lvl w:ilvl="8" w:tentative="0">
      <w:start w:val="1"/>
      <w:numFmt w:val="lowerRoman"/>
      <w:lvlText w:val="%9."/>
      <w:lvlJc w:val="right"/>
      <w:pPr>
        <w:tabs>
          <w:tab w:val="left" w:pos="-420"/>
        </w:tabs>
        <w:ind w:left="3633" w:hanging="420"/>
      </w:pPr>
    </w:lvl>
  </w:abstractNum>
  <w:abstractNum w:abstractNumId="9">
    <w:nsid w:val="7BC63B6C"/>
    <w:multiLevelType w:val="multilevel"/>
    <w:tmpl w:val="7BC63B6C"/>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 w:numId="3">
    <w:abstractNumId w:val="2"/>
  </w:num>
  <w:num w:numId="4">
    <w:abstractNumId w:val="3"/>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71AAB"/>
    <w:rsid w:val="00000B5B"/>
    <w:rsid w:val="000028A1"/>
    <w:rsid w:val="00003861"/>
    <w:rsid w:val="0000570E"/>
    <w:rsid w:val="0000576E"/>
    <w:rsid w:val="0000647E"/>
    <w:rsid w:val="00006D01"/>
    <w:rsid w:val="00007CBA"/>
    <w:rsid w:val="00010244"/>
    <w:rsid w:val="00013AD0"/>
    <w:rsid w:val="00015A7B"/>
    <w:rsid w:val="000177A0"/>
    <w:rsid w:val="00020128"/>
    <w:rsid w:val="00026F0B"/>
    <w:rsid w:val="00027E45"/>
    <w:rsid w:val="00035DAE"/>
    <w:rsid w:val="00045083"/>
    <w:rsid w:val="00047B95"/>
    <w:rsid w:val="00051594"/>
    <w:rsid w:val="0005171E"/>
    <w:rsid w:val="000546BB"/>
    <w:rsid w:val="00055BD1"/>
    <w:rsid w:val="00056F9C"/>
    <w:rsid w:val="0005711D"/>
    <w:rsid w:val="000573EA"/>
    <w:rsid w:val="00061E1A"/>
    <w:rsid w:val="000657F5"/>
    <w:rsid w:val="000673C1"/>
    <w:rsid w:val="000703FA"/>
    <w:rsid w:val="000706D6"/>
    <w:rsid w:val="000709B8"/>
    <w:rsid w:val="000719F3"/>
    <w:rsid w:val="00071AAB"/>
    <w:rsid w:val="000725E1"/>
    <w:rsid w:val="00073569"/>
    <w:rsid w:val="000738DA"/>
    <w:rsid w:val="000800F1"/>
    <w:rsid w:val="00081708"/>
    <w:rsid w:val="00084967"/>
    <w:rsid w:val="00084CAC"/>
    <w:rsid w:val="00090B34"/>
    <w:rsid w:val="00091476"/>
    <w:rsid w:val="00091CF1"/>
    <w:rsid w:val="00092F9D"/>
    <w:rsid w:val="00093294"/>
    <w:rsid w:val="00096784"/>
    <w:rsid w:val="0009774F"/>
    <w:rsid w:val="000A06EF"/>
    <w:rsid w:val="000A1354"/>
    <w:rsid w:val="000A14B2"/>
    <w:rsid w:val="000A3339"/>
    <w:rsid w:val="000A360D"/>
    <w:rsid w:val="000A5B1E"/>
    <w:rsid w:val="000A6F17"/>
    <w:rsid w:val="000A700F"/>
    <w:rsid w:val="000A79E1"/>
    <w:rsid w:val="000B1BCA"/>
    <w:rsid w:val="000B2569"/>
    <w:rsid w:val="000B26F7"/>
    <w:rsid w:val="000B37D1"/>
    <w:rsid w:val="000B3CFF"/>
    <w:rsid w:val="000B50C7"/>
    <w:rsid w:val="000B5C97"/>
    <w:rsid w:val="000B6F7F"/>
    <w:rsid w:val="000B74D1"/>
    <w:rsid w:val="000C2DDE"/>
    <w:rsid w:val="000C2F5B"/>
    <w:rsid w:val="000C4193"/>
    <w:rsid w:val="000C4436"/>
    <w:rsid w:val="000C6DA7"/>
    <w:rsid w:val="000D12A1"/>
    <w:rsid w:val="000D2129"/>
    <w:rsid w:val="000D21BC"/>
    <w:rsid w:val="000D3778"/>
    <w:rsid w:val="000D5E83"/>
    <w:rsid w:val="000E1B21"/>
    <w:rsid w:val="000E289D"/>
    <w:rsid w:val="000E3280"/>
    <w:rsid w:val="000E3F24"/>
    <w:rsid w:val="000E4BC4"/>
    <w:rsid w:val="000E5748"/>
    <w:rsid w:val="000E5A29"/>
    <w:rsid w:val="000E6225"/>
    <w:rsid w:val="000E62F7"/>
    <w:rsid w:val="000F0D7A"/>
    <w:rsid w:val="000F0FFA"/>
    <w:rsid w:val="000F193F"/>
    <w:rsid w:val="000F1A19"/>
    <w:rsid w:val="000F2F52"/>
    <w:rsid w:val="000F3297"/>
    <w:rsid w:val="000F3EB5"/>
    <w:rsid w:val="000F4A69"/>
    <w:rsid w:val="000F4F02"/>
    <w:rsid w:val="000F5E8D"/>
    <w:rsid w:val="000F6699"/>
    <w:rsid w:val="000F6A46"/>
    <w:rsid w:val="000F72CE"/>
    <w:rsid w:val="000F7705"/>
    <w:rsid w:val="000F7AC9"/>
    <w:rsid w:val="00104145"/>
    <w:rsid w:val="00104A47"/>
    <w:rsid w:val="00106454"/>
    <w:rsid w:val="00106A68"/>
    <w:rsid w:val="0011072E"/>
    <w:rsid w:val="00110A4B"/>
    <w:rsid w:val="00111084"/>
    <w:rsid w:val="00111B01"/>
    <w:rsid w:val="00112A6B"/>
    <w:rsid w:val="00114174"/>
    <w:rsid w:val="00114D80"/>
    <w:rsid w:val="00115819"/>
    <w:rsid w:val="00115B24"/>
    <w:rsid w:val="00117B5A"/>
    <w:rsid w:val="00117BF9"/>
    <w:rsid w:val="00120E6B"/>
    <w:rsid w:val="00121F72"/>
    <w:rsid w:val="0012247E"/>
    <w:rsid w:val="00126634"/>
    <w:rsid w:val="00127095"/>
    <w:rsid w:val="00131602"/>
    <w:rsid w:val="001320D2"/>
    <w:rsid w:val="0013299E"/>
    <w:rsid w:val="00133C5F"/>
    <w:rsid w:val="001350FD"/>
    <w:rsid w:val="00135CA5"/>
    <w:rsid w:val="00135D4C"/>
    <w:rsid w:val="00136D25"/>
    <w:rsid w:val="00137EB7"/>
    <w:rsid w:val="00143148"/>
    <w:rsid w:val="001434A5"/>
    <w:rsid w:val="001452B7"/>
    <w:rsid w:val="001457AC"/>
    <w:rsid w:val="00152B75"/>
    <w:rsid w:val="00153443"/>
    <w:rsid w:val="001547BE"/>
    <w:rsid w:val="00154DD3"/>
    <w:rsid w:val="00155904"/>
    <w:rsid w:val="001574EF"/>
    <w:rsid w:val="0015782C"/>
    <w:rsid w:val="0015799F"/>
    <w:rsid w:val="001622B9"/>
    <w:rsid w:val="001624E5"/>
    <w:rsid w:val="00162D94"/>
    <w:rsid w:val="00164471"/>
    <w:rsid w:val="001645A4"/>
    <w:rsid w:val="0016549B"/>
    <w:rsid w:val="001674A3"/>
    <w:rsid w:val="0017022A"/>
    <w:rsid w:val="00173280"/>
    <w:rsid w:val="00175870"/>
    <w:rsid w:val="00176BC8"/>
    <w:rsid w:val="00177A9F"/>
    <w:rsid w:val="00180B1B"/>
    <w:rsid w:val="00184E7F"/>
    <w:rsid w:val="00185758"/>
    <w:rsid w:val="00187575"/>
    <w:rsid w:val="00187792"/>
    <w:rsid w:val="00187E34"/>
    <w:rsid w:val="0019192D"/>
    <w:rsid w:val="0019277F"/>
    <w:rsid w:val="00192933"/>
    <w:rsid w:val="00192D52"/>
    <w:rsid w:val="00193D73"/>
    <w:rsid w:val="001A1ECC"/>
    <w:rsid w:val="001A2018"/>
    <w:rsid w:val="001A3775"/>
    <w:rsid w:val="001A3D7B"/>
    <w:rsid w:val="001A5DCC"/>
    <w:rsid w:val="001B2CDA"/>
    <w:rsid w:val="001B4A1A"/>
    <w:rsid w:val="001B519C"/>
    <w:rsid w:val="001B5CD4"/>
    <w:rsid w:val="001B761A"/>
    <w:rsid w:val="001C12D4"/>
    <w:rsid w:val="001C21A9"/>
    <w:rsid w:val="001C232C"/>
    <w:rsid w:val="001C2EE0"/>
    <w:rsid w:val="001C7AD1"/>
    <w:rsid w:val="001D024E"/>
    <w:rsid w:val="001D0660"/>
    <w:rsid w:val="001D38A0"/>
    <w:rsid w:val="001D4214"/>
    <w:rsid w:val="001D4835"/>
    <w:rsid w:val="001D5B4C"/>
    <w:rsid w:val="001E07CB"/>
    <w:rsid w:val="001E2218"/>
    <w:rsid w:val="001E29D4"/>
    <w:rsid w:val="001E335A"/>
    <w:rsid w:val="001E3648"/>
    <w:rsid w:val="001E5076"/>
    <w:rsid w:val="001E53F8"/>
    <w:rsid w:val="001E6C41"/>
    <w:rsid w:val="001E73C2"/>
    <w:rsid w:val="001E7677"/>
    <w:rsid w:val="001F0216"/>
    <w:rsid w:val="001F1D13"/>
    <w:rsid w:val="001F36E2"/>
    <w:rsid w:val="001F3E9F"/>
    <w:rsid w:val="001F559F"/>
    <w:rsid w:val="001F5B28"/>
    <w:rsid w:val="001F65A2"/>
    <w:rsid w:val="001F75C2"/>
    <w:rsid w:val="00200A7E"/>
    <w:rsid w:val="002027E2"/>
    <w:rsid w:val="00203B40"/>
    <w:rsid w:val="00204781"/>
    <w:rsid w:val="00204D4C"/>
    <w:rsid w:val="00204EE8"/>
    <w:rsid w:val="00206E23"/>
    <w:rsid w:val="002114A9"/>
    <w:rsid w:val="00212C2A"/>
    <w:rsid w:val="002135C8"/>
    <w:rsid w:val="00213AEF"/>
    <w:rsid w:val="00214C35"/>
    <w:rsid w:val="002228D6"/>
    <w:rsid w:val="00222EFA"/>
    <w:rsid w:val="00224A3B"/>
    <w:rsid w:val="002263B2"/>
    <w:rsid w:val="002275AC"/>
    <w:rsid w:val="002330D9"/>
    <w:rsid w:val="0023378D"/>
    <w:rsid w:val="00236184"/>
    <w:rsid w:val="002379AB"/>
    <w:rsid w:val="0024133B"/>
    <w:rsid w:val="0024194F"/>
    <w:rsid w:val="00243462"/>
    <w:rsid w:val="00245079"/>
    <w:rsid w:val="002461A8"/>
    <w:rsid w:val="00247074"/>
    <w:rsid w:val="002476D4"/>
    <w:rsid w:val="00247D55"/>
    <w:rsid w:val="00250A9E"/>
    <w:rsid w:val="002517AD"/>
    <w:rsid w:val="00254AE6"/>
    <w:rsid w:val="00254EB4"/>
    <w:rsid w:val="00257C82"/>
    <w:rsid w:val="00260195"/>
    <w:rsid w:val="0026391B"/>
    <w:rsid w:val="002639EE"/>
    <w:rsid w:val="00263BFE"/>
    <w:rsid w:val="00265B86"/>
    <w:rsid w:val="00271DD1"/>
    <w:rsid w:val="00272187"/>
    <w:rsid w:val="00276808"/>
    <w:rsid w:val="00277B6F"/>
    <w:rsid w:val="002818A5"/>
    <w:rsid w:val="002823D5"/>
    <w:rsid w:val="00282EFC"/>
    <w:rsid w:val="0028312C"/>
    <w:rsid w:val="00286C8E"/>
    <w:rsid w:val="00295491"/>
    <w:rsid w:val="002968F0"/>
    <w:rsid w:val="002976B8"/>
    <w:rsid w:val="002A1DD9"/>
    <w:rsid w:val="002A4866"/>
    <w:rsid w:val="002A54A3"/>
    <w:rsid w:val="002A6CF0"/>
    <w:rsid w:val="002A7BEC"/>
    <w:rsid w:val="002B0A59"/>
    <w:rsid w:val="002B1324"/>
    <w:rsid w:val="002B2DED"/>
    <w:rsid w:val="002B47C2"/>
    <w:rsid w:val="002B6C7B"/>
    <w:rsid w:val="002C01C3"/>
    <w:rsid w:val="002C0562"/>
    <w:rsid w:val="002C0F54"/>
    <w:rsid w:val="002C125E"/>
    <w:rsid w:val="002C1391"/>
    <w:rsid w:val="002C2479"/>
    <w:rsid w:val="002C3750"/>
    <w:rsid w:val="002C4693"/>
    <w:rsid w:val="002C4AA6"/>
    <w:rsid w:val="002C54CC"/>
    <w:rsid w:val="002C60B1"/>
    <w:rsid w:val="002C7C05"/>
    <w:rsid w:val="002C7F86"/>
    <w:rsid w:val="002D0DEB"/>
    <w:rsid w:val="002D14C1"/>
    <w:rsid w:val="002D1956"/>
    <w:rsid w:val="002D28E5"/>
    <w:rsid w:val="002D2D15"/>
    <w:rsid w:val="002D309F"/>
    <w:rsid w:val="002D3DDE"/>
    <w:rsid w:val="002D535B"/>
    <w:rsid w:val="002D5581"/>
    <w:rsid w:val="002D59FC"/>
    <w:rsid w:val="002D5D26"/>
    <w:rsid w:val="002E01E6"/>
    <w:rsid w:val="002E2795"/>
    <w:rsid w:val="002F14F5"/>
    <w:rsid w:val="002F44CC"/>
    <w:rsid w:val="002F5941"/>
    <w:rsid w:val="002F7124"/>
    <w:rsid w:val="002F7A86"/>
    <w:rsid w:val="002F7CA4"/>
    <w:rsid w:val="00302BF9"/>
    <w:rsid w:val="00302F49"/>
    <w:rsid w:val="0030383C"/>
    <w:rsid w:val="00304166"/>
    <w:rsid w:val="003049BE"/>
    <w:rsid w:val="003054C3"/>
    <w:rsid w:val="00306559"/>
    <w:rsid w:val="0031066E"/>
    <w:rsid w:val="00311B65"/>
    <w:rsid w:val="003127AC"/>
    <w:rsid w:val="00314848"/>
    <w:rsid w:val="003165F8"/>
    <w:rsid w:val="0031715C"/>
    <w:rsid w:val="003175C4"/>
    <w:rsid w:val="00320526"/>
    <w:rsid w:val="00321F19"/>
    <w:rsid w:val="003229A9"/>
    <w:rsid w:val="0032329D"/>
    <w:rsid w:val="0032411B"/>
    <w:rsid w:val="003245E5"/>
    <w:rsid w:val="00325087"/>
    <w:rsid w:val="00326DA3"/>
    <w:rsid w:val="00326F3C"/>
    <w:rsid w:val="00330139"/>
    <w:rsid w:val="003335FD"/>
    <w:rsid w:val="003336F3"/>
    <w:rsid w:val="003344B9"/>
    <w:rsid w:val="0033565A"/>
    <w:rsid w:val="003363CE"/>
    <w:rsid w:val="00337A2F"/>
    <w:rsid w:val="00344F6B"/>
    <w:rsid w:val="00345789"/>
    <w:rsid w:val="003479A5"/>
    <w:rsid w:val="00351367"/>
    <w:rsid w:val="00351A60"/>
    <w:rsid w:val="00354649"/>
    <w:rsid w:val="003549B3"/>
    <w:rsid w:val="00356B7C"/>
    <w:rsid w:val="00356DB5"/>
    <w:rsid w:val="00357603"/>
    <w:rsid w:val="00357E2A"/>
    <w:rsid w:val="00361635"/>
    <w:rsid w:val="003647B9"/>
    <w:rsid w:val="00364FFA"/>
    <w:rsid w:val="00370A7A"/>
    <w:rsid w:val="00374767"/>
    <w:rsid w:val="00374C38"/>
    <w:rsid w:val="003751E9"/>
    <w:rsid w:val="00375AED"/>
    <w:rsid w:val="00377C57"/>
    <w:rsid w:val="00380542"/>
    <w:rsid w:val="0038261A"/>
    <w:rsid w:val="0038341A"/>
    <w:rsid w:val="00383EA3"/>
    <w:rsid w:val="0038450E"/>
    <w:rsid w:val="00385242"/>
    <w:rsid w:val="00386521"/>
    <w:rsid w:val="00390472"/>
    <w:rsid w:val="00390B6F"/>
    <w:rsid w:val="003927B0"/>
    <w:rsid w:val="003934F6"/>
    <w:rsid w:val="00393C33"/>
    <w:rsid w:val="0039564E"/>
    <w:rsid w:val="003963B5"/>
    <w:rsid w:val="003964B0"/>
    <w:rsid w:val="003A30C4"/>
    <w:rsid w:val="003A3FAA"/>
    <w:rsid w:val="003A471C"/>
    <w:rsid w:val="003A4A9B"/>
    <w:rsid w:val="003A7864"/>
    <w:rsid w:val="003B0329"/>
    <w:rsid w:val="003B2D03"/>
    <w:rsid w:val="003B3A2C"/>
    <w:rsid w:val="003B3F90"/>
    <w:rsid w:val="003B4123"/>
    <w:rsid w:val="003B4608"/>
    <w:rsid w:val="003B79E7"/>
    <w:rsid w:val="003C0C7D"/>
    <w:rsid w:val="003C1742"/>
    <w:rsid w:val="003C3B94"/>
    <w:rsid w:val="003C4C37"/>
    <w:rsid w:val="003C5493"/>
    <w:rsid w:val="003C66B6"/>
    <w:rsid w:val="003C7D9C"/>
    <w:rsid w:val="003C7ECE"/>
    <w:rsid w:val="003D0909"/>
    <w:rsid w:val="003D0D8D"/>
    <w:rsid w:val="003D1776"/>
    <w:rsid w:val="003D2FD3"/>
    <w:rsid w:val="003D651B"/>
    <w:rsid w:val="003E40AD"/>
    <w:rsid w:val="003E4348"/>
    <w:rsid w:val="003E4DDE"/>
    <w:rsid w:val="003E55FC"/>
    <w:rsid w:val="003E7A1D"/>
    <w:rsid w:val="003E7AEB"/>
    <w:rsid w:val="003F044E"/>
    <w:rsid w:val="003F0AD7"/>
    <w:rsid w:val="003F0D50"/>
    <w:rsid w:val="003F13CC"/>
    <w:rsid w:val="003F2432"/>
    <w:rsid w:val="003F243C"/>
    <w:rsid w:val="003F415A"/>
    <w:rsid w:val="003F7F5A"/>
    <w:rsid w:val="004006B4"/>
    <w:rsid w:val="0040291A"/>
    <w:rsid w:val="004032F2"/>
    <w:rsid w:val="004046B0"/>
    <w:rsid w:val="00404943"/>
    <w:rsid w:val="0040528F"/>
    <w:rsid w:val="004060FB"/>
    <w:rsid w:val="0040627B"/>
    <w:rsid w:val="00407E02"/>
    <w:rsid w:val="00410BA6"/>
    <w:rsid w:val="00411177"/>
    <w:rsid w:val="00412625"/>
    <w:rsid w:val="00413623"/>
    <w:rsid w:val="00413A46"/>
    <w:rsid w:val="00413CBA"/>
    <w:rsid w:val="00417994"/>
    <w:rsid w:val="00417AFF"/>
    <w:rsid w:val="00420ABC"/>
    <w:rsid w:val="00421FA2"/>
    <w:rsid w:val="0042295C"/>
    <w:rsid w:val="00424E07"/>
    <w:rsid w:val="00432363"/>
    <w:rsid w:val="00434394"/>
    <w:rsid w:val="00436DDE"/>
    <w:rsid w:val="00440C6C"/>
    <w:rsid w:val="004421DA"/>
    <w:rsid w:val="0044289D"/>
    <w:rsid w:val="00444003"/>
    <w:rsid w:val="00444629"/>
    <w:rsid w:val="00446C42"/>
    <w:rsid w:val="00447902"/>
    <w:rsid w:val="004479D8"/>
    <w:rsid w:val="00447E89"/>
    <w:rsid w:val="00447F6A"/>
    <w:rsid w:val="00451AA0"/>
    <w:rsid w:val="00452E77"/>
    <w:rsid w:val="004548D0"/>
    <w:rsid w:val="00454CCE"/>
    <w:rsid w:val="00454DD7"/>
    <w:rsid w:val="00455637"/>
    <w:rsid w:val="00455FBB"/>
    <w:rsid w:val="0046087B"/>
    <w:rsid w:val="004609AA"/>
    <w:rsid w:val="0046191C"/>
    <w:rsid w:val="004626B3"/>
    <w:rsid w:val="00466BE7"/>
    <w:rsid w:val="00466DA7"/>
    <w:rsid w:val="004674DB"/>
    <w:rsid w:val="00467843"/>
    <w:rsid w:val="00467F4B"/>
    <w:rsid w:val="004700F9"/>
    <w:rsid w:val="0047052A"/>
    <w:rsid w:val="0047179E"/>
    <w:rsid w:val="00471E35"/>
    <w:rsid w:val="00472053"/>
    <w:rsid w:val="004733AB"/>
    <w:rsid w:val="004755B4"/>
    <w:rsid w:val="00476F62"/>
    <w:rsid w:val="00477702"/>
    <w:rsid w:val="00481B2B"/>
    <w:rsid w:val="00481DAB"/>
    <w:rsid w:val="00484529"/>
    <w:rsid w:val="00485100"/>
    <w:rsid w:val="004878F8"/>
    <w:rsid w:val="0049019C"/>
    <w:rsid w:val="00490D15"/>
    <w:rsid w:val="004926A6"/>
    <w:rsid w:val="00494285"/>
    <w:rsid w:val="00494A95"/>
    <w:rsid w:val="0049742E"/>
    <w:rsid w:val="00497D15"/>
    <w:rsid w:val="004A248C"/>
    <w:rsid w:val="004A2D98"/>
    <w:rsid w:val="004A3882"/>
    <w:rsid w:val="004A53AF"/>
    <w:rsid w:val="004A79DD"/>
    <w:rsid w:val="004B2455"/>
    <w:rsid w:val="004B3C64"/>
    <w:rsid w:val="004B451A"/>
    <w:rsid w:val="004B4E62"/>
    <w:rsid w:val="004C623E"/>
    <w:rsid w:val="004D132B"/>
    <w:rsid w:val="004D22CD"/>
    <w:rsid w:val="004D7092"/>
    <w:rsid w:val="004D7324"/>
    <w:rsid w:val="004E0423"/>
    <w:rsid w:val="004E14C0"/>
    <w:rsid w:val="004E1694"/>
    <w:rsid w:val="004E23C8"/>
    <w:rsid w:val="004E2F2E"/>
    <w:rsid w:val="004E514D"/>
    <w:rsid w:val="004F0575"/>
    <w:rsid w:val="004F0FB0"/>
    <w:rsid w:val="004F48A0"/>
    <w:rsid w:val="004F4DB7"/>
    <w:rsid w:val="004F55C4"/>
    <w:rsid w:val="004F7196"/>
    <w:rsid w:val="004F783B"/>
    <w:rsid w:val="005009C1"/>
    <w:rsid w:val="00500A81"/>
    <w:rsid w:val="00501284"/>
    <w:rsid w:val="00503BFD"/>
    <w:rsid w:val="00504142"/>
    <w:rsid w:val="005041C3"/>
    <w:rsid w:val="00514C12"/>
    <w:rsid w:val="00514CDA"/>
    <w:rsid w:val="00515566"/>
    <w:rsid w:val="00516792"/>
    <w:rsid w:val="005228D3"/>
    <w:rsid w:val="00523300"/>
    <w:rsid w:val="005243D9"/>
    <w:rsid w:val="00526466"/>
    <w:rsid w:val="005272BD"/>
    <w:rsid w:val="0053174C"/>
    <w:rsid w:val="00533384"/>
    <w:rsid w:val="00534148"/>
    <w:rsid w:val="00536313"/>
    <w:rsid w:val="00536341"/>
    <w:rsid w:val="005411F4"/>
    <w:rsid w:val="00541F9B"/>
    <w:rsid w:val="00542C0E"/>
    <w:rsid w:val="0054440A"/>
    <w:rsid w:val="005469AA"/>
    <w:rsid w:val="00546A21"/>
    <w:rsid w:val="00551611"/>
    <w:rsid w:val="00551D68"/>
    <w:rsid w:val="00552A0E"/>
    <w:rsid w:val="00552EA2"/>
    <w:rsid w:val="00553776"/>
    <w:rsid w:val="00553E3E"/>
    <w:rsid w:val="00555637"/>
    <w:rsid w:val="00556469"/>
    <w:rsid w:val="00557E26"/>
    <w:rsid w:val="005600DC"/>
    <w:rsid w:val="005631EB"/>
    <w:rsid w:val="00565258"/>
    <w:rsid w:val="00565CE7"/>
    <w:rsid w:val="005668B2"/>
    <w:rsid w:val="0056748E"/>
    <w:rsid w:val="005710E5"/>
    <w:rsid w:val="00572D49"/>
    <w:rsid w:val="00573631"/>
    <w:rsid w:val="00575CA8"/>
    <w:rsid w:val="00576024"/>
    <w:rsid w:val="005765AD"/>
    <w:rsid w:val="00576673"/>
    <w:rsid w:val="00577265"/>
    <w:rsid w:val="005820D1"/>
    <w:rsid w:val="00584EFF"/>
    <w:rsid w:val="0058759C"/>
    <w:rsid w:val="00591360"/>
    <w:rsid w:val="00594059"/>
    <w:rsid w:val="00596A6E"/>
    <w:rsid w:val="00597166"/>
    <w:rsid w:val="005A1E20"/>
    <w:rsid w:val="005A1E88"/>
    <w:rsid w:val="005A317B"/>
    <w:rsid w:val="005A3294"/>
    <w:rsid w:val="005A476C"/>
    <w:rsid w:val="005A5E29"/>
    <w:rsid w:val="005A6199"/>
    <w:rsid w:val="005B0084"/>
    <w:rsid w:val="005B0121"/>
    <w:rsid w:val="005B1FA1"/>
    <w:rsid w:val="005B2340"/>
    <w:rsid w:val="005B35C7"/>
    <w:rsid w:val="005B487B"/>
    <w:rsid w:val="005B48E1"/>
    <w:rsid w:val="005B4D1D"/>
    <w:rsid w:val="005B6847"/>
    <w:rsid w:val="005B7855"/>
    <w:rsid w:val="005B7E1D"/>
    <w:rsid w:val="005C219E"/>
    <w:rsid w:val="005C2363"/>
    <w:rsid w:val="005C3655"/>
    <w:rsid w:val="005C7FAF"/>
    <w:rsid w:val="005D000B"/>
    <w:rsid w:val="005D0928"/>
    <w:rsid w:val="005D11B1"/>
    <w:rsid w:val="005D2382"/>
    <w:rsid w:val="005D2682"/>
    <w:rsid w:val="005D45F6"/>
    <w:rsid w:val="005D48A7"/>
    <w:rsid w:val="005E0549"/>
    <w:rsid w:val="005E0574"/>
    <w:rsid w:val="005E072D"/>
    <w:rsid w:val="005E176A"/>
    <w:rsid w:val="005E2E3D"/>
    <w:rsid w:val="005E54A4"/>
    <w:rsid w:val="005E6530"/>
    <w:rsid w:val="005E6661"/>
    <w:rsid w:val="005E6A6D"/>
    <w:rsid w:val="005F1474"/>
    <w:rsid w:val="005F1C8C"/>
    <w:rsid w:val="005F28CE"/>
    <w:rsid w:val="005F56CD"/>
    <w:rsid w:val="005F7455"/>
    <w:rsid w:val="005F798F"/>
    <w:rsid w:val="00600246"/>
    <w:rsid w:val="006022A5"/>
    <w:rsid w:val="00610226"/>
    <w:rsid w:val="00610248"/>
    <w:rsid w:val="006105DC"/>
    <w:rsid w:val="0061214A"/>
    <w:rsid w:val="00613F17"/>
    <w:rsid w:val="006154E2"/>
    <w:rsid w:val="00615A07"/>
    <w:rsid w:val="00617353"/>
    <w:rsid w:val="006173EA"/>
    <w:rsid w:val="00620DC1"/>
    <w:rsid w:val="00622812"/>
    <w:rsid w:val="00624385"/>
    <w:rsid w:val="00624752"/>
    <w:rsid w:val="006247E5"/>
    <w:rsid w:val="00625AAB"/>
    <w:rsid w:val="00626162"/>
    <w:rsid w:val="00626E81"/>
    <w:rsid w:val="00630036"/>
    <w:rsid w:val="00630997"/>
    <w:rsid w:val="0063170A"/>
    <w:rsid w:val="00634953"/>
    <w:rsid w:val="00636489"/>
    <w:rsid w:val="00641D7D"/>
    <w:rsid w:val="00645561"/>
    <w:rsid w:val="0064768E"/>
    <w:rsid w:val="00651070"/>
    <w:rsid w:val="0065167B"/>
    <w:rsid w:val="006530C4"/>
    <w:rsid w:val="00656C93"/>
    <w:rsid w:val="006621CB"/>
    <w:rsid w:val="006647CD"/>
    <w:rsid w:val="00665633"/>
    <w:rsid w:val="00665DAD"/>
    <w:rsid w:val="00665E66"/>
    <w:rsid w:val="00667DDC"/>
    <w:rsid w:val="00670C80"/>
    <w:rsid w:val="00672F08"/>
    <w:rsid w:val="0067370B"/>
    <w:rsid w:val="00676081"/>
    <w:rsid w:val="00676D0A"/>
    <w:rsid w:val="00676ECB"/>
    <w:rsid w:val="00680637"/>
    <w:rsid w:val="0068350E"/>
    <w:rsid w:val="006838A6"/>
    <w:rsid w:val="00685764"/>
    <w:rsid w:val="006869A1"/>
    <w:rsid w:val="00690B90"/>
    <w:rsid w:val="006924CF"/>
    <w:rsid w:val="0069359C"/>
    <w:rsid w:val="006938C0"/>
    <w:rsid w:val="0069583B"/>
    <w:rsid w:val="00695B51"/>
    <w:rsid w:val="00695F2D"/>
    <w:rsid w:val="00697147"/>
    <w:rsid w:val="006976EC"/>
    <w:rsid w:val="006A015C"/>
    <w:rsid w:val="006A2CA9"/>
    <w:rsid w:val="006A2E82"/>
    <w:rsid w:val="006A3897"/>
    <w:rsid w:val="006A4477"/>
    <w:rsid w:val="006A470D"/>
    <w:rsid w:val="006A4B44"/>
    <w:rsid w:val="006A51A8"/>
    <w:rsid w:val="006A5853"/>
    <w:rsid w:val="006A689C"/>
    <w:rsid w:val="006B00A5"/>
    <w:rsid w:val="006B0231"/>
    <w:rsid w:val="006B2EED"/>
    <w:rsid w:val="006B42C2"/>
    <w:rsid w:val="006B483B"/>
    <w:rsid w:val="006B4C84"/>
    <w:rsid w:val="006B4F61"/>
    <w:rsid w:val="006B5F3A"/>
    <w:rsid w:val="006C0FC7"/>
    <w:rsid w:val="006C1908"/>
    <w:rsid w:val="006C1B2F"/>
    <w:rsid w:val="006C30BD"/>
    <w:rsid w:val="006C36E8"/>
    <w:rsid w:val="006C3C85"/>
    <w:rsid w:val="006C4D19"/>
    <w:rsid w:val="006C5AEF"/>
    <w:rsid w:val="006C5D61"/>
    <w:rsid w:val="006C6B2B"/>
    <w:rsid w:val="006C6D83"/>
    <w:rsid w:val="006D003D"/>
    <w:rsid w:val="006D3273"/>
    <w:rsid w:val="006D4845"/>
    <w:rsid w:val="006D4A8A"/>
    <w:rsid w:val="006E1571"/>
    <w:rsid w:val="006E33F0"/>
    <w:rsid w:val="006E5DEE"/>
    <w:rsid w:val="006F0D80"/>
    <w:rsid w:val="006F1246"/>
    <w:rsid w:val="006F12CF"/>
    <w:rsid w:val="006F1953"/>
    <w:rsid w:val="006F1AA0"/>
    <w:rsid w:val="006F2C8A"/>
    <w:rsid w:val="006F3AD8"/>
    <w:rsid w:val="006F5EFA"/>
    <w:rsid w:val="006F6478"/>
    <w:rsid w:val="006F7788"/>
    <w:rsid w:val="00700A67"/>
    <w:rsid w:val="00700B12"/>
    <w:rsid w:val="00701A38"/>
    <w:rsid w:val="007021FB"/>
    <w:rsid w:val="00702527"/>
    <w:rsid w:val="007044AF"/>
    <w:rsid w:val="00704587"/>
    <w:rsid w:val="00706456"/>
    <w:rsid w:val="00706EA0"/>
    <w:rsid w:val="00713AED"/>
    <w:rsid w:val="00713FE4"/>
    <w:rsid w:val="0071558D"/>
    <w:rsid w:val="007158BA"/>
    <w:rsid w:val="00717857"/>
    <w:rsid w:val="00720493"/>
    <w:rsid w:val="00721582"/>
    <w:rsid w:val="00723F5A"/>
    <w:rsid w:val="0072408C"/>
    <w:rsid w:val="007247A9"/>
    <w:rsid w:val="00724CB2"/>
    <w:rsid w:val="00725C87"/>
    <w:rsid w:val="0072715B"/>
    <w:rsid w:val="007313C1"/>
    <w:rsid w:val="00732C4C"/>
    <w:rsid w:val="007332E0"/>
    <w:rsid w:val="00733AF9"/>
    <w:rsid w:val="00733D2C"/>
    <w:rsid w:val="00734281"/>
    <w:rsid w:val="00740C74"/>
    <w:rsid w:val="007414F2"/>
    <w:rsid w:val="00741DB0"/>
    <w:rsid w:val="007421F0"/>
    <w:rsid w:val="00746502"/>
    <w:rsid w:val="00751862"/>
    <w:rsid w:val="00754AA3"/>
    <w:rsid w:val="0075731B"/>
    <w:rsid w:val="00760197"/>
    <w:rsid w:val="00760ABE"/>
    <w:rsid w:val="00760D2C"/>
    <w:rsid w:val="00760F53"/>
    <w:rsid w:val="00761E3E"/>
    <w:rsid w:val="007633A4"/>
    <w:rsid w:val="00763588"/>
    <w:rsid w:val="00764DC6"/>
    <w:rsid w:val="00765615"/>
    <w:rsid w:val="007660FA"/>
    <w:rsid w:val="007661A6"/>
    <w:rsid w:val="007664B5"/>
    <w:rsid w:val="0077535A"/>
    <w:rsid w:val="00776AF3"/>
    <w:rsid w:val="007806F6"/>
    <w:rsid w:val="007823DD"/>
    <w:rsid w:val="00785E26"/>
    <w:rsid w:val="007861CF"/>
    <w:rsid w:val="0079204A"/>
    <w:rsid w:val="00793807"/>
    <w:rsid w:val="00794A51"/>
    <w:rsid w:val="00794CB7"/>
    <w:rsid w:val="00795124"/>
    <w:rsid w:val="00795836"/>
    <w:rsid w:val="007967CD"/>
    <w:rsid w:val="007978C0"/>
    <w:rsid w:val="00797A04"/>
    <w:rsid w:val="007A055A"/>
    <w:rsid w:val="007A0B4A"/>
    <w:rsid w:val="007A0D1A"/>
    <w:rsid w:val="007A2EB5"/>
    <w:rsid w:val="007A4488"/>
    <w:rsid w:val="007A4E9E"/>
    <w:rsid w:val="007A7FD5"/>
    <w:rsid w:val="007B022E"/>
    <w:rsid w:val="007B22EC"/>
    <w:rsid w:val="007B37A2"/>
    <w:rsid w:val="007B43DF"/>
    <w:rsid w:val="007B5537"/>
    <w:rsid w:val="007B5A4A"/>
    <w:rsid w:val="007B759B"/>
    <w:rsid w:val="007C009C"/>
    <w:rsid w:val="007C0764"/>
    <w:rsid w:val="007C15AA"/>
    <w:rsid w:val="007C1B9F"/>
    <w:rsid w:val="007C3B23"/>
    <w:rsid w:val="007C49A3"/>
    <w:rsid w:val="007C58BF"/>
    <w:rsid w:val="007C670A"/>
    <w:rsid w:val="007C6771"/>
    <w:rsid w:val="007C7788"/>
    <w:rsid w:val="007D00CC"/>
    <w:rsid w:val="007D0A75"/>
    <w:rsid w:val="007D366B"/>
    <w:rsid w:val="007D4257"/>
    <w:rsid w:val="007D4773"/>
    <w:rsid w:val="007D59A4"/>
    <w:rsid w:val="007D6EA2"/>
    <w:rsid w:val="007D73C0"/>
    <w:rsid w:val="007E0E9F"/>
    <w:rsid w:val="007E12A8"/>
    <w:rsid w:val="007E25E9"/>
    <w:rsid w:val="007E340F"/>
    <w:rsid w:val="007E3B39"/>
    <w:rsid w:val="007E48EE"/>
    <w:rsid w:val="007E4D60"/>
    <w:rsid w:val="007E72DB"/>
    <w:rsid w:val="007F007F"/>
    <w:rsid w:val="007F05F8"/>
    <w:rsid w:val="007F164D"/>
    <w:rsid w:val="007F21DA"/>
    <w:rsid w:val="007F37A7"/>
    <w:rsid w:val="007F525F"/>
    <w:rsid w:val="007F6B2D"/>
    <w:rsid w:val="0080269D"/>
    <w:rsid w:val="008031BE"/>
    <w:rsid w:val="00805047"/>
    <w:rsid w:val="008079A2"/>
    <w:rsid w:val="00816ACC"/>
    <w:rsid w:val="00817EA6"/>
    <w:rsid w:val="00820329"/>
    <w:rsid w:val="00823553"/>
    <w:rsid w:val="008253D9"/>
    <w:rsid w:val="008303C7"/>
    <w:rsid w:val="00831F42"/>
    <w:rsid w:val="0083477C"/>
    <w:rsid w:val="00836E22"/>
    <w:rsid w:val="00840509"/>
    <w:rsid w:val="00840CC4"/>
    <w:rsid w:val="008426CF"/>
    <w:rsid w:val="008430CA"/>
    <w:rsid w:val="008436CA"/>
    <w:rsid w:val="0084371A"/>
    <w:rsid w:val="00846A31"/>
    <w:rsid w:val="0084785C"/>
    <w:rsid w:val="00851332"/>
    <w:rsid w:val="00851B30"/>
    <w:rsid w:val="00856824"/>
    <w:rsid w:val="00856A44"/>
    <w:rsid w:val="00857480"/>
    <w:rsid w:val="008603B7"/>
    <w:rsid w:val="00860F1F"/>
    <w:rsid w:val="00863251"/>
    <w:rsid w:val="00863F4B"/>
    <w:rsid w:val="00867FBD"/>
    <w:rsid w:val="00870389"/>
    <w:rsid w:val="00872206"/>
    <w:rsid w:val="00872EED"/>
    <w:rsid w:val="00874C5F"/>
    <w:rsid w:val="008756B4"/>
    <w:rsid w:val="00876FD2"/>
    <w:rsid w:val="00880478"/>
    <w:rsid w:val="008809BC"/>
    <w:rsid w:val="00881872"/>
    <w:rsid w:val="00883A88"/>
    <w:rsid w:val="0088733F"/>
    <w:rsid w:val="008876AA"/>
    <w:rsid w:val="008900F7"/>
    <w:rsid w:val="0089115C"/>
    <w:rsid w:val="008920B9"/>
    <w:rsid w:val="0089321C"/>
    <w:rsid w:val="00895C0D"/>
    <w:rsid w:val="008A0FA1"/>
    <w:rsid w:val="008A224F"/>
    <w:rsid w:val="008A2B8B"/>
    <w:rsid w:val="008A30B9"/>
    <w:rsid w:val="008A64FF"/>
    <w:rsid w:val="008B1442"/>
    <w:rsid w:val="008B1E4F"/>
    <w:rsid w:val="008B2BB0"/>
    <w:rsid w:val="008B4512"/>
    <w:rsid w:val="008B4890"/>
    <w:rsid w:val="008B681D"/>
    <w:rsid w:val="008B7A7A"/>
    <w:rsid w:val="008C08D7"/>
    <w:rsid w:val="008C30A9"/>
    <w:rsid w:val="008C4842"/>
    <w:rsid w:val="008C5B47"/>
    <w:rsid w:val="008C614F"/>
    <w:rsid w:val="008C6C90"/>
    <w:rsid w:val="008D0031"/>
    <w:rsid w:val="008D16C0"/>
    <w:rsid w:val="008D307E"/>
    <w:rsid w:val="008D332F"/>
    <w:rsid w:val="008D47B8"/>
    <w:rsid w:val="008D643C"/>
    <w:rsid w:val="008E0B7D"/>
    <w:rsid w:val="008E1662"/>
    <w:rsid w:val="008E200C"/>
    <w:rsid w:val="008E24A5"/>
    <w:rsid w:val="008E3EFC"/>
    <w:rsid w:val="008E424F"/>
    <w:rsid w:val="008E530A"/>
    <w:rsid w:val="008E6DA8"/>
    <w:rsid w:val="008E6F27"/>
    <w:rsid w:val="008F0C56"/>
    <w:rsid w:val="008F1021"/>
    <w:rsid w:val="008F1D1C"/>
    <w:rsid w:val="008F409E"/>
    <w:rsid w:val="008F43D7"/>
    <w:rsid w:val="008F44CA"/>
    <w:rsid w:val="008F710D"/>
    <w:rsid w:val="0090067F"/>
    <w:rsid w:val="00901506"/>
    <w:rsid w:val="00901703"/>
    <w:rsid w:val="00902E2B"/>
    <w:rsid w:val="0090380C"/>
    <w:rsid w:val="00905170"/>
    <w:rsid w:val="0090522C"/>
    <w:rsid w:val="00907C8B"/>
    <w:rsid w:val="00913374"/>
    <w:rsid w:val="009150F0"/>
    <w:rsid w:val="009151B9"/>
    <w:rsid w:val="0091595E"/>
    <w:rsid w:val="00915EC3"/>
    <w:rsid w:val="00916C6C"/>
    <w:rsid w:val="00916D95"/>
    <w:rsid w:val="00917080"/>
    <w:rsid w:val="00920A83"/>
    <w:rsid w:val="00920A9C"/>
    <w:rsid w:val="00920ADB"/>
    <w:rsid w:val="0092141D"/>
    <w:rsid w:val="00921662"/>
    <w:rsid w:val="00921917"/>
    <w:rsid w:val="00922567"/>
    <w:rsid w:val="009225DC"/>
    <w:rsid w:val="00922B64"/>
    <w:rsid w:val="0092432C"/>
    <w:rsid w:val="009247B2"/>
    <w:rsid w:val="009255BB"/>
    <w:rsid w:val="00931820"/>
    <w:rsid w:val="00931E8E"/>
    <w:rsid w:val="00933EAC"/>
    <w:rsid w:val="00934F5B"/>
    <w:rsid w:val="00935796"/>
    <w:rsid w:val="00935989"/>
    <w:rsid w:val="00936392"/>
    <w:rsid w:val="00941B9F"/>
    <w:rsid w:val="00944522"/>
    <w:rsid w:val="009475CC"/>
    <w:rsid w:val="0095093E"/>
    <w:rsid w:val="00951401"/>
    <w:rsid w:val="00951837"/>
    <w:rsid w:val="00952AAD"/>
    <w:rsid w:val="00952EFA"/>
    <w:rsid w:val="00953060"/>
    <w:rsid w:val="00954532"/>
    <w:rsid w:val="009556F0"/>
    <w:rsid w:val="00957AD7"/>
    <w:rsid w:val="00961B94"/>
    <w:rsid w:val="00962724"/>
    <w:rsid w:val="00962860"/>
    <w:rsid w:val="009630BA"/>
    <w:rsid w:val="00964948"/>
    <w:rsid w:val="00964EFA"/>
    <w:rsid w:val="00964FE3"/>
    <w:rsid w:val="009672E9"/>
    <w:rsid w:val="009673C0"/>
    <w:rsid w:val="009738EC"/>
    <w:rsid w:val="009749EC"/>
    <w:rsid w:val="009757F0"/>
    <w:rsid w:val="00975BB6"/>
    <w:rsid w:val="00981F14"/>
    <w:rsid w:val="009847AD"/>
    <w:rsid w:val="00984BF1"/>
    <w:rsid w:val="009875FC"/>
    <w:rsid w:val="00990D39"/>
    <w:rsid w:val="00992F89"/>
    <w:rsid w:val="00993472"/>
    <w:rsid w:val="00993D10"/>
    <w:rsid w:val="009A06B7"/>
    <w:rsid w:val="009A2210"/>
    <w:rsid w:val="009A23C2"/>
    <w:rsid w:val="009A25B0"/>
    <w:rsid w:val="009A2C4D"/>
    <w:rsid w:val="009A52DF"/>
    <w:rsid w:val="009A66E3"/>
    <w:rsid w:val="009A7F83"/>
    <w:rsid w:val="009B71B9"/>
    <w:rsid w:val="009B7CA5"/>
    <w:rsid w:val="009C07AD"/>
    <w:rsid w:val="009C19D2"/>
    <w:rsid w:val="009C435B"/>
    <w:rsid w:val="009C5471"/>
    <w:rsid w:val="009D0508"/>
    <w:rsid w:val="009D360F"/>
    <w:rsid w:val="009D4071"/>
    <w:rsid w:val="009D6359"/>
    <w:rsid w:val="009D712D"/>
    <w:rsid w:val="009E21BD"/>
    <w:rsid w:val="009E22F4"/>
    <w:rsid w:val="009E4780"/>
    <w:rsid w:val="009E4C5B"/>
    <w:rsid w:val="009E5CDB"/>
    <w:rsid w:val="009E792C"/>
    <w:rsid w:val="009F21FA"/>
    <w:rsid w:val="009F33F3"/>
    <w:rsid w:val="009F3B16"/>
    <w:rsid w:val="009F5A40"/>
    <w:rsid w:val="009F721F"/>
    <w:rsid w:val="009F7BD7"/>
    <w:rsid w:val="00A0062E"/>
    <w:rsid w:val="00A01E2D"/>
    <w:rsid w:val="00A025EE"/>
    <w:rsid w:val="00A02FC8"/>
    <w:rsid w:val="00A045CA"/>
    <w:rsid w:val="00A05C4A"/>
    <w:rsid w:val="00A05EB2"/>
    <w:rsid w:val="00A06628"/>
    <w:rsid w:val="00A07C6A"/>
    <w:rsid w:val="00A11B82"/>
    <w:rsid w:val="00A123A2"/>
    <w:rsid w:val="00A13EA1"/>
    <w:rsid w:val="00A16B12"/>
    <w:rsid w:val="00A16F7E"/>
    <w:rsid w:val="00A20843"/>
    <w:rsid w:val="00A20BCC"/>
    <w:rsid w:val="00A235DE"/>
    <w:rsid w:val="00A25280"/>
    <w:rsid w:val="00A25AD5"/>
    <w:rsid w:val="00A27242"/>
    <w:rsid w:val="00A27F78"/>
    <w:rsid w:val="00A313C8"/>
    <w:rsid w:val="00A33462"/>
    <w:rsid w:val="00A33A4C"/>
    <w:rsid w:val="00A36D00"/>
    <w:rsid w:val="00A40087"/>
    <w:rsid w:val="00A426FD"/>
    <w:rsid w:val="00A42989"/>
    <w:rsid w:val="00A42DA0"/>
    <w:rsid w:val="00A45F58"/>
    <w:rsid w:val="00A47ABC"/>
    <w:rsid w:val="00A47CDE"/>
    <w:rsid w:val="00A506BD"/>
    <w:rsid w:val="00A51A2D"/>
    <w:rsid w:val="00A52708"/>
    <w:rsid w:val="00A52A62"/>
    <w:rsid w:val="00A52CFE"/>
    <w:rsid w:val="00A550CD"/>
    <w:rsid w:val="00A5760B"/>
    <w:rsid w:val="00A600A2"/>
    <w:rsid w:val="00A65927"/>
    <w:rsid w:val="00A65D0F"/>
    <w:rsid w:val="00A66CC3"/>
    <w:rsid w:val="00A703F9"/>
    <w:rsid w:val="00A74135"/>
    <w:rsid w:val="00A742BD"/>
    <w:rsid w:val="00A748C0"/>
    <w:rsid w:val="00A751F0"/>
    <w:rsid w:val="00A80532"/>
    <w:rsid w:val="00A80ED9"/>
    <w:rsid w:val="00A8468A"/>
    <w:rsid w:val="00A85F54"/>
    <w:rsid w:val="00A863DB"/>
    <w:rsid w:val="00A86784"/>
    <w:rsid w:val="00A870CA"/>
    <w:rsid w:val="00A8799F"/>
    <w:rsid w:val="00A90725"/>
    <w:rsid w:val="00A93BE0"/>
    <w:rsid w:val="00A94AB6"/>
    <w:rsid w:val="00A94E42"/>
    <w:rsid w:val="00A95207"/>
    <w:rsid w:val="00A95795"/>
    <w:rsid w:val="00A97559"/>
    <w:rsid w:val="00A97747"/>
    <w:rsid w:val="00AA02CD"/>
    <w:rsid w:val="00AA13FB"/>
    <w:rsid w:val="00AA1904"/>
    <w:rsid w:val="00AA1A49"/>
    <w:rsid w:val="00AA2958"/>
    <w:rsid w:val="00AA34FE"/>
    <w:rsid w:val="00AA3CCE"/>
    <w:rsid w:val="00AA3DB2"/>
    <w:rsid w:val="00AA47A2"/>
    <w:rsid w:val="00AA6437"/>
    <w:rsid w:val="00AA7858"/>
    <w:rsid w:val="00AA7CA6"/>
    <w:rsid w:val="00AA7F86"/>
    <w:rsid w:val="00AB0A76"/>
    <w:rsid w:val="00AB0F9B"/>
    <w:rsid w:val="00AB468E"/>
    <w:rsid w:val="00AB4B0D"/>
    <w:rsid w:val="00AB53BB"/>
    <w:rsid w:val="00AB5F18"/>
    <w:rsid w:val="00AB707E"/>
    <w:rsid w:val="00AC0ADB"/>
    <w:rsid w:val="00AC1247"/>
    <w:rsid w:val="00AC3FA3"/>
    <w:rsid w:val="00AC45A9"/>
    <w:rsid w:val="00AC57C6"/>
    <w:rsid w:val="00AC6313"/>
    <w:rsid w:val="00AC7668"/>
    <w:rsid w:val="00AD01EA"/>
    <w:rsid w:val="00AD11D7"/>
    <w:rsid w:val="00AD3630"/>
    <w:rsid w:val="00AD4157"/>
    <w:rsid w:val="00AE03D7"/>
    <w:rsid w:val="00AE0F33"/>
    <w:rsid w:val="00AE2843"/>
    <w:rsid w:val="00AE29F5"/>
    <w:rsid w:val="00AE4B06"/>
    <w:rsid w:val="00AE5042"/>
    <w:rsid w:val="00AE5D39"/>
    <w:rsid w:val="00AF0C9B"/>
    <w:rsid w:val="00AF7C30"/>
    <w:rsid w:val="00B0038E"/>
    <w:rsid w:val="00B00CD0"/>
    <w:rsid w:val="00B03F2D"/>
    <w:rsid w:val="00B040E1"/>
    <w:rsid w:val="00B043EE"/>
    <w:rsid w:val="00B04496"/>
    <w:rsid w:val="00B044A2"/>
    <w:rsid w:val="00B06605"/>
    <w:rsid w:val="00B10801"/>
    <w:rsid w:val="00B11F4B"/>
    <w:rsid w:val="00B15026"/>
    <w:rsid w:val="00B251CB"/>
    <w:rsid w:val="00B26895"/>
    <w:rsid w:val="00B26B60"/>
    <w:rsid w:val="00B26F96"/>
    <w:rsid w:val="00B27BA7"/>
    <w:rsid w:val="00B30FEC"/>
    <w:rsid w:val="00B327FE"/>
    <w:rsid w:val="00B3283B"/>
    <w:rsid w:val="00B37F49"/>
    <w:rsid w:val="00B410FD"/>
    <w:rsid w:val="00B4138C"/>
    <w:rsid w:val="00B41580"/>
    <w:rsid w:val="00B41662"/>
    <w:rsid w:val="00B429F5"/>
    <w:rsid w:val="00B444C0"/>
    <w:rsid w:val="00B4618C"/>
    <w:rsid w:val="00B47925"/>
    <w:rsid w:val="00B50BA2"/>
    <w:rsid w:val="00B51697"/>
    <w:rsid w:val="00B52491"/>
    <w:rsid w:val="00B53AF2"/>
    <w:rsid w:val="00B550C0"/>
    <w:rsid w:val="00B55285"/>
    <w:rsid w:val="00B55B23"/>
    <w:rsid w:val="00B566BB"/>
    <w:rsid w:val="00B606C7"/>
    <w:rsid w:val="00B6171C"/>
    <w:rsid w:val="00B6221C"/>
    <w:rsid w:val="00B658DE"/>
    <w:rsid w:val="00B7152A"/>
    <w:rsid w:val="00B724A5"/>
    <w:rsid w:val="00B7324C"/>
    <w:rsid w:val="00B77497"/>
    <w:rsid w:val="00B81097"/>
    <w:rsid w:val="00B82659"/>
    <w:rsid w:val="00B83236"/>
    <w:rsid w:val="00B833EF"/>
    <w:rsid w:val="00B835C3"/>
    <w:rsid w:val="00B8425C"/>
    <w:rsid w:val="00B8441E"/>
    <w:rsid w:val="00B84B98"/>
    <w:rsid w:val="00B8520A"/>
    <w:rsid w:val="00B86124"/>
    <w:rsid w:val="00B8728F"/>
    <w:rsid w:val="00B87DE8"/>
    <w:rsid w:val="00B90ACF"/>
    <w:rsid w:val="00B91C40"/>
    <w:rsid w:val="00B91DE4"/>
    <w:rsid w:val="00B91FDA"/>
    <w:rsid w:val="00B9204A"/>
    <w:rsid w:val="00B96025"/>
    <w:rsid w:val="00B9723B"/>
    <w:rsid w:val="00BA0967"/>
    <w:rsid w:val="00BA1273"/>
    <w:rsid w:val="00BA1353"/>
    <w:rsid w:val="00BA3014"/>
    <w:rsid w:val="00BA3FCB"/>
    <w:rsid w:val="00BA43E9"/>
    <w:rsid w:val="00BA48AC"/>
    <w:rsid w:val="00BA49F6"/>
    <w:rsid w:val="00BA5C41"/>
    <w:rsid w:val="00BA659D"/>
    <w:rsid w:val="00BB23C0"/>
    <w:rsid w:val="00BB2FC9"/>
    <w:rsid w:val="00BB3404"/>
    <w:rsid w:val="00BB3887"/>
    <w:rsid w:val="00BB752F"/>
    <w:rsid w:val="00BC1468"/>
    <w:rsid w:val="00BC14AA"/>
    <w:rsid w:val="00BC1997"/>
    <w:rsid w:val="00BC1E1A"/>
    <w:rsid w:val="00BC20AE"/>
    <w:rsid w:val="00BC29F4"/>
    <w:rsid w:val="00BC43C1"/>
    <w:rsid w:val="00BC5B0A"/>
    <w:rsid w:val="00BC748E"/>
    <w:rsid w:val="00BD1974"/>
    <w:rsid w:val="00BD5A8A"/>
    <w:rsid w:val="00BD5E6A"/>
    <w:rsid w:val="00BD6BB1"/>
    <w:rsid w:val="00BD75CE"/>
    <w:rsid w:val="00BE281D"/>
    <w:rsid w:val="00BE28F4"/>
    <w:rsid w:val="00BE33C6"/>
    <w:rsid w:val="00BE375E"/>
    <w:rsid w:val="00BE587A"/>
    <w:rsid w:val="00BE65AA"/>
    <w:rsid w:val="00BE7CAB"/>
    <w:rsid w:val="00BF4FE1"/>
    <w:rsid w:val="00BF6F37"/>
    <w:rsid w:val="00C04D1C"/>
    <w:rsid w:val="00C04EF1"/>
    <w:rsid w:val="00C05C73"/>
    <w:rsid w:val="00C05F5D"/>
    <w:rsid w:val="00C06A47"/>
    <w:rsid w:val="00C10388"/>
    <w:rsid w:val="00C10DBA"/>
    <w:rsid w:val="00C12428"/>
    <w:rsid w:val="00C13A54"/>
    <w:rsid w:val="00C143DF"/>
    <w:rsid w:val="00C17159"/>
    <w:rsid w:val="00C1738C"/>
    <w:rsid w:val="00C20F83"/>
    <w:rsid w:val="00C214B1"/>
    <w:rsid w:val="00C21769"/>
    <w:rsid w:val="00C224CB"/>
    <w:rsid w:val="00C23FF6"/>
    <w:rsid w:val="00C24E59"/>
    <w:rsid w:val="00C2572E"/>
    <w:rsid w:val="00C26D8B"/>
    <w:rsid w:val="00C27115"/>
    <w:rsid w:val="00C3033A"/>
    <w:rsid w:val="00C3130E"/>
    <w:rsid w:val="00C31CA5"/>
    <w:rsid w:val="00C341DE"/>
    <w:rsid w:val="00C34ACE"/>
    <w:rsid w:val="00C36E46"/>
    <w:rsid w:val="00C374CE"/>
    <w:rsid w:val="00C4063B"/>
    <w:rsid w:val="00C422EC"/>
    <w:rsid w:val="00C43D19"/>
    <w:rsid w:val="00C45B34"/>
    <w:rsid w:val="00C4696B"/>
    <w:rsid w:val="00C50A43"/>
    <w:rsid w:val="00C51A31"/>
    <w:rsid w:val="00C53462"/>
    <w:rsid w:val="00C55C6B"/>
    <w:rsid w:val="00C57A70"/>
    <w:rsid w:val="00C60C3A"/>
    <w:rsid w:val="00C61011"/>
    <w:rsid w:val="00C615F2"/>
    <w:rsid w:val="00C6172B"/>
    <w:rsid w:val="00C63C2F"/>
    <w:rsid w:val="00C63FE9"/>
    <w:rsid w:val="00C70689"/>
    <w:rsid w:val="00C73FA7"/>
    <w:rsid w:val="00C7498C"/>
    <w:rsid w:val="00C7711A"/>
    <w:rsid w:val="00C8274D"/>
    <w:rsid w:val="00C83F03"/>
    <w:rsid w:val="00C86E68"/>
    <w:rsid w:val="00C878A8"/>
    <w:rsid w:val="00C87AA0"/>
    <w:rsid w:val="00C90988"/>
    <w:rsid w:val="00C90BF4"/>
    <w:rsid w:val="00C91D3F"/>
    <w:rsid w:val="00C92424"/>
    <w:rsid w:val="00C92EC4"/>
    <w:rsid w:val="00CA092E"/>
    <w:rsid w:val="00CA5AC9"/>
    <w:rsid w:val="00CA659F"/>
    <w:rsid w:val="00CA68A8"/>
    <w:rsid w:val="00CA68C0"/>
    <w:rsid w:val="00CA765E"/>
    <w:rsid w:val="00CA7740"/>
    <w:rsid w:val="00CA7ED9"/>
    <w:rsid w:val="00CB0A4D"/>
    <w:rsid w:val="00CB0BB4"/>
    <w:rsid w:val="00CB22B9"/>
    <w:rsid w:val="00CB23F5"/>
    <w:rsid w:val="00CB446D"/>
    <w:rsid w:val="00CB541F"/>
    <w:rsid w:val="00CB6676"/>
    <w:rsid w:val="00CC026B"/>
    <w:rsid w:val="00CC0518"/>
    <w:rsid w:val="00CC1D8B"/>
    <w:rsid w:val="00CC25C7"/>
    <w:rsid w:val="00CC2CA0"/>
    <w:rsid w:val="00CC333F"/>
    <w:rsid w:val="00CC41CE"/>
    <w:rsid w:val="00CC4650"/>
    <w:rsid w:val="00CC5456"/>
    <w:rsid w:val="00CC5CF3"/>
    <w:rsid w:val="00CC63A6"/>
    <w:rsid w:val="00CC7F06"/>
    <w:rsid w:val="00CD334D"/>
    <w:rsid w:val="00CD4477"/>
    <w:rsid w:val="00CD5382"/>
    <w:rsid w:val="00CD54B6"/>
    <w:rsid w:val="00CD6B5C"/>
    <w:rsid w:val="00CE29A3"/>
    <w:rsid w:val="00CE2AC5"/>
    <w:rsid w:val="00CE2FCE"/>
    <w:rsid w:val="00CE4C79"/>
    <w:rsid w:val="00CE6461"/>
    <w:rsid w:val="00CE779C"/>
    <w:rsid w:val="00CE7A7D"/>
    <w:rsid w:val="00CE7B24"/>
    <w:rsid w:val="00CF0147"/>
    <w:rsid w:val="00CF2512"/>
    <w:rsid w:val="00CF2A5C"/>
    <w:rsid w:val="00CF3EFB"/>
    <w:rsid w:val="00CF4133"/>
    <w:rsid w:val="00CF51F2"/>
    <w:rsid w:val="00CF638C"/>
    <w:rsid w:val="00CF6407"/>
    <w:rsid w:val="00CF6DFF"/>
    <w:rsid w:val="00CF7076"/>
    <w:rsid w:val="00D00200"/>
    <w:rsid w:val="00D0056B"/>
    <w:rsid w:val="00D0375C"/>
    <w:rsid w:val="00D04FFF"/>
    <w:rsid w:val="00D05B84"/>
    <w:rsid w:val="00D060B5"/>
    <w:rsid w:val="00D06C93"/>
    <w:rsid w:val="00D12FDE"/>
    <w:rsid w:val="00D2035B"/>
    <w:rsid w:val="00D210F2"/>
    <w:rsid w:val="00D2163E"/>
    <w:rsid w:val="00D23011"/>
    <w:rsid w:val="00D24729"/>
    <w:rsid w:val="00D24AA7"/>
    <w:rsid w:val="00D2589E"/>
    <w:rsid w:val="00D26AFD"/>
    <w:rsid w:val="00D26F73"/>
    <w:rsid w:val="00D27E6A"/>
    <w:rsid w:val="00D31A8F"/>
    <w:rsid w:val="00D329C7"/>
    <w:rsid w:val="00D32AAA"/>
    <w:rsid w:val="00D32FBC"/>
    <w:rsid w:val="00D33A69"/>
    <w:rsid w:val="00D359EF"/>
    <w:rsid w:val="00D35B53"/>
    <w:rsid w:val="00D40052"/>
    <w:rsid w:val="00D40406"/>
    <w:rsid w:val="00D421D3"/>
    <w:rsid w:val="00D43134"/>
    <w:rsid w:val="00D442F9"/>
    <w:rsid w:val="00D50DF1"/>
    <w:rsid w:val="00D5354A"/>
    <w:rsid w:val="00D53B4F"/>
    <w:rsid w:val="00D54631"/>
    <w:rsid w:val="00D54B2B"/>
    <w:rsid w:val="00D54C9D"/>
    <w:rsid w:val="00D56658"/>
    <w:rsid w:val="00D57454"/>
    <w:rsid w:val="00D61FCB"/>
    <w:rsid w:val="00D625B0"/>
    <w:rsid w:val="00D63A11"/>
    <w:rsid w:val="00D64C5A"/>
    <w:rsid w:val="00D6550F"/>
    <w:rsid w:val="00D6602D"/>
    <w:rsid w:val="00D6644C"/>
    <w:rsid w:val="00D665BB"/>
    <w:rsid w:val="00D67EEE"/>
    <w:rsid w:val="00D72D2B"/>
    <w:rsid w:val="00D74F21"/>
    <w:rsid w:val="00D75077"/>
    <w:rsid w:val="00D76AF6"/>
    <w:rsid w:val="00D814F9"/>
    <w:rsid w:val="00D8485E"/>
    <w:rsid w:val="00D857FD"/>
    <w:rsid w:val="00D872F1"/>
    <w:rsid w:val="00D901DA"/>
    <w:rsid w:val="00D90206"/>
    <w:rsid w:val="00D902DE"/>
    <w:rsid w:val="00D90A4A"/>
    <w:rsid w:val="00D91302"/>
    <w:rsid w:val="00D91B7C"/>
    <w:rsid w:val="00D94BD5"/>
    <w:rsid w:val="00D9586C"/>
    <w:rsid w:val="00D96FAC"/>
    <w:rsid w:val="00DA156B"/>
    <w:rsid w:val="00DA222D"/>
    <w:rsid w:val="00DA26B1"/>
    <w:rsid w:val="00DA7F7D"/>
    <w:rsid w:val="00DB009E"/>
    <w:rsid w:val="00DB0810"/>
    <w:rsid w:val="00DB29F6"/>
    <w:rsid w:val="00DB38F8"/>
    <w:rsid w:val="00DB4B07"/>
    <w:rsid w:val="00DB4EEF"/>
    <w:rsid w:val="00DB644C"/>
    <w:rsid w:val="00DC1D17"/>
    <w:rsid w:val="00DC2693"/>
    <w:rsid w:val="00DC3B38"/>
    <w:rsid w:val="00DC5168"/>
    <w:rsid w:val="00DC5C82"/>
    <w:rsid w:val="00DC6559"/>
    <w:rsid w:val="00DC6670"/>
    <w:rsid w:val="00DC6A73"/>
    <w:rsid w:val="00DC73E5"/>
    <w:rsid w:val="00DD1764"/>
    <w:rsid w:val="00DD188D"/>
    <w:rsid w:val="00DD4A42"/>
    <w:rsid w:val="00DD662F"/>
    <w:rsid w:val="00DE456A"/>
    <w:rsid w:val="00DE487A"/>
    <w:rsid w:val="00DE52E1"/>
    <w:rsid w:val="00DE5DF4"/>
    <w:rsid w:val="00DE74C7"/>
    <w:rsid w:val="00DE7BAB"/>
    <w:rsid w:val="00DF0366"/>
    <w:rsid w:val="00DF039D"/>
    <w:rsid w:val="00DF071B"/>
    <w:rsid w:val="00DF1A43"/>
    <w:rsid w:val="00DF1B01"/>
    <w:rsid w:val="00DF1B12"/>
    <w:rsid w:val="00DF2949"/>
    <w:rsid w:val="00DF2C2B"/>
    <w:rsid w:val="00DF2C5B"/>
    <w:rsid w:val="00DF309F"/>
    <w:rsid w:val="00DF57F3"/>
    <w:rsid w:val="00DF65B3"/>
    <w:rsid w:val="00DF7513"/>
    <w:rsid w:val="00DF7BAF"/>
    <w:rsid w:val="00E03F46"/>
    <w:rsid w:val="00E0551B"/>
    <w:rsid w:val="00E1026F"/>
    <w:rsid w:val="00E12273"/>
    <w:rsid w:val="00E13798"/>
    <w:rsid w:val="00E14054"/>
    <w:rsid w:val="00E14D5B"/>
    <w:rsid w:val="00E14DAF"/>
    <w:rsid w:val="00E15779"/>
    <w:rsid w:val="00E15EFC"/>
    <w:rsid w:val="00E1674B"/>
    <w:rsid w:val="00E16887"/>
    <w:rsid w:val="00E2365A"/>
    <w:rsid w:val="00E23846"/>
    <w:rsid w:val="00E25F45"/>
    <w:rsid w:val="00E27993"/>
    <w:rsid w:val="00E27C3C"/>
    <w:rsid w:val="00E30C1C"/>
    <w:rsid w:val="00E32169"/>
    <w:rsid w:val="00E322E9"/>
    <w:rsid w:val="00E332E8"/>
    <w:rsid w:val="00E34AF3"/>
    <w:rsid w:val="00E34CD4"/>
    <w:rsid w:val="00E34DD8"/>
    <w:rsid w:val="00E35927"/>
    <w:rsid w:val="00E35E42"/>
    <w:rsid w:val="00E37900"/>
    <w:rsid w:val="00E4245F"/>
    <w:rsid w:val="00E4356A"/>
    <w:rsid w:val="00E4377A"/>
    <w:rsid w:val="00E444F7"/>
    <w:rsid w:val="00E44506"/>
    <w:rsid w:val="00E44F2A"/>
    <w:rsid w:val="00E45260"/>
    <w:rsid w:val="00E454C5"/>
    <w:rsid w:val="00E47884"/>
    <w:rsid w:val="00E4797C"/>
    <w:rsid w:val="00E47D7D"/>
    <w:rsid w:val="00E543EB"/>
    <w:rsid w:val="00E55B33"/>
    <w:rsid w:val="00E55B66"/>
    <w:rsid w:val="00E56E95"/>
    <w:rsid w:val="00E61AF3"/>
    <w:rsid w:val="00E61DD6"/>
    <w:rsid w:val="00E628D9"/>
    <w:rsid w:val="00E63834"/>
    <w:rsid w:val="00E64B95"/>
    <w:rsid w:val="00E656B1"/>
    <w:rsid w:val="00E6697A"/>
    <w:rsid w:val="00E677B1"/>
    <w:rsid w:val="00E679CA"/>
    <w:rsid w:val="00E709CE"/>
    <w:rsid w:val="00E70B12"/>
    <w:rsid w:val="00E71875"/>
    <w:rsid w:val="00E75BA7"/>
    <w:rsid w:val="00E80E1C"/>
    <w:rsid w:val="00E8119E"/>
    <w:rsid w:val="00E81305"/>
    <w:rsid w:val="00E82771"/>
    <w:rsid w:val="00E833E9"/>
    <w:rsid w:val="00E8365B"/>
    <w:rsid w:val="00E84CA5"/>
    <w:rsid w:val="00E872DA"/>
    <w:rsid w:val="00E90CC0"/>
    <w:rsid w:val="00E918C8"/>
    <w:rsid w:val="00E944D4"/>
    <w:rsid w:val="00E9507B"/>
    <w:rsid w:val="00E96F61"/>
    <w:rsid w:val="00E97B03"/>
    <w:rsid w:val="00EA7682"/>
    <w:rsid w:val="00EA7EE5"/>
    <w:rsid w:val="00EB0046"/>
    <w:rsid w:val="00EB16E6"/>
    <w:rsid w:val="00EB4FC6"/>
    <w:rsid w:val="00EB51DB"/>
    <w:rsid w:val="00EB54D0"/>
    <w:rsid w:val="00EB56B7"/>
    <w:rsid w:val="00EB61AD"/>
    <w:rsid w:val="00EB79E8"/>
    <w:rsid w:val="00EC19D1"/>
    <w:rsid w:val="00EC4E04"/>
    <w:rsid w:val="00EC674A"/>
    <w:rsid w:val="00EC6D94"/>
    <w:rsid w:val="00EC7468"/>
    <w:rsid w:val="00EC74B5"/>
    <w:rsid w:val="00ED07F8"/>
    <w:rsid w:val="00ED094F"/>
    <w:rsid w:val="00ED24DD"/>
    <w:rsid w:val="00ED2E35"/>
    <w:rsid w:val="00ED2EFA"/>
    <w:rsid w:val="00ED3DF8"/>
    <w:rsid w:val="00ED6184"/>
    <w:rsid w:val="00ED68E8"/>
    <w:rsid w:val="00EE019D"/>
    <w:rsid w:val="00EE38C9"/>
    <w:rsid w:val="00EE3994"/>
    <w:rsid w:val="00EE3B26"/>
    <w:rsid w:val="00EE5142"/>
    <w:rsid w:val="00EF03B0"/>
    <w:rsid w:val="00EF1FB0"/>
    <w:rsid w:val="00EF2505"/>
    <w:rsid w:val="00EF4AC7"/>
    <w:rsid w:val="00EF76B1"/>
    <w:rsid w:val="00F0088B"/>
    <w:rsid w:val="00F0245F"/>
    <w:rsid w:val="00F0298D"/>
    <w:rsid w:val="00F0558C"/>
    <w:rsid w:val="00F057C1"/>
    <w:rsid w:val="00F05C7C"/>
    <w:rsid w:val="00F06413"/>
    <w:rsid w:val="00F07BD9"/>
    <w:rsid w:val="00F07F26"/>
    <w:rsid w:val="00F1006F"/>
    <w:rsid w:val="00F10E93"/>
    <w:rsid w:val="00F113FC"/>
    <w:rsid w:val="00F12EC0"/>
    <w:rsid w:val="00F15117"/>
    <w:rsid w:val="00F15F23"/>
    <w:rsid w:val="00F17294"/>
    <w:rsid w:val="00F20F2F"/>
    <w:rsid w:val="00F21706"/>
    <w:rsid w:val="00F2344A"/>
    <w:rsid w:val="00F258C5"/>
    <w:rsid w:val="00F26126"/>
    <w:rsid w:val="00F26281"/>
    <w:rsid w:val="00F2698C"/>
    <w:rsid w:val="00F31705"/>
    <w:rsid w:val="00F32ECB"/>
    <w:rsid w:val="00F334D4"/>
    <w:rsid w:val="00F344B2"/>
    <w:rsid w:val="00F40FCE"/>
    <w:rsid w:val="00F43689"/>
    <w:rsid w:val="00F46051"/>
    <w:rsid w:val="00F46E67"/>
    <w:rsid w:val="00F474DF"/>
    <w:rsid w:val="00F507D4"/>
    <w:rsid w:val="00F52113"/>
    <w:rsid w:val="00F52201"/>
    <w:rsid w:val="00F55930"/>
    <w:rsid w:val="00F55BB3"/>
    <w:rsid w:val="00F5666D"/>
    <w:rsid w:val="00F567E4"/>
    <w:rsid w:val="00F6118C"/>
    <w:rsid w:val="00F612AF"/>
    <w:rsid w:val="00F6751D"/>
    <w:rsid w:val="00F678E4"/>
    <w:rsid w:val="00F70A42"/>
    <w:rsid w:val="00F72A78"/>
    <w:rsid w:val="00F72CF4"/>
    <w:rsid w:val="00F73CCF"/>
    <w:rsid w:val="00F740B2"/>
    <w:rsid w:val="00F7715D"/>
    <w:rsid w:val="00F77900"/>
    <w:rsid w:val="00F80708"/>
    <w:rsid w:val="00F84DB0"/>
    <w:rsid w:val="00F876CC"/>
    <w:rsid w:val="00F9114D"/>
    <w:rsid w:val="00F922A7"/>
    <w:rsid w:val="00F92461"/>
    <w:rsid w:val="00F93F7A"/>
    <w:rsid w:val="00F9567E"/>
    <w:rsid w:val="00FA00BA"/>
    <w:rsid w:val="00FA0640"/>
    <w:rsid w:val="00FA08D3"/>
    <w:rsid w:val="00FA124D"/>
    <w:rsid w:val="00FA1C9C"/>
    <w:rsid w:val="00FA42BE"/>
    <w:rsid w:val="00FA5E3F"/>
    <w:rsid w:val="00FB1150"/>
    <w:rsid w:val="00FB492D"/>
    <w:rsid w:val="00FB5490"/>
    <w:rsid w:val="00FB616B"/>
    <w:rsid w:val="00FB6FE8"/>
    <w:rsid w:val="00FB7693"/>
    <w:rsid w:val="00FB7ABC"/>
    <w:rsid w:val="00FC0133"/>
    <w:rsid w:val="00FC1C9B"/>
    <w:rsid w:val="00FC2F43"/>
    <w:rsid w:val="00FC3496"/>
    <w:rsid w:val="00FC5281"/>
    <w:rsid w:val="00FC537D"/>
    <w:rsid w:val="00FC7994"/>
    <w:rsid w:val="00FD1BFB"/>
    <w:rsid w:val="00FD1F79"/>
    <w:rsid w:val="00FD312C"/>
    <w:rsid w:val="00FD4E8A"/>
    <w:rsid w:val="00FD74D9"/>
    <w:rsid w:val="00FE1E80"/>
    <w:rsid w:val="00FE25CA"/>
    <w:rsid w:val="00FE3DD5"/>
    <w:rsid w:val="00FF1E15"/>
    <w:rsid w:val="00FF2BFC"/>
    <w:rsid w:val="00FF4428"/>
    <w:rsid w:val="00FF4ED9"/>
    <w:rsid w:val="00FF64E8"/>
    <w:rsid w:val="00FF69A3"/>
    <w:rsid w:val="00FF75F6"/>
    <w:rsid w:val="00FF7F26"/>
    <w:rsid w:val="03052659"/>
    <w:rsid w:val="0433025C"/>
    <w:rsid w:val="05B25B22"/>
    <w:rsid w:val="07A201B5"/>
    <w:rsid w:val="0A2329E4"/>
    <w:rsid w:val="0B261443"/>
    <w:rsid w:val="0E08432D"/>
    <w:rsid w:val="0E3922F2"/>
    <w:rsid w:val="0F86082D"/>
    <w:rsid w:val="11BC4D36"/>
    <w:rsid w:val="12ED4D0C"/>
    <w:rsid w:val="130D38E3"/>
    <w:rsid w:val="153C2691"/>
    <w:rsid w:val="19411BCE"/>
    <w:rsid w:val="234B5E56"/>
    <w:rsid w:val="27EE1196"/>
    <w:rsid w:val="2A255E65"/>
    <w:rsid w:val="2B4C0E36"/>
    <w:rsid w:val="2BAC10B9"/>
    <w:rsid w:val="2BF8566D"/>
    <w:rsid w:val="2C5D04DC"/>
    <w:rsid w:val="2DA02F02"/>
    <w:rsid w:val="352D49A5"/>
    <w:rsid w:val="3A8764E3"/>
    <w:rsid w:val="3D302FF8"/>
    <w:rsid w:val="3FE5105E"/>
    <w:rsid w:val="4C500645"/>
    <w:rsid w:val="50111C31"/>
    <w:rsid w:val="50F339EF"/>
    <w:rsid w:val="54FE217F"/>
    <w:rsid w:val="57C81C20"/>
    <w:rsid w:val="5B263426"/>
    <w:rsid w:val="6024318F"/>
    <w:rsid w:val="61BB6663"/>
    <w:rsid w:val="64A33D46"/>
    <w:rsid w:val="69C12E10"/>
    <w:rsid w:val="6A7B6C13"/>
    <w:rsid w:val="73163EB0"/>
    <w:rsid w:val="732A577D"/>
    <w:rsid w:val="74E550E1"/>
    <w:rsid w:val="75001179"/>
    <w:rsid w:val="75A9657C"/>
    <w:rsid w:val="78B52F35"/>
    <w:rsid w:val="7AF75ABD"/>
    <w:rsid w:val="7BB60F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adjustRightInd w:val="0"/>
      <w:spacing w:before="120" w:after="60" w:line="360" w:lineRule="auto"/>
      <w:textAlignment w:val="baseline"/>
      <w:outlineLvl w:val="1"/>
    </w:pPr>
    <w:rPr>
      <w:rFonts w:ascii="宋体" w:hAnsi="宋体"/>
      <w:b/>
      <w:sz w:val="28"/>
      <w:szCs w:val="20"/>
    </w:rPr>
  </w:style>
  <w:style w:type="paragraph" w:styleId="4">
    <w:name w:val="heading 3"/>
    <w:basedOn w:val="5"/>
    <w:next w:val="5"/>
    <w:qFormat/>
    <w:uiPriority w:val="0"/>
    <w:pPr>
      <w:keepNext/>
      <w:keepLines/>
      <w:ind w:left="0"/>
      <w:outlineLvl w:val="2"/>
    </w:pPr>
    <w:rPr>
      <w:b/>
      <w:sz w:val="24"/>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autoSpaceDE w:val="0"/>
      <w:autoSpaceDN w:val="0"/>
      <w:adjustRightInd w:val="0"/>
      <w:spacing w:before="280" w:after="290" w:line="376" w:lineRule="atLeast"/>
      <w:jc w:val="left"/>
      <w:outlineLvl w:val="4"/>
    </w:pPr>
    <w:rPr>
      <w:b/>
      <w:bCs/>
      <w:kern w:val="0"/>
      <w:sz w:val="28"/>
      <w:szCs w:val="28"/>
    </w:rPr>
  </w:style>
  <w:style w:type="paragraph" w:styleId="8">
    <w:name w:val="heading 6"/>
    <w:basedOn w:val="1"/>
    <w:next w:val="1"/>
    <w:qFormat/>
    <w:uiPriority w:val="0"/>
    <w:pPr>
      <w:keepNext/>
      <w:keepLines/>
      <w:autoSpaceDE w:val="0"/>
      <w:autoSpaceDN w:val="0"/>
      <w:adjustRightInd w:val="0"/>
      <w:spacing w:before="240" w:after="64" w:line="320" w:lineRule="atLeast"/>
      <w:jc w:val="left"/>
      <w:outlineLvl w:val="5"/>
    </w:pPr>
    <w:rPr>
      <w:rFonts w:ascii="Arial" w:hAnsi="Arial" w:cs="Arial"/>
      <w:b/>
      <w:bCs/>
      <w:kern w:val="0"/>
    </w:rPr>
  </w:style>
  <w:style w:type="paragraph" w:styleId="9">
    <w:name w:val="heading 7"/>
    <w:basedOn w:val="1"/>
    <w:next w:val="1"/>
    <w:qFormat/>
    <w:uiPriority w:val="0"/>
    <w:pPr>
      <w:keepNext/>
      <w:keepLines/>
      <w:autoSpaceDE w:val="0"/>
      <w:autoSpaceDN w:val="0"/>
      <w:adjustRightInd w:val="0"/>
      <w:spacing w:before="240" w:after="64" w:line="320" w:lineRule="atLeast"/>
      <w:jc w:val="left"/>
      <w:outlineLvl w:val="6"/>
    </w:pPr>
    <w:rPr>
      <w:b/>
      <w:bCs/>
      <w:kern w:val="0"/>
    </w:rPr>
  </w:style>
  <w:style w:type="paragraph" w:styleId="10">
    <w:name w:val="heading 8"/>
    <w:basedOn w:val="1"/>
    <w:next w:val="1"/>
    <w:qFormat/>
    <w:uiPriority w:val="0"/>
    <w:pPr>
      <w:keepNext/>
      <w:keepLines/>
      <w:autoSpaceDE w:val="0"/>
      <w:autoSpaceDN w:val="0"/>
      <w:adjustRightInd w:val="0"/>
      <w:spacing w:before="240" w:after="64" w:line="320" w:lineRule="atLeast"/>
      <w:jc w:val="left"/>
      <w:outlineLvl w:val="7"/>
    </w:pPr>
    <w:rPr>
      <w:rFonts w:ascii="Arial" w:hAnsi="Arial" w:cs="Arial"/>
      <w:kern w:val="0"/>
    </w:rPr>
  </w:style>
  <w:style w:type="paragraph" w:styleId="11">
    <w:name w:val="heading 9"/>
    <w:basedOn w:val="1"/>
    <w:next w:val="1"/>
    <w:qFormat/>
    <w:uiPriority w:val="0"/>
    <w:pPr>
      <w:keepNext/>
      <w:keepLines/>
      <w:autoSpaceDE w:val="0"/>
      <w:autoSpaceDN w:val="0"/>
      <w:adjustRightInd w:val="0"/>
      <w:spacing w:before="240" w:after="64" w:line="320" w:lineRule="atLeast"/>
      <w:jc w:val="left"/>
      <w:outlineLvl w:val="8"/>
    </w:pPr>
    <w:rPr>
      <w:rFonts w:ascii="Arial" w:hAnsi="Arial" w:cs="Arial"/>
      <w:kern w:val="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widowControl/>
      <w:overflowPunct w:val="0"/>
      <w:autoSpaceDE w:val="0"/>
      <w:autoSpaceDN w:val="0"/>
      <w:adjustRightInd w:val="0"/>
      <w:spacing w:before="120" w:after="120"/>
      <w:ind w:left="2520"/>
      <w:jc w:val="left"/>
      <w:textAlignment w:val="baseline"/>
    </w:pPr>
    <w:rPr>
      <w:rFonts w:ascii="Book Antiqua" w:hAnsi="Book Antiqua"/>
      <w:kern w:val="0"/>
      <w:sz w:val="20"/>
      <w:szCs w:val="20"/>
    </w:rPr>
  </w:style>
  <w:style w:type="paragraph" w:styleId="12">
    <w:name w:val="toc 7"/>
    <w:basedOn w:val="1"/>
    <w:next w:val="1"/>
    <w:semiHidden/>
    <w:qFormat/>
    <w:uiPriority w:val="0"/>
    <w:pPr>
      <w:ind w:left="2520" w:leftChars="1200"/>
    </w:pPr>
  </w:style>
  <w:style w:type="paragraph" w:styleId="13">
    <w:name w:val="List Number 2"/>
    <w:basedOn w:val="1"/>
    <w:qFormat/>
    <w:uiPriority w:val="0"/>
    <w:pPr>
      <w:widowControl/>
      <w:numPr>
        <w:ilvl w:val="0"/>
        <w:numId w:val="1"/>
      </w:numPr>
      <w:overflowPunct w:val="0"/>
      <w:autoSpaceDE w:val="0"/>
      <w:autoSpaceDN w:val="0"/>
      <w:adjustRightInd w:val="0"/>
      <w:jc w:val="left"/>
      <w:textAlignment w:val="baseline"/>
    </w:pPr>
    <w:rPr>
      <w:rFonts w:ascii="Book Antiqua" w:hAnsi="Book Antiqua"/>
      <w:kern w:val="0"/>
      <w:sz w:val="20"/>
      <w:szCs w:val="20"/>
    </w:rPr>
  </w:style>
  <w:style w:type="paragraph" w:styleId="14">
    <w:name w:val="List Bullet 4"/>
    <w:basedOn w:val="1"/>
    <w:qFormat/>
    <w:uiPriority w:val="0"/>
    <w:pPr>
      <w:widowControl/>
      <w:numPr>
        <w:ilvl w:val="0"/>
        <w:numId w:val="2"/>
      </w:numPr>
      <w:overflowPunct w:val="0"/>
      <w:autoSpaceDE w:val="0"/>
      <w:autoSpaceDN w:val="0"/>
      <w:adjustRightInd w:val="0"/>
      <w:jc w:val="left"/>
      <w:textAlignment w:val="baseline"/>
    </w:pPr>
    <w:rPr>
      <w:rFonts w:ascii="Book Antiqua" w:hAnsi="Book Antiqua"/>
      <w:kern w:val="0"/>
      <w:sz w:val="20"/>
      <w:szCs w:val="20"/>
    </w:rPr>
  </w:style>
  <w:style w:type="paragraph" w:styleId="15">
    <w:name w:val="List Number"/>
    <w:basedOn w:val="1"/>
    <w:qFormat/>
    <w:uiPriority w:val="0"/>
    <w:pPr>
      <w:widowControl/>
      <w:numPr>
        <w:ilvl w:val="0"/>
        <w:numId w:val="3"/>
      </w:numPr>
      <w:overflowPunct w:val="0"/>
      <w:autoSpaceDE w:val="0"/>
      <w:autoSpaceDN w:val="0"/>
      <w:adjustRightInd w:val="0"/>
      <w:jc w:val="left"/>
      <w:textAlignment w:val="baseline"/>
    </w:pPr>
    <w:rPr>
      <w:rFonts w:ascii="Book Antiqua" w:hAnsi="Book Antiqua"/>
      <w:kern w:val="0"/>
      <w:sz w:val="20"/>
      <w:szCs w:val="20"/>
    </w:rPr>
  </w:style>
  <w:style w:type="paragraph" w:styleId="16">
    <w:name w:val="Normal Indent"/>
    <w:basedOn w:val="1"/>
    <w:qFormat/>
    <w:uiPriority w:val="0"/>
    <w:pPr>
      <w:spacing w:before="120" w:after="120"/>
      <w:ind w:firstLine="200" w:firstLineChars="200"/>
    </w:pPr>
    <w:rPr>
      <w:rFonts w:ascii="宋体" w:hAnsi="宋体"/>
      <w:kern w:val="0"/>
      <w:sz w:val="24"/>
      <w:szCs w:val="20"/>
    </w:rPr>
  </w:style>
  <w:style w:type="paragraph" w:styleId="17">
    <w:name w:val="List Bullet"/>
    <w:basedOn w:val="1"/>
    <w:qFormat/>
    <w:uiPriority w:val="0"/>
    <w:pPr>
      <w:widowControl/>
      <w:numPr>
        <w:ilvl w:val="0"/>
        <w:numId w:val="4"/>
      </w:numPr>
      <w:overflowPunct w:val="0"/>
      <w:autoSpaceDE w:val="0"/>
      <w:autoSpaceDN w:val="0"/>
      <w:adjustRightInd w:val="0"/>
      <w:jc w:val="left"/>
      <w:textAlignment w:val="baseline"/>
    </w:pPr>
    <w:rPr>
      <w:rFonts w:ascii="Book Antiqua" w:hAnsi="Book Antiqua"/>
      <w:kern w:val="0"/>
      <w:sz w:val="20"/>
      <w:szCs w:val="20"/>
    </w:rPr>
  </w:style>
  <w:style w:type="paragraph" w:styleId="18">
    <w:name w:val="Document Map"/>
    <w:basedOn w:val="1"/>
    <w:semiHidden/>
    <w:qFormat/>
    <w:uiPriority w:val="0"/>
    <w:pPr>
      <w:shd w:val="clear" w:color="auto" w:fill="000080"/>
    </w:pPr>
  </w:style>
  <w:style w:type="paragraph" w:styleId="19">
    <w:name w:val="annotation text"/>
    <w:basedOn w:val="1"/>
    <w:link w:val="51"/>
    <w:semiHidden/>
    <w:unhideWhenUsed/>
    <w:qFormat/>
    <w:uiPriority w:val="0"/>
    <w:pPr>
      <w:jc w:val="left"/>
    </w:pPr>
  </w:style>
  <w:style w:type="paragraph" w:styleId="20">
    <w:name w:val="List Bullet 3"/>
    <w:basedOn w:val="1"/>
    <w:qFormat/>
    <w:uiPriority w:val="0"/>
    <w:pPr>
      <w:widowControl/>
      <w:tabs>
        <w:tab w:val="left" w:pos="1200"/>
      </w:tabs>
      <w:overflowPunct w:val="0"/>
      <w:autoSpaceDE w:val="0"/>
      <w:autoSpaceDN w:val="0"/>
      <w:adjustRightInd w:val="0"/>
      <w:ind w:left="1200" w:leftChars="400" w:hanging="360" w:hangingChars="200"/>
      <w:jc w:val="left"/>
      <w:textAlignment w:val="baseline"/>
    </w:pPr>
    <w:rPr>
      <w:rFonts w:ascii="Book Antiqua" w:hAnsi="Book Antiqua"/>
      <w:kern w:val="0"/>
      <w:sz w:val="20"/>
      <w:szCs w:val="20"/>
    </w:rPr>
  </w:style>
  <w:style w:type="paragraph" w:styleId="21">
    <w:name w:val="Body Text Indent"/>
    <w:basedOn w:val="1"/>
    <w:qFormat/>
    <w:uiPriority w:val="0"/>
    <w:pPr>
      <w:spacing w:after="120"/>
      <w:ind w:left="420"/>
    </w:pPr>
  </w:style>
  <w:style w:type="paragraph" w:styleId="22">
    <w:name w:val="List Number 3"/>
    <w:basedOn w:val="1"/>
    <w:qFormat/>
    <w:uiPriority w:val="0"/>
    <w:pPr>
      <w:widowControl/>
      <w:tabs>
        <w:tab w:val="left" w:pos="1200"/>
      </w:tabs>
      <w:overflowPunct w:val="0"/>
      <w:autoSpaceDE w:val="0"/>
      <w:autoSpaceDN w:val="0"/>
      <w:adjustRightInd w:val="0"/>
      <w:ind w:left="1200" w:leftChars="400" w:hanging="360" w:hangingChars="200"/>
      <w:jc w:val="left"/>
      <w:textAlignment w:val="baseline"/>
    </w:pPr>
    <w:rPr>
      <w:rFonts w:ascii="Book Antiqua" w:hAnsi="Book Antiqua"/>
      <w:kern w:val="0"/>
      <w:sz w:val="20"/>
      <w:szCs w:val="20"/>
    </w:rPr>
  </w:style>
  <w:style w:type="paragraph" w:styleId="23">
    <w:name w:val="List Bullet 2"/>
    <w:basedOn w:val="1"/>
    <w:qFormat/>
    <w:uiPriority w:val="0"/>
    <w:pPr>
      <w:widowControl/>
      <w:tabs>
        <w:tab w:val="left" w:pos="780"/>
      </w:tabs>
      <w:overflowPunct w:val="0"/>
      <w:autoSpaceDE w:val="0"/>
      <w:autoSpaceDN w:val="0"/>
      <w:adjustRightInd w:val="0"/>
      <w:ind w:left="780" w:leftChars="200" w:hanging="360" w:hangingChars="200"/>
      <w:jc w:val="left"/>
      <w:textAlignment w:val="baseline"/>
    </w:pPr>
    <w:rPr>
      <w:rFonts w:ascii="Book Antiqua" w:hAnsi="Book Antiqua"/>
      <w:kern w:val="0"/>
      <w:sz w:val="20"/>
      <w:szCs w:val="20"/>
    </w:rPr>
  </w:style>
  <w:style w:type="paragraph" w:styleId="24">
    <w:name w:val="toc 5"/>
    <w:basedOn w:val="1"/>
    <w:next w:val="1"/>
    <w:semiHidden/>
    <w:qFormat/>
    <w:uiPriority w:val="0"/>
    <w:pPr>
      <w:ind w:left="1680" w:leftChars="800"/>
    </w:pPr>
  </w:style>
  <w:style w:type="paragraph" w:styleId="25">
    <w:name w:val="toc 3"/>
    <w:basedOn w:val="1"/>
    <w:next w:val="1"/>
    <w:qFormat/>
    <w:uiPriority w:val="39"/>
    <w:pPr>
      <w:ind w:left="840" w:leftChars="400"/>
    </w:pPr>
  </w:style>
  <w:style w:type="paragraph" w:styleId="26">
    <w:name w:val="Plain Text"/>
    <w:basedOn w:val="1"/>
    <w:link w:val="52"/>
    <w:qFormat/>
    <w:uiPriority w:val="0"/>
    <w:rPr>
      <w:rFonts w:ascii="宋体" w:hAnsi="Courier New" w:cs="Courier New"/>
      <w:szCs w:val="21"/>
    </w:rPr>
  </w:style>
  <w:style w:type="paragraph" w:styleId="27">
    <w:name w:val="List Bullet 5"/>
    <w:basedOn w:val="1"/>
    <w:qFormat/>
    <w:uiPriority w:val="0"/>
    <w:pPr>
      <w:widowControl/>
      <w:tabs>
        <w:tab w:val="left" w:pos="2040"/>
      </w:tabs>
      <w:overflowPunct w:val="0"/>
      <w:autoSpaceDE w:val="0"/>
      <w:autoSpaceDN w:val="0"/>
      <w:adjustRightInd w:val="0"/>
      <w:ind w:left="2040" w:leftChars="800" w:hanging="360" w:hangingChars="200"/>
      <w:jc w:val="left"/>
      <w:textAlignment w:val="baseline"/>
    </w:pPr>
    <w:rPr>
      <w:rFonts w:ascii="Book Antiqua" w:hAnsi="Book Antiqua"/>
      <w:kern w:val="0"/>
      <w:sz w:val="20"/>
      <w:szCs w:val="20"/>
    </w:rPr>
  </w:style>
  <w:style w:type="paragraph" w:styleId="28">
    <w:name w:val="List Number 4"/>
    <w:basedOn w:val="1"/>
    <w:qFormat/>
    <w:uiPriority w:val="0"/>
    <w:pPr>
      <w:widowControl/>
      <w:tabs>
        <w:tab w:val="left" w:pos="1620"/>
      </w:tabs>
      <w:overflowPunct w:val="0"/>
      <w:autoSpaceDE w:val="0"/>
      <w:autoSpaceDN w:val="0"/>
      <w:adjustRightInd w:val="0"/>
      <w:ind w:left="1620" w:leftChars="600" w:hanging="360" w:hangingChars="200"/>
      <w:jc w:val="left"/>
      <w:textAlignment w:val="baseline"/>
    </w:pPr>
    <w:rPr>
      <w:rFonts w:ascii="Book Antiqua" w:hAnsi="Book Antiqua"/>
      <w:kern w:val="0"/>
      <w:sz w:val="20"/>
      <w:szCs w:val="20"/>
    </w:rPr>
  </w:style>
  <w:style w:type="paragraph" w:styleId="29">
    <w:name w:val="toc 8"/>
    <w:basedOn w:val="1"/>
    <w:next w:val="1"/>
    <w:semiHidden/>
    <w:qFormat/>
    <w:uiPriority w:val="0"/>
    <w:pPr>
      <w:ind w:left="2940" w:leftChars="1400"/>
    </w:pPr>
  </w:style>
  <w:style w:type="paragraph" w:styleId="30">
    <w:name w:val="Date"/>
    <w:basedOn w:val="1"/>
    <w:next w:val="1"/>
    <w:qFormat/>
    <w:uiPriority w:val="0"/>
    <w:pPr>
      <w:ind w:left="100" w:leftChars="2500"/>
    </w:pPr>
    <w:rPr>
      <w:rFonts w:ascii="仿宋_GB2312" w:hAnsi="Arial" w:eastAsia="仿宋_GB2312"/>
      <w:b/>
      <w:bCs/>
      <w:sz w:val="24"/>
      <w:szCs w:val="20"/>
    </w:rPr>
  </w:style>
  <w:style w:type="paragraph" w:styleId="31">
    <w:name w:val="Balloon Text"/>
    <w:basedOn w:val="1"/>
    <w:semiHidden/>
    <w:qFormat/>
    <w:uiPriority w:val="0"/>
    <w:rPr>
      <w:sz w:val="18"/>
      <w:szCs w:val="18"/>
    </w:rPr>
  </w:style>
  <w:style w:type="paragraph" w:styleId="32">
    <w:name w:val="footer"/>
    <w:basedOn w:val="1"/>
    <w:link w:val="53"/>
    <w:qFormat/>
    <w:uiPriority w:val="99"/>
    <w:pPr>
      <w:tabs>
        <w:tab w:val="center" w:pos="4153"/>
        <w:tab w:val="right" w:pos="8306"/>
      </w:tabs>
      <w:snapToGrid w:val="0"/>
      <w:jc w:val="left"/>
    </w:pPr>
    <w:rPr>
      <w:sz w:val="18"/>
      <w:szCs w:val="18"/>
    </w:rPr>
  </w:style>
  <w:style w:type="paragraph" w:styleId="33">
    <w:name w:val="header"/>
    <w:basedOn w:val="1"/>
    <w:link w:val="54"/>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left" w:pos="630"/>
        <w:tab w:val="right" w:leader="dot" w:pos="8296"/>
      </w:tabs>
      <w:spacing w:line="360" w:lineRule="auto"/>
    </w:pPr>
    <w:rPr>
      <w:rFonts w:ascii="仿宋_GB2312" w:eastAsia="仿宋_GB2312"/>
      <w:b/>
      <w:sz w:val="24"/>
    </w:rPr>
  </w:style>
  <w:style w:type="paragraph" w:styleId="35">
    <w:name w:val="toc 4"/>
    <w:basedOn w:val="1"/>
    <w:next w:val="1"/>
    <w:semiHidden/>
    <w:qFormat/>
    <w:uiPriority w:val="0"/>
    <w:pPr>
      <w:ind w:left="1260" w:leftChars="600"/>
    </w:pPr>
  </w:style>
  <w:style w:type="paragraph" w:styleId="36">
    <w:name w:val="List Number 5"/>
    <w:basedOn w:val="1"/>
    <w:qFormat/>
    <w:uiPriority w:val="0"/>
    <w:pPr>
      <w:widowControl/>
      <w:tabs>
        <w:tab w:val="left" w:pos="2040"/>
      </w:tabs>
      <w:overflowPunct w:val="0"/>
      <w:autoSpaceDE w:val="0"/>
      <w:autoSpaceDN w:val="0"/>
      <w:adjustRightInd w:val="0"/>
      <w:ind w:left="2040" w:leftChars="800" w:hanging="360" w:hangingChars="200"/>
      <w:jc w:val="left"/>
      <w:textAlignment w:val="baseline"/>
    </w:pPr>
    <w:rPr>
      <w:rFonts w:ascii="Book Antiqua" w:hAnsi="Book Antiqua"/>
      <w:kern w:val="0"/>
      <w:sz w:val="20"/>
      <w:szCs w:val="20"/>
    </w:rPr>
  </w:style>
  <w:style w:type="paragraph" w:styleId="37">
    <w:name w:val="toc 6"/>
    <w:basedOn w:val="1"/>
    <w:next w:val="1"/>
    <w:semiHidden/>
    <w:qFormat/>
    <w:uiPriority w:val="0"/>
    <w:pPr>
      <w:ind w:left="2100" w:leftChars="1000"/>
    </w:pPr>
  </w:style>
  <w:style w:type="paragraph" w:styleId="38">
    <w:name w:val="Body Text Indent 3"/>
    <w:basedOn w:val="1"/>
    <w:link w:val="55"/>
    <w:qFormat/>
    <w:uiPriority w:val="0"/>
    <w:pPr>
      <w:spacing w:after="120"/>
      <w:ind w:left="420" w:leftChars="200"/>
    </w:pPr>
    <w:rPr>
      <w:sz w:val="16"/>
      <w:szCs w:val="16"/>
    </w:rPr>
  </w:style>
  <w:style w:type="paragraph" w:styleId="39">
    <w:name w:val="toc 2"/>
    <w:basedOn w:val="1"/>
    <w:next w:val="1"/>
    <w:qFormat/>
    <w:uiPriority w:val="39"/>
    <w:pPr>
      <w:tabs>
        <w:tab w:val="left" w:pos="660"/>
        <w:tab w:val="right" w:leader="dot" w:pos="9060"/>
      </w:tabs>
    </w:pPr>
  </w:style>
  <w:style w:type="paragraph" w:styleId="40">
    <w:name w:val="toc 9"/>
    <w:basedOn w:val="1"/>
    <w:next w:val="1"/>
    <w:semiHidden/>
    <w:qFormat/>
    <w:uiPriority w:val="0"/>
    <w:pPr>
      <w:ind w:left="3360" w:leftChars="1600"/>
    </w:pPr>
  </w:style>
  <w:style w:type="paragraph" w:styleId="4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2">
    <w:name w:val="annotation subject"/>
    <w:basedOn w:val="19"/>
    <w:next w:val="19"/>
    <w:link w:val="56"/>
    <w:semiHidden/>
    <w:unhideWhenUsed/>
    <w:qFormat/>
    <w:uiPriority w:val="0"/>
    <w:rPr>
      <w:b/>
      <w:bCs/>
    </w:rPr>
  </w:style>
  <w:style w:type="table" w:styleId="44">
    <w:name w:val="Table Grid"/>
    <w:basedOn w:val="4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22"/>
    <w:rPr>
      <w:b/>
      <w:bCs/>
    </w:rPr>
  </w:style>
  <w:style w:type="character" w:styleId="47">
    <w:name w:val="page number"/>
    <w:basedOn w:val="45"/>
    <w:qFormat/>
    <w:uiPriority w:val="99"/>
  </w:style>
  <w:style w:type="character" w:styleId="48">
    <w:name w:val="FollowedHyperlink"/>
    <w:qFormat/>
    <w:uiPriority w:val="99"/>
    <w:rPr>
      <w:color w:val="800080"/>
      <w:u w:val="single"/>
    </w:rPr>
  </w:style>
  <w:style w:type="character" w:styleId="49">
    <w:name w:val="Hyperlink"/>
    <w:qFormat/>
    <w:uiPriority w:val="99"/>
    <w:rPr>
      <w:color w:val="0000FF"/>
      <w:u w:val="single"/>
    </w:rPr>
  </w:style>
  <w:style w:type="character" w:styleId="50">
    <w:name w:val="annotation reference"/>
    <w:basedOn w:val="45"/>
    <w:semiHidden/>
    <w:unhideWhenUsed/>
    <w:qFormat/>
    <w:uiPriority w:val="0"/>
    <w:rPr>
      <w:sz w:val="21"/>
      <w:szCs w:val="21"/>
    </w:rPr>
  </w:style>
  <w:style w:type="character" w:customStyle="1" w:styleId="51">
    <w:name w:val="批注文字 Char"/>
    <w:basedOn w:val="45"/>
    <w:link w:val="19"/>
    <w:semiHidden/>
    <w:qFormat/>
    <w:uiPriority w:val="0"/>
    <w:rPr>
      <w:kern w:val="2"/>
      <w:sz w:val="21"/>
      <w:szCs w:val="24"/>
    </w:rPr>
  </w:style>
  <w:style w:type="character" w:customStyle="1" w:styleId="52">
    <w:name w:val="纯文本 Char"/>
    <w:link w:val="26"/>
    <w:qFormat/>
    <w:uiPriority w:val="99"/>
    <w:rPr>
      <w:rFonts w:ascii="宋体" w:hAnsi="Courier New" w:cs="Courier New"/>
      <w:kern w:val="2"/>
      <w:sz w:val="21"/>
      <w:szCs w:val="21"/>
    </w:rPr>
  </w:style>
  <w:style w:type="character" w:customStyle="1" w:styleId="53">
    <w:name w:val="页脚 Char"/>
    <w:link w:val="32"/>
    <w:qFormat/>
    <w:uiPriority w:val="0"/>
    <w:rPr>
      <w:kern w:val="2"/>
      <w:sz w:val="18"/>
      <w:szCs w:val="18"/>
    </w:rPr>
  </w:style>
  <w:style w:type="character" w:customStyle="1" w:styleId="54">
    <w:name w:val="页眉 Char"/>
    <w:link w:val="33"/>
    <w:qFormat/>
    <w:uiPriority w:val="0"/>
    <w:rPr>
      <w:rFonts w:eastAsia="宋体"/>
      <w:kern w:val="2"/>
      <w:sz w:val="18"/>
      <w:szCs w:val="18"/>
      <w:lang w:val="en-US" w:eastAsia="zh-CN" w:bidi="ar-SA"/>
    </w:rPr>
  </w:style>
  <w:style w:type="character" w:customStyle="1" w:styleId="55">
    <w:name w:val="正文文本缩进 3 Char"/>
    <w:link w:val="38"/>
    <w:qFormat/>
    <w:uiPriority w:val="0"/>
    <w:rPr>
      <w:kern w:val="2"/>
      <w:sz w:val="16"/>
      <w:szCs w:val="16"/>
    </w:rPr>
  </w:style>
  <w:style w:type="character" w:customStyle="1" w:styleId="56">
    <w:name w:val="批注主题 Char"/>
    <w:basedOn w:val="51"/>
    <w:link w:val="42"/>
    <w:semiHidden/>
    <w:qFormat/>
    <w:uiPriority w:val="0"/>
    <w:rPr>
      <w:b/>
      <w:bCs/>
      <w:kern w:val="2"/>
      <w:sz w:val="21"/>
      <w:szCs w:val="24"/>
    </w:rPr>
  </w:style>
  <w:style w:type="paragraph" w:customStyle="1" w:styleId="57">
    <w:name w:val="正文1"/>
    <w:basedOn w:val="1"/>
    <w:qFormat/>
    <w:uiPriority w:val="0"/>
    <w:pPr>
      <w:adjustRightInd w:val="0"/>
      <w:spacing w:before="60" w:after="60" w:line="360" w:lineRule="auto"/>
      <w:textAlignment w:val="baseline"/>
    </w:pPr>
    <w:rPr>
      <w:rFonts w:ascii="Arial" w:hAnsi="Arial"/>
      <w:szCs w:val="20"/>
    </w:rPr>
  </w:style>
  <w:style w:type="paragraph" w:customStyle="1" w:styleId="58">
    <w:name w:val="Char"/>
    <w:basedOn w:val="1"/>
    <w:qFormat/>
    <w:uiPriority w:val="0"/>
    <w:rPr>
      <w:rFonts w:ascii="Tahoma" w:hAnsi="Tahoma"/>
      <w:sz w:val="24"/>
      <w:szCs w:val="20"/>
    </w:rPr>
  </w:style>
  <w:style w:type="paragraph" w:customStyle="1" w:styleId="59">
    <w:name w:val="默认段落字体 Para Char Char Char Char Char Char Char"/>
    <w:basedOn w:val="1"/>
    <w:qFormat/>
    <w:uiPriority w:val="0"/>
    <w:rPr>
      <w:rFonts w:ascii="Tahoma" w:hAnsi="Tahoma"/>
      <w:sz w:val="24"/>
      <w:szCs w:val="20"/>
    </w:rPr>
  </w:style>
  <w:style w:type="paragraph" w:customStyle="1" w:styleId="60">
    <w:name w:val="文章标题"/>
    <w:basedOn w:val="3"/>
    <w:next w:val="2"/>
    <w:qFormat/>
    <w:uiPriority w:val="0"/>
    <w:pPr>
      <w:tabs>
        <w:tab w:val="left" w:pos="720"/>
      </w:tabs>
      <w:spacing w:after="120" w:line="240" w:lineRule="auto"/>
      <w:jc w:val="center"/>
      <w:outlineLvl w:val="9"/>
    </w:pPr>
    <w:rPr>
      <w:rFonts w:hAnsi="Times New Roman"/>
      <w:b w:val="0"/>
      <w:spacing w:val="20"/>
      <w:kern w:val="0"/>
      <w:sz w:val="48"/>
    </w:rPr>
  </w:style>
  <w:style w:type="paragraph" w:customStyle="1" w:styleId="61">
    <w:name w:val="1."/>
    <w:basedOn w:val="1"/>
    <w:qFormat/>
    <w:uiPriority w:val="0"/>
    <w:pPr>
      <w:spacing w:line="360" w:lineRule="auto"/>
      <w:ind w:firstLine="480" w:firstLineChars="200"/>
    </w:pPr>
    <w:rPr>
      <w:rFonts w:ascii="宋体" w:hAnsi="宋体"/>
      <w:sz w:val="24"/>
    </w:rPr>
  </w:style>
  <w:style w:type="paragraph" w:customStyle="1" w:styleId="62">
    <w:name w:val="小标题"/>
    <w:basedOn w:val="1"/>
    <w:qFormat/>
    <w:uiPriority w:val="0"/>
    <w:pPr>
      <w:tabs>
        <w:tab w:val="left" w:pos="1101"/>
      </w:tabs>
      <w:ind w:left="1464" w:hanging="420"/>
    </w:pPr>
  </w:style>
  <w:style w:type="paragraph" w:customStyle="1" w:styleId="63">
    <w:name w:val="文档正文"/>
    <w:basedOn w:val="1"/>
    <w:qFormat/>
    <w:uiPriority w:val="0"/>
    <w:pPr>
      <w:spacing w:line="360" w:lineRule="auto"/>
      <w:ind w:left="420"/>
      <w:textAlignment w:val="baseline"/>
    </w:pPr>
    <w:rPr>
      <w:rFonts w:ascii="仿宋_GB2312" w:hAnsi="宋体" w:eastAsia="仿宋_GB2312" w:cs="Arial"/>
      <w:color w:val="000000"/>
      <w:spacing w:val="20"/>
      <w:sz w:val="24"/>
      <w:szCs w:val="20"/>
    </w:rPr>
  </w:style>
  <w:style w:type="paragraph" w:styleId="64">
    <w:name w:val="List Paragraph"/>
    <w:basedOn w:val="1"/>
    <w:qFormat/>
    <w:uiPriority w:val="34"/>
    <w:pPr>
      <w:ind w:firstLine="420" w:firstLineChars="200"/>
    </w:pPr>
    <w:rPr>
      <w:rFonts w:ascii="Calibri" w:hAnsi="Calibri"/>
      <w:szCs w:val="22"/>
    </w:rPr>
  </w:style>
  <w:style w:type="paragraph" w:customStyle="1" w:styleId="65">
    <w:name w:val="_Style 55"/>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6">
    <w:name w:val="test"/>
    <w:basedOn w:val="1"/>
    <w:link w:val="67"/>
    <w:qFormat/>
    <w:uiPriority w:val="0"/>
    <w:pPr>
      <w:spacing w:line="360" w:lineRule="auto"/>
      <w:ind w:left="846" w:hanging="420"/>
    </w:pPr>
    <w:rPr>
      <w:rFonts w:ascii="Calibri" w:hAnsi="Calibri"/>
      <w:sz w:val="24"/>
      <w:szCs w:val="22"/>
    </w:rPr>
  </w:style>
  <w:style w:type="character" w:customStyle="1" w:styleId="67">
    <w:name w:val="test Char"/>
    <w:link w:val="66"/>
    <w:qFormat/>
    <w:uiPriority w:val="0"/>
    <w:rPr>
      <w:kern w:val="2"/>
      <w:sz w:val="24"/>
      <w:szCs w:val="22"/>
    </w:rPr>
  </w:style>
  <w:style w:type="paragraph" w:customStyle="1" w:styleId="68">
    <w:name w:val="test2"/>
    <w:basedOn w:val="66"/>
    <w:qFormat/>
    <w:uiPriority w:val="0"/>
    <w:pPr>
      <w:tabs>
        <w:tab w:val="left" w:pos="360"/>
        <w:tab w:val="left" w:pos="840"/>
      </w:tabs>
    </w:pPr>
  </w:style>
  <w:style w:type="paragraph" w:customStyle="1" w:styleId="69">
    <w:name w:val="样式1"/>
    <w:basedOn w:val="2"/>
    <w:next w:val="2"/>
    <w:qFormat/>
    <w:uiPriority w:val="0"/>
    <w:pPr>
      <w:tabs>
        <w:tab w:val="left" w:pos="851"/>
      </w:tabs>
      <w:spacing w:line="360" w:lineRule="auto"/>
      <w:ind w:left="2080" w:hanging="400"/>
      <w:jc w:val="left"/>
    </w:pPr>
    <w:rPr>
      <w:sz w:val="24"/>
      <w:szCs w:val="24"/>
    </w:rPr>
  </w:style>
  <w:style w:type="paragraph" w:customStyle="1" w:styleId="70">
    <w:name w:val="列表段落1"/>
    <w:basedOn w:val="1"/>
    <w:qFormat/>
    <w:uiPriority w:val="0"/>
    <w:pPr>
      <w:ind w:firstLine="420" w:firstLineChars="200"/>
    </w:pPr>
    <w:rPr>
      <w:szCs w:val="20"/>
    </w:rPr>
  </w:style>
  <w:style w:type="paragraph" w:customStyle="1" w:styleId="71">
    <w:name w:val="样式 标题 3h3H3sect1.2.3 + 五号 段前: 6 磅 段后: 6 磅 行距: 单倍行距"/>
    <w:basedOn w:val="4"/>
    <w:qFormat/>
    <w:uiPriority w:val="0"/>
    <w:pPr>
      <w:widowControl w:val="0"/>
      <w:overflowPunct/>
      <w:autoSpaceDE/>
      <w:autoSpaceDN/>
      <w:textAlignment w:val="auto"/>
    </w:pPr>
    <w:rPr>
      <w:rFonts w:ascii="Times New Roman" w:hAnsi="Times New Roman"/>
      <w:bCs/>
      <w:sz w:val="21"/>
    </w:rPr>
  </w:style>
  <w:style w:type="paragraph" w:customStyle="1" w:styleId="72">
    <w:name w:val="样式 标题 2 + 宋体 五号 非加粗 黑色"/>
    <w:basedOn w:val="3"/>
    <w:qFormat/>
    <w:uiPriority w:val="0"/>
    <w:pPr>
      <w:keepNext/>
      <w:keepLines/>
      <w:spacing w:before="260" w:after="260" w:line="416" w:lineRule="atLeast"/>
      <w:jc w:val="left"/>
      <w:textAlignment w:val="auto"/>
    </w:pPr>
    <w:rPr>
      <w:b w:val="0"/>
      <w:color w:val="000000"/>
      <w:kern w:val="0"/>
      <w:sz w:val="21"/>
      <w:szCs w:val="32"/>
    </w:rPr>
  </w:style>
  <w:style w:type="paragraph" w:customStyle="1" w:styleId="73">
    <w:name w:val="样式 标题 4 + 段前: 5 磅 段后: 5 磅 行距: 单倍行距"/>
    <w:basedOn w:val="6"/>
    <w:qFormat/>
    <w:uiPriority w:val="0"/>
    <w:pPr>
      <w:tabs>
        <w:tab w:val="left" w:pos="780"/>
        <w:tab w:val="left" w:pos="1680"/>
      </w:tabs>
      <w:adjustRightInd w:val="0"/>
      <w:spacing w:before="100" w:after="100" w:line="240" w:lineRule="auto"/>
      <w:ind w:left="780" w:leftChars="200" w:hanging="360" w:hangingChars="200"/>
      <w:jc w:val="left"/>
    </w:pPr>
    <w:rPr>
      <w:rFonts w:cs="宋体"/>
      <w:kern w:val="0"/>
      <w:szCs w:val="20"/>
    </w:rPr>
  </w:style>
  <w:style w:type="paragraph" w:customStyle="1" w:styleId="74">
    <w:name w:val="中文正文、"/>
    <w:basedOn w:val="1"/>
    <w:link w:val="75"/>
    <w:qFormat/>
    <w:uiPriority w:val="0"/>
    <w:pPr>
      <w:spacing w:line="360" w:lineRule="auto"/>
      <w:ind w:firstLine="420" w:firstLineChars="200"/>
      <w:jc w:val="left"/>
    </w:pPr>
    <w:rPr>
      <w:szCs w:val="21"/>
    </w:rPr>
  </w:style>
  <w:style w:type="character" w:customStyle="1" w:styleId="75">
    <w:name w:val="中文正文、 Char"/>
    <w:link w:val="74"/>
    <w:qFormat/>
    <w:uiPriority w:val="0"/>
    <w:rPr>
      <w:kern w:val="2"/>
      <w:sz w:val="21"/>
      <w:szCs w:val="21"/>
    </w:rPr>
  </w:style>
  <w:style w:type="character" w:customStyle="1" w:styleId="76">
    <w:name w:val="纯文本 Char1"/>
    <w:qFormat/>
    <w:uiPriority w:val="0"/>
    <w:rPr>
      <w:rFonts w:ascii="宋体" w:hAnsi="Courier New" w:eastAsia="宋体"/>
      <w:kern w:val="2"/>
      <w:sz w:val="21"/>
      <w:lang w:val="en-US" w:eastAsia="zh-CN" w:bidi="ar-SA"/>
    </w:rPr>
  </w:style>
  <w:style w:type="character" w:customStyle="1" w:styleId="77">
    <w:name w:val="font11"/>
    <w:qFormat/>
    <w:uiPriority w:val="0"/>
    <w:rPr>
      <w:rFonts w:hint="eastAsia" w:ascii="宋体" w:hAnsi="宋体" w:eastAsia="宋体" w:cs="宋体"/>
      <w:color w:val="000000"/>
      <w:sz w:val="18"/>
      <w:szCs w:val="18"/>
      <w:u w:val="none"/>
    </w:rPr>
  </w:style>
  <w:style w:type="character" w:customStyle="1" w:styleId="78">
    <w:name w:val="页脚 字符"/>
    <w:qFormat/>
    <w:uiPriority w:val="99"/>
  </w:style>
  <w:style w:type="character" w:customStyle="1" w:styleId="79">
    <w:name w:val="页眉 字符"/>
    <w:qFormat/>
    <w:uiPriority w:val="99"/>
  </w:style>
  <w:style w:type="character" w:customStyle="1" w:styleId="80">
    <w:name w:val="未处理的提及1"/>
    <w:semiHidden/>
    <w:unhideWhenUsed/>
    <w:qFormat/>
    <w:uiPriority w:val="99"/>
    <w:rPr>
      <w:color w:val="605E5C"/>
      <w:shd w:val="clear" w:color="auto" w:fill="E1DFDD"/>
    </w:rPr>
  </w:style>
  <w:style w:type="paragraph" w:customStyle="1" w:styleId="81">
    <w:name w:val="正文首行缩进（奇虎360）"/>
    <w:basedOn w:val="1"/>
    <w:qFormat/>
    <w:uiPriority w:val="0"/>
    <w:pPr>
      <w:widowControl/>
      <w:spacing w:after="50" w:line="300" w:lineRule="auto"/>
      <w:ind w:firstLine="200" w:firstLineChars="200"/>
      <w:jc w:val="left"/>
    </w:pPr>
    <w:rPr>
      <w:rFonts w:ascii="Arial" w:hAnsi="Arial"/>
      <w:kern w:val="0"/>
      <w:sz w:val="20"/>
      <w:szCs w:val="21"/>
    </w:rPr>
  </w:style>
  <w:style w:type="paragraph" w:customStyle="1" w:styleId="82">
    <w:name w:val="文档正文一级标题"/>
    <w:basedOn w:val="1"/>
    <w:qFormat/>
    <w:uiPriority w:val="0"/>
    <w:pPr>
      <w:numPr>
        <w:ilvl w:val="0"/>
        <w:numId w:val="5"/>
      </w:numPr>
      <w:spacing w:line="360" w:lineRule="auto"/>
      <w:ind w:firstLine="0"/>
    </w:pPr>
    <w:rPr>
      <w:sz w:val="24"/>
      <w:szCs w:val="22"/>
    </w:rPr>
  </w:style>
  <w:style w:type="paragraph" w:customStyle="1" w:styleId="83">
    <w:name w:val="DC_标题 3"/>
    <w:basedOn w:val="4"/>
    <w:next w:val="1"/>
    <w:qFormat/>
    <w:uiPriority w:val="0"/>
    <w:pPr>
      <w:numPr>
        <w:ilvl w:val="2"/>
        <w:numId w:val="5"/>
      </w:numPr>
      <w:overflowPunct/>
      <w:autoSpaceDE/>
      <w:autoSpaceDN/>
      <w:adjustRightInd/>
      <w:spacing w:before="0" w:after="0" w:line="360" w:lineRule="auto"/>
      <w:textAlignment w:val="auto"/>
    </w:pPr>
    <w:rPr>
      <w:rFonts w:ascii="微软雅黑" w:hAnsi="微软雅黑"/>
      <w:bCs/>
      <w:kern w:val="2"/>
      <w:szCs w:val="21"/>
    </w:rPr>
  </w:style>
  <w:style w:type="character" w:customStyle="1" w:styleId="84">
    <w:name w:val="font61"/>
    <w:qFormat/>
    <w:uiPriority w:val="0"/>
    <w:rPr>
      <w:rFonts w:hint="eastAsia" w:ascii="宋体" w:hAnsi="宋体" w:eastAsia="宋体" w:cs="宋体"/>
      <w:color w:val="000000"/>
      <w:sz w:val="24"/>
      <w:szCs w:val="24"/>
      <w:u w:val="none"/>
    </w:rPr>
  </w:style>
  <w:style w:type="character" w:customStyle="1" w:styleId="85">
    <w:name w:val="纯文本 Char2"/>
    <w:qFormat/>
    <w:uiPriority w:val="0"/>
    <w:rPr>
      <w:rFonts w:ascii="宋体" w:hAnsi="Courier New" w:eastAsia="宋体"/>
      <w:kern w:val="2"/>
      <w:sz w:val="21"/>
      <w:lang w:val="en-US" w:eastAsia="zh-CN" w:bidi="ar-SA"/>
    </w:rPr>
  </w:style>
  <w:style w:type="character" w:customStyle="1" w:styleId="86">
    <w:name w:val="font71"/>
    <w:basedOn w:val="45"/>
    <w:qFormat/>
    <w:uiPriority w:val="0"/>
    <w:rPr>
      <w:rFonts w:hint="eastAsia" w:ascii="宋体" w:hAnsi="宋体" w:eastAsia="宋体" w:cs="宋体"/>
      <w:color w:val="000000"/>
      <w:sz w:val="20"/>
      <w:szCs w:val="20"/>
      <w:u w:val="none"/>
    </w:rPr>
  </w:style>
  <w:style w:type="character" w:customStyle="1" w:styleId="87">
    <w:name w:val="font21"/>
    <w:basedOn w:val="45"/>
    <w:qFormat/>
    <w:uiPriority w:val="0"/>
    <w:rPr>
      <w:rFonts w:hint="eastAsia" w:ascii="宋体" w:hAnsi="宋体" w:eastAsia="宋体" w:cs="宋体"/>
      <w:color w:val="000000"/>
      <w:sz w:val="20"/>
      <w:szCs w:val="20"/>
      <w:u w:val="none"/>
    </w:rPr>
  </w:style>
  <w:style w:type="character" w:customStyle="1" w:styleId="88">
    <w:name w:val="font51"/>
    <w:basedOn w:val="45"/>
    <w:qFormat/>
    <w:uiPriority w:val="0"/>
    <w:rPr>
      <w:rFonts w:hint="eastAsia" w:ascii="宋体" w:hAnsi="宋体" w:eastAsia="宋体" w:cs="宋体"/>
      <w:b/>
      <w:bCs/>
      <w:color w:val="000000"/>
      <w:sz w:val="20"/>
      <w:szCs w:val="20"/>
      <w:u w:val="none"/>
    </w:rPr>
  </w:style>
  <w:style w:type="character" w:customStyle="1" w:styleId="89">
    <w:name w:val="font81"/>
    <w:basedOn w:val="4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42</Pages>
  <Words>4053</Words>
  <Characters>23104</Characters>
  <Lines>192</Lines>
  <Paragraphs>54</Paragraphs>
  <TotalTime>0</TotalTime>
  <ScaleCrop>false</ScaleCrop>
  <LinksUpToDate>false</LinksUpToDate>
  <CharactersWithSpaces>27103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2021-09-09T06:16:00Z</dcterms:created>
  <dc:creator>yyliang</dc:creator>
  <cp:lastModifiedBy>WPS_1559277182</cp:lastModifiedBy>
  <cp:lastPrinted>2020-10-29T00:28:00Z</cp:lastPrinted>
  <dcterms:modified xsi:type="dcterms:W3CDTF">2021-09-10T00:16:43Z</dcterms:modified>
  <dc:title>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2FC823394A444BCCB1C69E3F685AA590</vt:lpwstr>
  </property>
</Properties>
</file>