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60288"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车桥公司零部件五轴拧紧机2026年项修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ZBGL2026080161</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车桥公司零部件五轴拧紧机2026年项修</w:t>
      </w:r>
    </w:p>
    <w:p w14:paraId="15020D03">
      <w:pPr>
        <w:pStyle w:val="73"/>
      </w:pPr>
      <w:r>
        <w:rPr>
          <w:rFonts w:hint="eastAsia"/>
        </w:rPr>
        <w:t>项目编号：</w:t>
      </w:r>
      <w:r>
        <w:rPr>
          <w:rFonts w:hint="eastAsia"/>
          <w:highlight w:val="yellow"/>
          <w:lang w:eastAsia="zh-CN"/>
        </w:rPr>
        <w:t>ZBGL2026080161</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车桥公司零部件五轴拧紧机2026年项修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26</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8</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姜工</w:t>
      </w:r>
    </w:p>
    <w:p w14:paraId="3CD33835">
      <w:pPr>
        <w:pStyle w:val="72"/>
        <w:numPr>
          <w:ilvl w:val="0"/>
          <w:numId w:val="0"/>
        </w:numPr>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sz w:val="24"/>
          <w:szCs w:val="24"/>
          <w:lang w:val="en-US" w:eastAsia="zh-CN"/>
        </w:rPr>
        <w:t>19861850560</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零部件部五轴拧紧机使用已超9年，现出现拧紧卡顿、力矩异常、电气系统老化、拧紧动作报警、编码器与传感器线路老化断线、显示屏出现死机花屏等问题，需要进行项修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19</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26</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24</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25</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8</w:t>
      </w:r>
      <w:r>
        <w:rPr>
          <w:rFonts w:hint="eastAsia" w:hAnsi="宋体" w:cs="宋体"/>
          <w:sz w:val="24"/>
          <w:szCs w:val="24"/>
          <w:highlight w:val="yellow"/>
        </w:rPr>
        <w:t>月</w:t>
      </w:r>
      <w:r>
        <w:rPr>
          <w:rFonts w:hint="eastAsia" w:hAnsi="宋体" w:cs="宋体"/>
          <w:sz w:val="24"/>
          <w:szCs w:val="24"/>
          <w:highlight w:val="yellow"/>
          <w:lang w:val="en-US" w:eastAsia="zh-CN"/>
        </w:rPr>
        <w:t>26</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8</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8</w:t>
      </w:r>
      <w:bookmarkStart w:id="47" w:name="_GoBack"/>
      <w:bookmarkEnd w:id="47"/>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6"/>
      <w:bookmarkStart w:id="12" w:name="OLE_LINK27"/>
      <w:bookmarkStart w:id="13" w:name="OLE_LINK25"/>
      <w:bookmarkStart w:id="14" w:name="OLE_LINK28"/>
      <w:bookmarkStart w:id="15" w:name="OLE_LINK29"/>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车桥公司零部件五轴拧紧机2026年项修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2"/>
        <w:rPr>
          <w:rFonts w:hint="eastAsia" w:ascii="仿宋" w:hAnsi="仿宋" w:eastAsia="仿宋" w:cs="仿宋"/>
        </w:rPr>
      </w:pPr>
    </w:p>
    <w:p w14:paraId="1E35EEC9">
      <w:pPr>
        <w:pStyle w:val="2"/>
        <w:rPr>
          <w:rFonts w:hint="eastAsia" w:ascii="仿宋" w:hAnsi="仿宋" w:eastAsia="仿宋" w:cs="仿宋"/>
        </w:rPr>
      </w:pPr>
    </w:p>
    <w:p w14:paraId="270470FE">
      <w:pPr>
        <w:pStyle w:val="2"/>
        <w:rPr>
          <w:rFonts w:hint="eastAsia" w:ascii="仿宋" w:hAnsi="仿宋" w:eastAsia="仿宋" w:cs="仿宋"/>
        </w:rPr>
      </w:pPr>
    </w:p>
    <w:sdt>
      <w:sdtPr>
        <w:rPr>
          <w:rFonts w:hint="eastAsia" w:ascii="仿宋" w:hAnsi="仿宋" w:eastAsia="仿宋" w:cs="仿宋"/>
          <w:kern w:val="2"/>
          <w:sz w:val="21"/>
          <w:szCs w:val="22"/>
          <w:lang w:val="en-US" w:eastAsia="zh-CN" w:bidi="ar-SA"/>
        </w:rPr>
        <w:id w:val="147477013"/>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8FD11CF">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122CF3B9">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C7E5753">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044D8B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B5DA837">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252747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F02BE9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FF670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5E5D4B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00CDBB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202B90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0546E8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2A05C81">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D211E84">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39DE56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AFB5AD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128A4C1">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593AAD">
          <w:pPr>
            <w:pStyle w:val="2"/>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6F9E34FF">
      <w:pPr>
        <w:pStyle w:val="2"/>
        <w:rPr>
          <w:rFonts w:hint="eastAsia" w:ascii="仿宋" w:hAnsi="仿宋" w:eastAsia="仿宋" w:cs="仿宋"/>
          <w:bCs/>
          <w:kern w:val="2"/>
          <w:sz w:val="21"/>
          <w:szCs w:val="24"/>
          <w:highlight w:val="none"/>
          <w:lang w:val="en-US" w:eastAsia="zh-CN" w:bidi="ar-SA"/>
        </w:rPr>
      </w:pPr>
    </w:p>
    <w:p w14:paraId="0A56FB97">
      <w:pPr>
        <w:pStyle w:val="2"/>
        <w:rPr>
          <w:rFonts w:hint="eastAsia" w:ascii="仿宋" w:hAnsi="仿宋" w:eastAsia="仿宋" w:cs="仿宋"/>
          <w:bCs/>
          <w:kern w:val="2"/>
          <w:sz w:val="21"/>
          <w:szCs w:val="24"/>
          <w:highlight w:val="none"/>
          <w:lang w:val="en-US" w:eastAsia="zh-CN" w:bidi="ar-SA"/>
        </w:rPr>
      </w:pPr>
    </w:p>
    <w:p w14:paraId="727980A4">
      <w:pPr>
        <w:pStyle w:val="2"/>
        <w:rPr>
          <w:rFonts w:hint="eastAsia" w:ascii="仿宋" w:hAnsi="仿宋" w:eastAsia="仿宋" w:cs="仿宋"/>
          <w:bCs/>
          <w:kern w:val="2"/>
          <w:sz w:val="21"/>
          <w:szCs w:val="24"/>
          <w:highlight w:val="none"/>
          <w:lang w:val="en-US" w:eastAsia="zh-CN" w:bidi="ar-SA"/>
        </w:rPr>
      </w:pPr>
    </w:p>
    <w:p w14:paraId="4917D8B0">
      <w:pPr>
        <w:pStyle w:val="2"/>
        <w:rPr>
          <w:rFonts w:hint="eastAsia" w:ascii="仿宋" w:hAnsi="仿宋" w:eastAsia="仿宋" w:cs="仿宋"/>
          <w:bCs/>
          <w:kern w:val="2"/>
          <w:sz w:val="21"/>
          <w:szCs w:val="24"/>
          <w:highlight w:val="none"/>
          <w:lang w:val="en-US" w:eastAsia="zh-CN" w:bidi="ar-SA"/>
        </w:rPr>
      </w:pPr>
    </w:p>
    <w:p w14:paraId="5B714C1E">
      <w:pPr>
        <w:pStyle w:val="2"/>
        <w:rPr>
          <w:rFonts w:hint="eastAsia" w:ascii="仿宋" w:hAnsi="仿宋" w:eastAsia="仿宋" w:cs="仿宋"/>
          <w:bCs/>
          <w:kern w:val="2"/>
          <w:sz w:val="21"/>
          <w:szCs w:val="24"/>
          <w:highlight w:val="none"/>
          <w:lang w:val="en-US" w:eastAsia="zh-CN" w:bidi="ar-SA"/>
        </w:rPr>
      </w:pPr>
    </w:p>
    <w:p w14:paraId="1BB4C551">
      <w:pPr>
        <w:pStyle w:val="2"/>
        <w:rPr>
          <w:rFonts w:hint="eastAsia" w:ascii="仿宋" w:hAnsi="仿宋" w:eastAsia="仿宋" w:cs="仿宋"/>
          <w:b/>
          <w:bCs/>
          <w:kern w:val="2"/>
          <w:sz w:val="24"/>
          <w:szCs w:val="24"/>
          <w:highlight w:val="none"/>
          <w:lang w:val="en-US" w:eastAsia="zh-CN" w:bidi="ar-SA"/>
        </w:rPr>
      </w:pPr>
    </w:p>
    <w:p w14:paraId="779F7E3D">
      <w:pPr>
        <w:pStyle w:val="3"/>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5C66A6A1">
      <w:pPr>
        <w:pStyle w:val="2"/>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车桥公司拧紧机维修项目</w:t>
      </w:r>
    </w:p>
    <w:p w14:paraId="462A9445">
      <w:pPr>
        <w:pStyle w:val="2"/>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454"/>
        <w:gridCol w:w="2237"/>
        <w:gridCol w:w="721"/>
        <w:gridCol w:w="721"/>
      </w:tblGrid>
      <w:tr w14:paraId="2879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center"/>
          </w:tcPr>
          <w:p w14:paraId="416A92EA">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sz w:val="24"/>
                <w:szCs w:val="24"/>
                <w:highlight w:val="none"/>
              </w:rPr>
              <w:t>设备名称</w:t>
            </w:r>
          </w:p>
        </w:tc>
        <w:tc>
          <w:tcPr>
            <w:tcW w:w="2454" w:type="dxa"/>
            <w:tcBorders>
              <w:top w:val="single" w:color="auto" w:sz="4" w:space="0"/>
              <w:left w:val="single" w:color="auto" w:sz="4" w:space="0"/>
              <w:bottom w:val="single" w:color="auto" w:sz="4" w:space="0"/>
              <w:right w:val="single" w:color="auto" w:sz="4" w:space="0"/>
            </w:tcBorders>
            <w:noWrap w:val="0"/>
            <w:vAlign w:val="center"/>
          </w:tcPr>
          <w:p w14:paraId="09E8BB2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sz w:val="24"/>
                <w:szCs w:val="24"/>
                <w:highlight w:val="none"/>
                <w:lang w:val="en-US" w:eastAsia="zh-CN"/>
              </w:rPr>
              <w:t>设备</w:t>
            </w:r>
            <w:r>
              <w:rPr>
                <w:rFonts w:hint="eastAsia" w:ascii="仿宋" w:hAnsi="仿宋" w:eastAsia="仿宋" w:cs="仿宋"/>
                <w:sz w:val="24"/>
                <w:szCs w:val="24"/>
                <w:highlight w:val="none"/>
              </w:rPr>
              <w:t>编号</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37B0D1B6">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sz w:val="24"/>
                <w:szCs w:val="24"/>
                <w:highlight w:val="none"/>
              </w:rPr>
              <w:t>型号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1709802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sz w:val="24"/>
                <w:szCs w:val="24"/>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18C82537">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sz w:val="24"/>
                <w:szCs w:val="24"/>
                <w:highlight w:val="none"/>
              </w:rPr>
              <w:t>数量</w:t>
            </w:r>
          </w:p>
        </w:tc>
      </w:tr>
      <w:tr w14:paraId="3B5D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4" w:type="dxa"/>
            <w:tcBorders>
              <w:top w:val="single" w:color="auto" w:sz="4" w:space="0"/>
              <w:left w:val="single" w:color="auto" w:sz="4" w:space="0"/>
              <w:bottom w:val="single" w:color="auto" w:sz="4" w:space="0"/>
              <w:right w:val="single" w:color="auto" w:sz="4" w:space="0"/>
            </w:tcBorders>
            <w:noWrap w:val="0"/>
            <w:vAlign w:val="top"/>
          </w:tcPr>
          <w:p w14:paraId="111C8608">
            <w:pPr>
              <w:spacing w:line="360" w:lineRule="auto"/>
              <w:ind w:left="-105" w:leftChars="-50" w:right="-105" w:rightChars="-50"/>
              <w:jc w:val="center"/>
              <w:rPr>
                <w:rFonts w:hint="eastAsia" w:ascii="仿宋" w:hAnsi="仿宋" w:eastAsia="仿宋" w:cs="仿宋"/>
                <w:highlight w:val="yellow"/>
                <w:lang w:eastAsia="zh-CN"/>
              </w:rPr>
            </w:pPr>
            <w:r>
              <w:rPr>
                <w:rFonts w:hint="eastAsia" w:ascii="仿宋" w:hAnsi="仿宋" w:eastAsia="仿宋" w:cs="仿宋"/>
                <w:sz w:val="24"/>
                <w:szCs w:val="24"/>
                <w:lang w:val="en-US" w:eastAsia="zh-CN"/>
              </w:rPr>
              <w:t>五轴拧紧机</w:t>
            </w:r>
          </w:p>
        </w:tc>
        <w:tc>
          <w:tcPr>
            <w:tcW w:w="2454" w:type="dxa"/>
            <w:tcBorders>
              <w:top w:val="single" w:color="auto" w:sz="4" w:space="0"/>
              <w:left w:val="single" w:color="auto" w:sz="4" w:space="0"/>
              <w:bottom w:val="single" w:color="auto" w:sz="4" w:space="0"/>
              <w:right w:val="single" w:color="auto" w:sz="4" w:space="0"/>
            </w:tcBorders>
            <w:noWrap w:val="0"/>
            <w:vAlign w:val="top"/>
          </w:tcPr>
          <w:p w14:paraId="5D20BC29">
            <w:pPr>
              <w:spacing w:line="360" w:lineRule="auto"/>
              <w:ind w:left="-105" w:leftChars="-50" w:right="-105" w:rightChars="-50"/>
              <w:jc w:val="center"/>
              <w:rPr>
                <w:rFonts w:hint="eastAsia" w:ascii="仿宋" w:hAnsi="仿宋" w:eastAsia="仿宋" w:cs="仿宋"/>
                <w:highlight w:val="yellow"/>
              </w:rPr>
            </w:pPr>
            <w:r>
              <w:rPr>
                <w:rFonts w:hint="eastAsia" w:ascii="仿宋" w:hAnsi="仿宋" w:eastAsia="仿宋" w:cs="仿宋"/>
                <w:sz w:val="24"/>
                <w:szCs w:val="24"/>
                <w:lang w:val="en-US" w:eastAsia="zh-CN"/>
              </w:rPr>
              <w:t>2100-ZY-411-00118</w:t>
            </w:r>
          </w:p>
        </w:tc>
        <w:tc>
          <w:tcPr>
            <w:tcW w:w="2237" w:type="dxa"/>
            <w:tcBorders>
              <w:top w:val="single" w:color="auto" w:sz="4" w:space="0"/>
              <w:left w:val="single" w:color="auto" w:sz="4" w:space="0"/>
              <w:bottom w:val="single" w:color="auto" w:sz="4" w:space="0"/>
              <w:right w:val="single" w:color="auto" w:sz="4" w:space="0"/>
            </w:tcBorders>
            <w:noWrap w:val="0"/>
            <w:vAlign w:val="top"/>
          </w:tcPr>
          <w:p w14:paraId="67CFC94D">
            <w:pPr>
              <w:spacing w:line="360" w:lineRule="auto"/>
              <w:ind w:left="-105" w:leftChars="-50" w:right="-105" w:rightChars="-50"/>
              <w:jc w:val="center"/>
              <w:rPr>
                <w:rFonts w:hint="eastAsia" w:ascii="仿宋" w:hAnsi="仿宋" w:eastAsia="仿宋" w:cs="仿宋"/>
                <w:highlight w:val="yellow"/>
                <w:lang w:val="en-US" w:eastAsia="zh-CN"/>
              </w:rPr>
            </w:pPr>
            <w:r>
              <w:rPr>
                <w:rFonts w:hint="eastAsia" w:ascii="仿宋" w:hAnsi="仿宋" w:eastAsia="仿宋" w:cs="仿宋"/>
                <w:sz w:val="24"/>
                <w:szCs w:val="24"/>
                <w:lang w:val="en-US" w:eastAsia="zh-CN"/>
              </w:rPr>
              <w:t>JNC300-JNQ02</w:t>
            </w:r>
          </w:p>
        </w:tc>
        <w:tc>
          <w:tcPr>
            <w:tcW w:w="721" w:type="dxa"/>
            <w:tcBorders>
              <w:top w:val="single" w:color="auto" w:sz="4" w:space="0"/>
              <w:left w:val="single" w:color="auto" w:sz="4" w:space="0"/>
              <w:bottom w:val="single" w:color="auto" w:sz="4" w:space="0"/>
              <w:right w:val="single" w:color="auto" w:sz="4" w:space="0"/>
            </w:tcBorders>
            <w:noWrap w:val="0"/>
            <w:vAlign w:val="top"/>
          </w:tcPr>
          <w:p w14:paraId="2F218ABA">
            <w:pPr>
              <w:spacing w:line="360" w:lineRule="auto"/>
              <w:ind w:left="-105" w:leftChars="-50" w:right="-105" w:rightChars="-50"/>
              <w:jc w:val="center"/>
              <w:rPr>
                <w:rFonts w:hint="eastAsia" w:ascii="仿宋" w:hAnsi="仿宋" w:eastAsia="仿宋" w:cs="仿宋"/>
                <w:highlight w:val="yellow"/>
              </w:rPr>
            </w:pPr>
            <w:r>
              <w:rPr>
                <w:rFonts w:hint="eastAsia" w:ascii="仿宋" w:hAnsi="仿宋" w:eastAsia="仿宋" w:cs="仿宋"/>
                <w:sz w:val="24"/>
                <w:szCs w:val="24"/>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40F8B215">
            <w:pPr>
              <w:spacing w:line="360" w:lineRule="auto"/>
              <w:ind w:left="-105" w:leftChars="-50" w:right="-105" w:rightChars="-50"/>
              <w:jc w:val="center"/>
              <w:rPr>
                <w:rFonts w:hint="eastAsia" w:ascii="仿宋" w:hAnsi="仿宋" w:eastAsia="仿宋" w:cs="仿宋"/>
                <w:highlight w:val="yellow"/>
              </w:rPr>
            </w:pPr>
            <w:r>
              <w:rPr>
                <w:rFonts w:hint="eastAsia" w:ascii="仿宋" w:hAnsi="仿宋" w:eastAsia="仿宋" w:cs="仿宋"/>
                <w:sz w:val="24"/>
                <w:szCs w:val="24"/>
                <w:lang w:val="en-US" w:eastAsia="zh-CN"/>
              </w:rPr>
              <w:t>1</w:t>
            </w:r>
          </w:p>
        </w:tc>
      </w:tr>
    </w:tbl>
    <w:p w14:paraId="1E292D8C">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3D9194F0">
      <w:pPr>
        <w:pStyle w:val="3"/>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32709B03">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7</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6560A9CA">
      <w:pPr>
        <w:pStyle w:val="4"/>
        <w:numPr>
          <w:ilvl w:val="0"/>
          <w:numId w:val="27"/>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sz w:val="30"/>
          <w:szCs w:val="30"/>
          <w:lang w:val="en-US" w:eastAsia="zh-CN"/>
        </w:rPr>
        <w:t>机械部分：</w:t>
      </w:r>
      <w:bookmarkEnd w:id="23"/>
    </w:p>
    <w:p w14:paraId="45C1B622">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sz w:val="24"/>
          <w:szCs w:val="24"/>
          <w:lang w:val="en-US" w:eastAsia="zh-CN"/>
        </w:rPr>
        <w:t>五轴拧紧机</w:t>
      </w:r>
      <w:r>
        <w:rPr>
          <w:rFonts w:hint="eastAsia" w:ascii="仿宋" w:hAnsi="仿宋" w:eastAsia="仿宋" w:cs="仿宋"/>
          <w:lang w:val="en-US" w:eastAsia="zh-CN"/>
        </w:rPr>
        <w:t xml:space="preserve">            资产编号：</w:t>
      </w:r>
      <w:r>
        <w:rPr>
          <w:rFonts w:hint="eastAsia" w:ascii="仿宋" w:hAnsi="仿宋" w:eastAsia="仿宋" w:cs="仿宋"/>
          <w:sz w:val="24"/>
          <w:szCs w:val="24"/>
          <w:lang w:val="en-US" w:eastAsia="zh-CN"/>
        </w:rPr>
        <w:t>2100-ZY-411-00118</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402"/>
        <w:gridCol w:w="3588"/>
        <w:gridCol w:w="1205"/>
      </w:tblGrid>
      <w:tr w14:paraId="0AC2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vAlign w:val="center"/>
          </w:tcPr>
          <w:p w14:paraId="325F075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402" w:type="dxa"/>
            <w:vAlign w:val="center"/>
          </w:tcPr>
          <w:p w14:paraId="184785B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588" w:type="dxa"/>
            <w:vAlign w:val="center"/>
          </w:tcPr>
          <w:p w14:paraId="246632F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205" w:type="dxa"/>
            <w:vAlign w:val="center"/>
          </w:tcPr>
          <w:p w14:paraId="1C81EE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3A2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vAlign w:val="center"/>
          </w:tcPr>
          <w:p w14:paraId="0B224E05">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402" w:type="dxa"/>
            <w:vAlign w:val="center"/>
          </w:tcPr>
          <w:p w14:paraId="4DD8282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检查修整所有减速轴套，维修五轴前支座更换滚针轴承</w:t>
            </w:r>
          </w:p>
        </w:tc>
        <w:tc>
          <w:tcPr>
            <w:tcW w:w="3588" w:type="dxa"/>
            <w:vAlign w:val="center"/>
          </w:tcPr>
          <w:p w14:paraId="2758DD4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设备运行平稳流畅无异响。</w:t>
            </w:r>
          </w:p>
        </w:tc>
        <w:tc>
          <w:tcPr>
            <w:tcW w:w="1205" w:type="dxa"/>
            <w:vAlign w:val="center"/>
          </w:tcPr>
          <w:p w14:paraId="5D428BFD">
            <w:pPr>
              <w:numPr>
                <w:ilvl w:val="0"/>
                <w:numId w:val="0"/>
              </w:numPr>
              <w:jc w:val="center"/>
              <w:rPr>
                <w:rFonts w:hint="eastAsia" w:ascii="仿宋" w:hAnsi="仿宋" w:eastAsia="仿宋" w:cs="仿宋"/>
                <w:vertAlign w:val="baseline"/>
                <w:lang w:val="en-US" w:eastAsia="zh-CN"/>
              </w:rPr>
            </w:pPr>
          </w:p>
        </w:tc>
      </w:tr>
      <w:tr w14:paraId="562F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vAlign w:val="center"/>
          </w:tcPr>
          <w:p w14:paraId="48E14B78">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402" w:type="dxa"/>
            <w:vAlign w:val="center"/>
          </w:tcPr>
          <w:p w14:paraId="13AD654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更换显示屏</w:t>
            </w:r>
          </w:p>
        </w:tc>
        <w:tc>
          <w:tcPr>
            <w:tcW w:w="3588" w:type="dxa"/>
            <w:vAlign w:val="center"/>
          </w:tcPr>
          <w:p w14:paraId="367607C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保证平衡缸运行平稳正常</w:t>
            </w:r>
          </w:p>
        </w:tc>
        <w:tc>
          <w:tcPr>
            <w:tcW w:w="1205" w:type="dxa"/>
            <w:vAlign w:val="center"/>
          </w:tcPr>
          <w:p w14:paraId="787FFD6D">
            <w:pPr>
              <w:numPr>
                <w:ilvl w:val="0"/>
                <w:numId w:val="0"/>
              </w:numPr>
              <w:jc w:val="center"/>
              <w:rPr>
                <w:rFonts w:hint="eastAsia" w:ascii="仿宋" w:hAnsi="仿宋" w:eastAsia="仿宋" w:cs="仿宋"/>
                <w:vertAlign w:val="baseline"/>
                <w:lang w:val="en-US" w:eastAsia="zh-CN"/>
              </w:rPr>
            </w:pPr>
          </w:p>
        </w:tc>
      </w:tr>
      <w:tr w14:paraId="1160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vAlign w:val="center"/>
          </w:tcPr>
          <w:p w14:paraId="3D06A6B9">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2402" w:type="dxa"/>
            <w:vAlign w:val="center"/>
          </w:tcPr>
          <w:p w14:paraId="2A6F3C0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五轴做润滑保养</w:t>
            </w:r>
          </w:p>
        </w:tc>
        <w:tc>
          <w:tcPr>
            <w:tcW w:w="3588" w:type="dxa"/>
            <w:vAlign w:val="center"/>
          </w:tcPr>
          <w:p w14:paraId="6EA5559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润滑良好，设备运行平稳流畅无异响</w:t>
            </w:r>
          </w:p>
        </w:tc>
        <w:tc>
          <w:tcPr>
            <w:tcW w:w="1205" w:type="dxa"/>
            <w:vAlign w:val="center"/>
          </w:tcPr>
          <w:p w14:paraId="15873BFA">
            <w:pPr>
              <w:numPr>
                <w:ilvl w:val="0"/>
                <w:numId w:val="0"/>
              </w:numPr>
              <w:jc w:val="center"/>
              <w:rPr>
                <w:rFonts w:hint="eastAsia" w:ascii="仿宋" w:hAnsi="仿宋" w:eastAsia="仿宋" w:cs="仿宋"/>
                <w:vertAlign w:val="baseline"/>
                <w:lang w:val="en-US" w:eastAsia="zh-CN"/>
              </w:rPr>
            </w:pPr>
          </w:p>
        </w:tc>
      </w:tr>
    </w:tbl>
    <w:p w14:paraId="1D9A5CAE">
      <w:pPr>
        <w:pStyle w:val="4"/>
        <w:numPr>
          <w:ilvl w:val="0"/>
          <w:numId w:val="27"/>
        </w:numPr>
        <w:bidi w:val="0"/>
        <w:ind w:left="0" w:leftChars="0" w:firstLine="0" w:firstLineChars="0"/>
        <w:rPr>
          <w:rFonts w:hint="eastAsia" w:ascii="仿宋" w:hAnsi="仿宋" w:eastAsia="仿宋" w:cs="仿宋"/>
          <w:sz w:val="30"/>
          <w:szCs w:val="30"/>
          <w:lang w:val="en-US" w:eastAsia="zh-CN"/>
        </w:rPr>
      </w:pPr>
      <w:bookmarkStart w:id="24" w:name="_Toc8517"/>
      <w:r>
        <w:rPr>
          <w:rFonts w:hint="eastAsia" w:ascii="仿宋" w:hAnsi="仿宋" w:eastAsia="仿宋" w:cs="仿宋"/>
          <w:sz w:val="30"/>
          <w:szCs w:val="30"/>
          <w:lang w:val="en-US" w:eastAsia="zh-CN"/>
        </w:rPr>
        <w:t>电气部分：</w:t>
      </w:r>
      <w:bookmarkEnd w:id="24"/>
    </w:p>
    <w:p w14:paraId="0B681A48">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sz w:val="24"/>
          <w:szCs w:val="24"/>
          <w:lang w:val="en-US" w:eastAsia="zh-CN"/>
        </w:rPr>
        <w:t>五轴拧紧机</w:t>
      </w:r>
      <w:r>
        <w:rPr>
          <w:rFonts w:hint="eastAsia" w:ascii="仿宋" w:hAnsi="仿宋" w:eastAsia="仿宋" w:cs="仿宋"/>
          <w:lang w:val="en-US" w:eastAsia="zh-CN"/>
        </w:rPr>
        <w:t xml:space="preserve">            资产编号：</w:t>
      </w:r>
      <w:r>
        <w:rPr>
          <w:rFonts w:hint="eastAsia" w:ascii="仿宋" w:hAnsi="仿宋" w:eastAsia="仿宋" w:cs="仿宋"/>
          <w:sz w:val="24"/>
          <w:szCs w:val="24"/>
          <w:lang w:val="en-US" w:eastAsia="zh-CN"/>
        </w:rPr>
        <w:t>2100-ZY-411-00118</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2540"/>
        <w:gridCol w:w="2903"/>
        <w:gridCol w:w="1752"/>
      </w:tblGrid>
      <w:tr w14:paraId="24C8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63" w:type="dxa"/>
            <w:vAlign w:val="center"/>
          </w:tcPr>
          <w:p w14:paraId="6879AE20">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2540" w:type="dxa"/>
            <w:vAlign w:val="center"/>
          </w:tcPr>
          <w:p w14:paraId="6ED5A1E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03" w:type="dxa"/>
            <w:vAlign w:val="center"/>
          </w:tcPr>
          <w:p w14:paraId="3CEBFEC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752" w:type="dxa"/>
            <w:vAlign w:val="center"/>
          </w:tcPr>
          <w:p w14:paraId="004D937F">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355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63" w:type="dxa"/>
            <w:vAlign w:val="center"/>
          </w:tcPr>
          <w:p w14:paraId="46F3E45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2540" w:type="dxa"/>
            <w:vAlign w:val="center"/>
          </w:tcPr>
          <w:p w14:paraId="6926B66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更换所有编码器线、传感器线与插头，更换手柄按钮与控制线路</w:t>
            </w:r>
          </w:p>
        </w:tc>
        <w:tc>
          <w:tcPr>
            <w:tcW w:w="2903" w:type="dxa"/>
            <w:vAlign w:val="center"/>
          </w:tcPr>
          <w:p w14:paraId="6D1D6FC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保证通讯正常，恢复失效的操作按键、布局合理能</w:t>
            </w:r>
          </w:p>
        </w:tc>
        <w:tc>
          <w:tcPr>
            <w:tcW w:w="1752" w:type="dxa"/>
            <w:vAlign w:val="center"/>
          </w:tcPr>
          <w:p w14:paraId="7D9AA0D8">
            <w:pPr>
              <w:numPr>
                <w:ilvl w:val="0"/>
                <w:numId w:val="0"/>
              </w:numPr>
              <w:ind w:left="0" w:leftChars="0" w:firstLine="0" w:firstLineChars="0"/>
              <w:jc w:val="center"/>
              <w:rPr>
                <w:rFonts w:hint="eastAsia" w:ascii="仿宋" w:hAnsi="仿宋" w:eastAsia="仿宋" w:cs="仿宋"/>
                <w:vertAlign w:val="baseline"/>
                <w:lang w:val="en-US" w:eastAsia="zh-CN"/>
              </w:rPr>
            </w:pPr>
          </w:p>
        </w:tc>
      </w:tr>
      <w:tr w14:paraId="477D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63" w:type="dxa"/>
            <w:vAlign w:val="center"/>
          </w:tcPr>
          <w:p w14:paraId="372C53D9">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2540" w:type="dxa"/>
            <w:vAlign w:val="center"/>
          </w:tcPr>
          <w:p w14:paraId="75D8A59D">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校准五轴扭矩</w:t>
            </w:r>
          </w:p>
        </w:tc>
        <w:tc>
          <w:tcPr>
            <w:tcW w:w="2903" w:type="dxa"/>
            <w:vAlign w:val="center"/>
          </w:tcPr>
          <w:p w14:paraId="4912802B">
            <w:pPr>
              <w:numPr>
                <w:ilvl w:val="0"/>
                <w:numId w:val="0"/>
              </w:numPr>
              <w:ind w:left="0" w:leftChars="0" w:firstLine="0" w:firstLineChars="0"/>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投标方负责现场精度检测连续10次拧紧拧紧精度±3%</w:t>
            </w:r>
          </w:p>
        </w:tc>
        <w:tc>
          <w:tcPr>
            <w:tcW w:w="1752" w:type="dxa"/>
            <w:vAlign w:val="center"/>
          </w:tcPr>
          <w:p w14:paraId="51AE3EE3">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7F5DEF5D">
      <w:pPr>
        <w:pStyle w:val="4"/>
        <w:numPr>
          <w:ilvl w:val="0"/>
          <w:numId w:val="27"/>
        </w:numPr>
        <w:bidi w:val="0"/>
        <w:rPr>
          <w:rFonts w:hint="eastAsia" w:ascii="仿宋" w:hAnsi="仿宋" w:eastAsia="仿宋" w:cs="仿宋"/>
          <w:sz w:val="30"/>
          <w:szCs w:val="30"/>
          <w:lang w:val="en-US" w:eastAsia="zh-CN"/>
        </w:rPr>
      </w:pPr>
      <w:bookmarkStart w:id="25" w:name="_Toc1142"/>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bookmarkEnd w:id="25"/>
    </w:p>
    <w:p w14:paraId="0470B3E4">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sz w:val="24"/>
          <w:szCs w:val="24"/>
          <w:lang w:val="en-US" w:eastAsia="zh-CN"/>
        </w:rPr>
        <w:t>五轴拧紧机</w:t>
      </w:r>
      <w:r>
        <w:rPr>
          <w:rFonts w:hint="eastAsia" w:ascii="仿宋" w:hAnsi="仿宋" w:eastAsia="仿宋" w:cs="仿宋"/>
          <w:lang w:val="en-US" w:eastAsia="zh-CN"/>
        </w:rPr>
        <w:t xml:space="preserve">            资产编号：</w:t>
      </w:r>
      <w:r>
        <w:rPr>
          <w:rFonts w:hint="eastAsia" w:ascii="仿宋" w:hAnsi="仿宋" w:eastAsia="仿宋" w:cs="仿宋"/>
          <w:sz w:val="24"/>
          <w:szCs w:val="24"/>
          <w:lang w:val="en-US" w:eastAsia="zh-CN"/>
        </w:rPr>
        <w:t>2100-ZY-411-00118</w:t>
      </w:r>
    </w:p>
    <w:tbl>
      <w:tblPr>
        <w:tblStyle w:val="30"/>
        <w:tblW w:w="8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345"/>
        <w:gridCol w:w="1053"/>
        <w:gridCol w:w="1226"/>
        <w:gridCol w:w="1161"/>
        <w:gridCol w:w="1219"/>
        <w:gridCol w:w="970"/>
        <w:gridCol w:w="1781"/>
      </w:tblGrid>
      <w:tr w14:paraId="6D629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8DCB">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5DB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大类</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6E4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材料名称</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FFD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规格型号</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7AFC">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F65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数量</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4245">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单位</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5AD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4A5D8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D8F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1A436">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材料/备件</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186B">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编码器线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EEC8">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QBMQ-X6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213B">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大连嘉禾</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C36B">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CD0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E7FE">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含1</w:t>
            </w:r>
            <w:r>
              <w:rPr>
                <w:rFonts w:hint="eastAsia" w:ascii="仿宋" w:hAnsi="仿宋" w:eastAsia="仿宋" w:cs="仿宋"/>
                <w:vertAlign w:val="baseline"/>
                <w:lang w:val="en-US" w:eastAsia="zh-CN"/>
              </w:rPr>
              <w:t>电机侧维修</w:t>
            </w:r>
          </w:p>
        </w:tc>
      </w:tr>
      <w:tr w14:paraId="49164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5ED4">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62D0B">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5E12">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电源线</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DDB5">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SP2110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B7E8">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大连嘉禾</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D71A">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5</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4B68">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7B54">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含1</w:t>
            </w:r>
            <w:r>
              <w:rPr>
                <w:rFonts w:hint="eastAsia" w:ascii="仿宋" w:hAnsi="仿宋" w:eastAsia="仿宋" w:cs="仿宋"/>
                <w:vertAlign w:val="baseline"/>
                <w:lang w:val="en-US" w:eastAsia="zh-CN"/>
              </w:rPr>
              <w:t>电机侧维修</w:t>
            </w:r>
          </w:p>
        </w:tc>
      </w:tr>
      <w:tr w14:paraId="7572C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8DFF">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17F8C">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CD10">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插头</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DA25">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BMQJK-X6</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A1A3">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B206">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10</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831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套</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C1E4">
            <w:pPr>
              <w:numPr>
                <w:ilvl w:val="0"/>
                <w:numId w:val="0"/>
              </w:numPr>
              <w:ind w:left="0" w:leftChars="0" w:firstLine="0" w:firstLineChars="0"/>
              <w:jc w:val="center"/>
              <w:rPr>
                <w:rFonts w:hint="eastAsia" w:ascii="仿宋" w:hAnsi="仿宋" w:eastAsia="仿宋" w:cs="仿宋"/>
                <w:vertAlign w:val="baseline"/>
                <w:lang w:val="en-US" w:eastAsia="zh-CN"/>
              </w:rPr>
            </w:pPr>
          </w:p>
        </w:tc>
      </w:tr>
      <w:tr w14:paraId="0FB6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3600">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23E24">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2810">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清洗剂</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C19E">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轴用清洗剂</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D435">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D678">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6ACC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次</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E6D0">
            <w:pPr>
              <w:numPr>
                <w:ilvl w:val="0"/>
                <w:numId w:val="0"/>
              </w:numPr>
              <w:ind w:left="0" w:leftChars="0" w:firstLine="0" w:firstLineChars="0"/>
              <w:jc w:val="center"/>
              <w:rPr>
                <w:rFonts w:hint="eastAsia" w:ascii="仿宋" w:hAnsi="仿宋" w:eastAsia="仿宋" w:cs="仿宋"/>
                <w:vertAlign w:val="baseline"/>
                <w:lang w:val="en-US" w:eastAsia="zh-CN"/>
              </w:rPr>
            </w:pPr>
          </w:p>
        </w:tc>
      </w:tr>
      <w:tr w14:paraId="3FDC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1BDA">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EBD25">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6977">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高速润滑脂</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D487">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NLGI2</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2C8E">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32C7">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EB2E">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次</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E73D">
            <w:pPr>
              <w:numPr>
                <w:ilvl w:val="0"/>
                <w:numId w:val="0"/>
              </w:numPr>
              <w:ind w:left="0" w:leftChars="0" w:firstLine="0" w:firstLineChars="0"/>
              <w:jc w:val="center"/>
              <w:rPr>
                <w:rFonts w:hint="eastAsia" w:ascii="仿宋" w:hAnsi="仿宋" w:eastAsia="仿宋" w:cs="仿宋"/>
                <w:vertAlign w:val="baseline"/>
                <w:lang w:val="en-US" w:eastAsia="zh-CN"/>
              </w:rPr>
            </w:pPr>
          </w:p>
        </w:tc>
      </w:tr>
      <w:tr w14:paraId="0709B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80C2">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6</w:t>
            </w:r>
          </w:p>
        </w:tc>
        <w:tc>
          <w:tcPr>
            <w:tcW w:w="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0D77">
            <w:pPr>
              <w:numPr>
                <w:ilvl w:val="0"/>
                <w:numId w:val="0"/>
              </w:numPr>
              <w:ind w:left="0" w:leftChars="0" w:firstLine="0" w:firstLineChars="0"/>
              <w:jc w:val="center"/>
              <w:rPr>
                <w:rFonts w:hint="eastAsia" w:ascii="仿宋" w:hAnsi="仿宋" w:eastAsia="仿宋" w:cs="仿宋"/>
                <w:vertAlign w:val="baseline"/>
                <w:lang w:val="en-US" w:eastAsia="zh-CN"/>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E11D">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工业显示器</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06FD">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总长375mm 总款300mm12V 5A 分辨率：1024*768</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112D">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不限品牌</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7925">
            <w:pPr>
              <w:numPr>
                <w:ilvl w:val="0"/>
                <w:numId w:val="0"/>
              </w:numPr>
              <w:ind w:left="0" w:leftChars="0" w:firstLine="0" w:firstLineChars="0"/>
              <w:jc w:val="center"/>
              <w:rPr>
                <w:rFonts w:hint="eastAsia" w:ascii="仿宋" w:hAnsi="仿宋" w:eastAsia="仿宋" w:cs="仿宋"/>
                <w:vertAlign w:val="baseline"/>
                <w:lang w:val="en-US" w:eastAsia="zh-CN"/>
              </w:rPr>
            </w:pPr>
            <w:r>
              <w:rPr>
                <w:rFonts w:hint="default" w:ascii="仿宋" w:hAnsi="仿宋" w:eastAsia="仿宋" w:cs="仿宋"/>
                <w:vertAlign w:val="baseline"/>
                <w:lang w:val="en-US" w:eastAsia="zh-CN"/>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9921">
            <w:pPr>
              <w:numPr>
                <w:ilvl w:val="0"/>
                <w:numId w:val="0"/>
              </w:numPr>
              <w:ind w:left="0" w:leftChars="0" w:firstLine="0" w:firstLineChars="0"/>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件</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F016">
            <w:pPr>
              <w:numPr>
                <w:ilvl w:val="0"/>
                <w:numId w:val="0"/>
              </w:numPr>
              <w:ind w:left="0" w:leftChars="0" w:firstLine="0" w:firstLineChars="0"/>
              <w:jc w:val="center"/>
              <w:rPr>
                <w:rFonts w:hint="eastAsia" w:ascii="仿宋" w:hAnsi="仿宋" w:eastAsia="仿宋" w:cs="仿宋"/>
                <w:vertAlign w:val="baseline"/>
                <w:lang w:val="en-US" w:eastAsia="zh-CN"/>
              </w:rPr>
            </w:pPr>
          </w:p>
        </w:tc>
      </w:tr>
    </w:tbl>
    <w:p w14:paraId="3E3B1546">
      <w:pPr>
        <w:numPr>
          <w:ilvl w:val="0"/>
          <w:numId w:val="27"/>
        </w:numPr>
        <w:ind w:left="0" w:leftChars="0" w:firstLine="0" w:firstLineChars="0"/>
        <w:rPr>
          <w:rStyle w:val="81"/>
          <w:rFonts w:hint="eastAsia" w:ascii="仿宋" w:hAnsi="仿宋" w:eastAsia="仿宋" w:cs="仿宋"/>
          <w:sz w:val="30"/>
          <w:szCs w:val="30"/>
          <w:lang w:val="en-US" w:eastAsia="zh-CN"/>
        </w:rPr>
      </w:pPr>
      <w:bookmarkStart w:id="26" w:name="_Toc3366"/>
      <w:r>
        <w:rPr>
          <w:rStyle w:val="81"/>
          <w:rFonts w:hint="eastAsia" w:ascii="仿宋" w:hAnsi="仿宋" w:eastAsia="仿宋" w:cs="仿宋"/>
          <w:sz w:val="30"/>
          <w:szCs w:val="30"/>
          <w:lang w:val="en-US" w:eastAsia="zh-CN"/>
        </w:rPr>
        <w:t>技术资料：</w:t>
      </w:r>
      <w:bookmarkEnd w:id="26"/>
    </w:p>
    <w:p w14:paraId="3FB77AB4">
      <w:pPr>
        <w:numPr>
          <w:ilvl w:val="0"/>
          <w:numId w:val="0"/>
        </w:numPr>
        <w:ind w:leftChars="0" w:firstLine="480" w:firstLineChars="200"/>
        <w:rPr>
          <w:rFonts w:hint="eastAsia" w:ascii="仿宋" w:hAnsi="仿宋" w:eastAsia="仿宋" w:cs="仿宋"/>
          <w:b/>
          <w:bCs/>
          <w:sz w:val="24"/>
          <w:szCs w:val="24"/>
          <w:highlight w:val="none"/>
          <w:lang w:val="en-US" w:eastAsia="zh-CN" w:bidi="ar-SA"/>
        </w:rPr>
      </w:pP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3749AD8A">
      <w:pPr>
        <w:pStyle w:val="4"/>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0297E2A0">
      <w:pPr>
        <w:pStyle w:val="5"/>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p>
    <w:p w14:paraId="2C703105">
      <w:pPr>
        <w:pStyle w:val="5"/>
        <w:bidi w:val="0"/>
        <w:rPr>
          <w:rFonts w:hint="eastAsia" w:ascii="仿宋" w:hAnsi="仿宋" w:eastAsia="仿宋" w:cs="仿宋"/>
          <w:b w:val="0"/>
          <w:kern w:val="2"/>
          <w:sz w:val="24"/>
          <w:szCs w:val="24"/>
          <w:highlight w:val="none"/>
          <w:lang w:val="en-US" w:eastAsia="zh-CN" w:bidi="ar-SA"/>
        </w:rPr>
      </w:pPr>
      <w:r>
        <w:rPr>
          <w:rFonts w:hint="eastAsia" w:ascii="仿宋" w:hAnsi="仿宋" w:eastAsia="仿宋" w:cs="仿宋"/>
          <w:b w:val="0"/>
          <w:kern w:val="2"/>
          <w:sz w:val="24"/>
          <w:szCs w:val="24"/>
          <w:highlight w:val="none"/>
          <w:lang w:val="en-US" w:eastAsia="zh-CN" w:bidi="ar-SA"/>
        </w:rPr>
        <w:t>无</w:t>
      </w:r>
    </w:p>
    <w:p w14:paraId="7439FD4D">
      <w:pPr>
        <w:pStyle w:val="5"/>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1F689C37">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1062C72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2A490B3A">
      <w:pPr>
        <w:pStyle w:val="5"/>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232B908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060F542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748A15B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4162293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5536A94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5772C583">
      <w:pPr>
        <w:pStyle w:val="4"/>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78546342"/>
      <w:bookmarkStart w:id="33" w:name="_Toc66279265"/>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50D887D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34" w:name="_Toc62482962"/>
      <w:r>
        <w:rPr>
          <w:rFonts w:hint="eastAsia" w:ascii="仿宋" w:hAnsi="仿宋" w:eastAsia="仿宋" w:cs="仿宋"/>
          <w:b w:val="0"/>
          <w:bCs w:val="0"/>
          <w:sz w:val="24"/>
          <w:szCs w:val="24"/>
          <w:highlight w:val="none"/>
          <w:lang w:val="en-US" w:eastAsia="zh-CN" w:bidi="ar-SA"/>
        </w:rPr>
        <w:t>1、</w:t>
      </w:r>
      <w:bookmarkEnd w:id="34"/>
      <w:r>
        <w:rPr>
          <w:rFonts w:hint="eastAsia" w:ascii="仿宋" w:hAnsi="仿宋" w:eastAsia="仿宋" w:cs="仿宋"/>
          <w:b w:val="0"/>
          <w:bCs w:val="0"/>
          <w:sz w:val="24"/>
          <w:szCs w:val="24"/>
          <w:highlight w:val="none"/>
          <w:lang w:val="en-US" w:eastAsia="zh-CN" w:bidi="ar-SA"/>
        </w:rPr>
        <w:t>投标方应遵循招标方安全管理制度。</w:t>
      </w:r>
    </w:p>
    <w:p w14:paraId="1CC7B178">
      <w:pPr>
        <w:pStyle w:val="4"/>
        <w:bidi w:val="0"/>
        <w:rPr>
          <w:rFonts w:hint="eastAsia" w:ascii="仿宋" w:hAnsi="仿宋" w:eastAsia="仿宋" w:cs="仿宋"/>
          <w:b/>
          <w:bCs/>
          <w:sz w:val="24"/>
          <w:szCs w:val="24"/>
          <w:highlight w:val="none"/>
          <w:lang w:val="en-US" w:eastAsia="zh-CN" w:bidi="ar-SA"/>
        </w:rPr>
      </w:pPr>
      <w:bookmarkStart w:id="35" w:name="_Toc21222"/>
      <w:r>
        <w:rPr>
          <w:rFonts w:hint="eastAsia" w:ascii="仿宋" w:hAnsi="仿宋" w:eastAsia="仿宋" w:cs="仿宋"/>
          <w:sz w:val="30"/>
          <w:szCs w:val="30"/>
          <w:lang w:val="en-US" w:eastAsia="zh-CN"/>
        </w:rPr>
        <w:t>八、其他：</w:t>
      </w:r>
      <w:bookmarkEnd w:id="35"/>
    </w:p>
    <w:p w14:paraId="23FCF225">
      <w:pPr>
        <w:pStyle w:val="3"/>
        <w:bidi w:val="0"/>
        <w:jc w:val="center"/>
        <w:rPr>
          <w:rFonts w:hint="eastAsia" w:ascii="仿宋" w:hAnsi="仿宋" w:eastAsia="仿宋" w:cs="仿宋"/>
          <w:sz w:val="32"/>
          <w:szCs w:val="32"/>
          <w:lang w:val="en-US" w:eastAsia="zh-CN"/>
        </w:rPr>
      </w:pPr>
      <w:bookmarkStart w:id="36" w:name="_Toc8273"/>
      <w:r>
        <w:rPr>
          <w:rFonts w:hint="eastAsia" w:ascii="仿宋" w:hAnsi="仿宋" w:eastAsia="仿宋" w:cs="仿宋"/>
          <w:sz w:val="32"/>
          <w:szCs w:val="32"/>
          <w:lang w:val="en-US" w:eastAsia="zh-CN"/>
        </w:rPr>
        <w:t>第三章 安装调试及验收标准</w:t>
      </w:r>
      <w:bookmarkEnd w:id="36"/>
    </w:p>
    <w:p w14:paraId="58B862F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095A4BA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58B8E14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4F401B6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3256197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757B321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5EF0EA2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4FF887F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2F16E31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73AECB8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4D123A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33EDA001">
      <w:pPr>
        <w:pStyle w:val="2"/>
        <w:rPr>
          <w:rFonts w:hint="eastAsia" w:ascii="仿宋" w:hAnsi="仿宋" w:eastAsia="仿宋" w:cs="仿宋"/>
          <w:b w:val="0"/>
          <w:bCs w:val="0"/>
          <w:sz w:val="24"/>
          <w:szCs w:val="24"/>
          <w:highlight w:val="none"/>
          <w:lang w:val="en-US" w:eastAsia="zh-CN"/>
        </w:rPr>
      </w:pPr>
    </w:p>
    <w:p w14:paraId="643BC2A0">
      <w:pPr>
        <w:pStyle w:val="2"/>
        <w:rPr>
          <w:rFonts w:hint="eastAsia" w:ascii="仿宋" w:hAnsi="仿宋" w:eastAsia="仿宋" w:cs="仿宋"/>
        </w:rPr>
      </w:pPr>
    </w:p>
    <w:p w14:paraId="7830BC38">
      <w:pPr>
        <w:pStyle w:val="2"/>
        <w:rPr>
          <w:rFonts w:hint="eastAsia" w:ascii="仿宋" w:hAnsi="仿宋" w:eastAsia="仿宋" w:cs="仿宋"/>
          <w:b/>
          <w:bCs/>
          <w:kern w:val="2"/>
          <w:sz w:val="32"/>
          <w:szCs w:val="32"/>
          <w:highlight w:val="none"/>
          <w:lang w:val="en-US" w:eastAsia="zh-CN" w:bidi="ar-SA"/>
        </w:rPr>
      </w:pPr>
    </w:p>
    <w:p w14:paraId="6FEB3C0D">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63A343FD">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F819FAC">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73945C6C">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20C237D">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5A6B0915">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3B4DF88">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E593412">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5DAC156D">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7CEDC627">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6FA28AF">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26FD7A2C">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7DB02C7D">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3783170B">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1C0B2E84">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0F86B149">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73A38209">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p>
    <w:p w14:paraId="69B91E8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p>
    <w:p w14:paraId="4E6AF679">
      <w:pPr>
        <w:pStyle w:val="2"/>
        <w:rPr>
          <w:rFonts w:hint="eastAsia" w:ascii="仿宋" w:hAnsi="仿宋" w:eastAsia="仿宋" w:cs="仿宋"/>
        </w:rPr>
      </w:pPr>
    </w:p>
    <w:bookmarkEnd w:id="16"/>
    <w:bookmarkEnd w:id="17"/>
    <w:p w14:paraId="5871DF53">
      <w:pPr>
        <w:pStyle w:val="71"/>
        <w:rPr>
          <w:rFonts w:hint="eastAsia" w:eastAsia="黑体"/>
          <w:lang w:eastAsia="zh-CN"/>
        </w:rPr>
      </w:pPr>
      <w:bookmarkStart w:id="37" w:name="_Toc20595"/>
      <w:bookmarkStart w:id="38" w:name="_Toc47976609"/>
      <w:r>
        <w:rPr>
          <w:rFonts w:hint="eastAsia"/>
        </w:rPr>
        <w:t>第三部分　合同</w:t>
      </w:r>
      <w:bookmarkEnd w:id="37"/>
      <w:bookmarkEnd w:id="38"/>
      <w:r>
        <w:rPr>
          <w:rFonts w:hint="eastAsia"/>
          <w:lang w:val="en-US" w:eastAsia="zh-CN"/>
        </w:rPr>
        <w:t>模板</w:t>
      </w:r>
    </w:p>
    <w:p w14:paraId="7ACE1D4A">
      <w:pPr>
        <w:adjustRightInd w:val="0"/>
        <w:snapToGrid w:val="0"/>
        <w:spacing w:line="360" w:lineRule="auto"/>
        <w:jc w:val="center"/>
        <w:rPr>
          <w:rFonts w:ascii="宋体" w:hAnsi="宋体"/>
          <w:sz w:val="20"/>
        </w:rPr>
      </w:pPr>
      <w:bookmarkStart w:id="39"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9"/>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3BB8F02D">
      <w:pPr>
        <w:pStyle w:val="76"/>
      </w:pPr>
    </w:p>
    <w:p w14:paraId="0EB8BBEB">
      <w:pPr>
        <w:pStyle w:val="71"/>
        <w:rPr>
          <w:rFonts w:hint="default" w:eastAsia="黑体"/>
          <w:lang w:val="en-US" w:eastAsia="zh-CN"/>
        </w:rPr>
      </w:pPr>
      <w:bookmarkStart w:id="40" w:name="_Toc47976615"/>
      <w:bookmarkStart w:id="41" w:name="_Toc5925"/>
      <w:r>
        <w:rPr>
          <w:rFonts w:hint="eastAsia"/>
        </w:rPr>
        <w:t>第四部分　</w:t>
      </w:r>
      <w:bookmarkEnd w:id="40"/>
      <w:r>
        <w:rPr>
          <w:rFonts w:hint="eastAsia"/>
          <w:lang w:val="en-US" w:eastAsia="zh-CN"/>
        </w:rPr>
        <w:t>投标文件附件</w:t>
      </w:r>
      <w:bookmarkEnd w:id="41"/>
    </w:p>
    <w:p w14:paraId="600DE1DD">
      <w:pPr>
        <w:pStyle w:val="71"/>
        <w:jc w:val="left"/>
        <w:rPr>
          <w:rFonts w:hint="eastAsia" w:ascii="宋体" w:hAnsi="宋体" w:eastAsia="宋体" w:cs="宋体"/>
          <w:sz w:val="32"/>
          <w:szCs w:val="32"/>
          <w:highlight w:val="yellow"/>
          <w:lang w:eastAsia="zh-CN"/>
        </w:rPr>
      </w:pPr>
      <w:bookmarkStart w:id="42" w:name="_Toc47976616"/>
      <w:bookmarkStart w:id="43" w:name="_Toc4225"/>
      <w:r>
        <w:rPr>
          <w:rFonts w:hint="eastAsia" w:ascii="宋体" w:hAnsi="宋体" w:eastAsia="宋体" w:cs="宋体"/>
          <w:sz w:val="32"/>
          <w:szCs w:val="32"/>
          <w:highlight w:val="yellow"/>
        </w:rPr>
        <w:t>附件</w:t>
      </w:r>
      <w:bookmarkEnd w:id="42"/>
      <w:bookmarkEnd w:id="43"/>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4" w:name="_Toc47976618"/>
      <w:bookmarkStart w:id="45" w:name="_Toc29366865"/>
      <w:bookmarkStart w:id="46" w:name="_Toc29366869"/>
      <w:r>
        <w:rPr>
          <w:rFonts w:hint="eastAsia" w:ascii="宋体" w:hAnsi="宋体" w:eastAsia="宋体" w:cs="宋体"/>
          <w:sz w:val="32"/>
          <w:szCs w:val="32"/>
          <w:highlight w:val="yellow"/>
          <w:lang w:val="en-US" w:eastAsia="zh-CN"/>
        </w:rPr>
        <w:t>附件2</w:t>
      </w:r>
    </w:p>
    <w:bookmarkEnd w:id="4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5"/>
    <w:bookmarkEnd w:id="46"/>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676D1705">
      <w:pPr>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47ACB247">
      <w:pPr>
        <w:rPr>
          <w:rFonts w:hint="eastAsia" w:ascii="宋体" w:hAnsi="宋体"/>
          <w:sz w:val="24"/>
          <w:highlight w:val="none"/>
        </w:rPr>
      </w:pPr>
      <w:r>
        <w:rPr>
          <w:rFonts w:hint="eastAsia" w:ascii="宋体" w:hAnsi="宋体"/>
          <w:sz w:val="24"/>
          <w:highlight w:val="none"/>
        </w:rPr>
        <w:br w:type="page"/>
      </w:r>
    </w:p>
    <w:p w14:paraId="469ED948">
      <w:pPr>
        <w:pStyle w:val="76"/>
        <w:rPr>
          <w:rFonts w:hint="eastAsia" w:ascii="宋体" w:hAnsi="宋体"/>
          <w:sz w:val="24"/>
          <w:highlight w:val="none"/>
        </w:rPr>
        <w:sectPr>
          <w:type w:val="continuous"/>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p w14:paraId="74EA8DBF">
      <w:pPr>
        <w:rPr>
          <w:rFonts w:hint="eastAsia" w:ascii="宋体" w:hAnsi="宋体"/>
          <w:sz w:val="24"/>
          <w:highlight w:val="none"/>
        </w:rPr>
      </w:pPr>
    </w:p>
    <w:tbl>
      <w:tblPr>
        <w:tblStyle w:val="30"/>
        <w:tblW w:w="1381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9"/>
        <w:gridCol w:w="1166"/>
        <w:gridCol w:w="1166"/>
        <w:gridCol w:w="2922"/>
        <w:gridCol w:w="1166"/>
        <w:gridCol w:w="1166"/>
        <w:gridCol w:w="1166"/>
        <w:gridCol w:w="1166"/>
        <w:gridCol w:w="1166"/>
        <w:gridCol w:w="1166"/>
      </w:tblGrid>
      <w:tr w14:paraId="474DF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37489C">
            <w:pPr>
              <w:keepNext w:val="0"/>
              <w:keepLines w:val="0"/>
              <w:widowControl/>
              <w:suppressLineNumbers w:val="0"/>
              <w:jc w:val="center"/>
              <w:textAlignment w:val="center"/>
              <w:rPr>
                <w:rFonts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序号</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26985">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大类</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C73C3">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材料名称</w:t>
            </w:r>
          </w:p>
        </w:tc>
        <w:tc>
          <w:tcPr>
            <w:tcW w:w="29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660A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规格型号</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D481D">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品牌</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DA74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数量</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1F93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单位</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610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单价（元，不含税）</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6D9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ACDCE">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备注</w:t>
            </w:r>
          </w:p>
        </w:tc>
      </w:tr>
      <w:tr w14:paraId="645A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285AD">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9C80F">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34CBE">
            <w:pPr>
              <w:jc w:val="center"/>
              <w:rPr>
                <w:rFonts w:hint="eastAsia" w:ascii="微软雅黑" w:hAnsi="微软雅黑" w:eastAsia="微软雅黑" w:cs="微软雅黑"/>
                <w:b/>
                <w:bCs/>
                <w:i w:val="0"/>
                <w:iCs w:val="0"/>
                <w:color w:val="000000"/>
                <w:sz w:val="16"/>
                <w:szCs w:val="16"/>
                <w:u w:val="none"/>
              </w:rPr>
            </w:pPr>
          </w:p>
        </w:tc>
        <w:tc>
          <w:tcPr>
            <w:tcW w:w="2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EAC7F">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89E5A">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E4F0D">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38876">
            <w:pPr>
              <w:jc w:val="center"/>
              <w:rPr>
                <w:rFonts w:hint="eastAsia" w:ascii="微软雅黑" w:hAnsi="微软雅黑" w:eastAsia="微软雅黑" w:cs="微软雅黑"/>
                <w:b/>
                <w:bCs/>
                <w:i w:val="0"/>
                <w:iCs w:val="0"/>
                <w:color w:val="000000"/>
                <w:sz w:val="16"/>
                <w:szCs w:val="16"/>
                <w:u w:val="none"/>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BA6EF">
            <w:pPr>
              <w:jc w:val="center"/>
              <w:rPr>
                <w:rFonts w:hint="eastAsia" w:ascii="微软雅黑" w:hAnsi="微软雅黑" w:eastAsia="微软雅黑" w:cs="微软雅黑"/>
                <w:b/>
                <w:bCs/>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B03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lang w:val="en-US" w:eastAsia="zh-CN" w:bidi="ar"/>
              </w:rPr>
              <w:t>（元，不含税）</w:t>
            </w: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65E84">
            <w:pPr>
              <w:jc w:val="center"/>
              <w:rPr>
                <w:rFonts w:hint="eastAsia" w:ascii="微软雅黑" w:hAnsi="微软雅黑" w:eastAsia="微软雅黑" w:cs="微软雅黑"/>
                <w:b/>
                <w:bCs/>
                <w:i w:val="0"/>
                <w:iCs w:val="0"/>
                <w:color w:val="000000"/>
                <w:sz w:val="16"/>
                <w:szCs w:val="16"/>
                <w:u w:val="none"/>
              </w:rPr>
            </w:pPr>
          </w:p>
        </w:tc>
      </w:tr>
      <w:tr w14:paraId="1A835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9C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76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C0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编码器线</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3C8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QBMQ-X6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00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大连嘉禾</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62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F0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7331">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0B31">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1DC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含电机侧线路</w:t>
            </w:r>
          </w:p>
        </w:tc>
      </w:tr>
      <w:tr w14:paraId="5E80F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4B1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A6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1A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电源线</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2E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SP2110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C1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大连嘉禾</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85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B9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76B6">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7CBB">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EA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含电机侧线路</w:t>
            </w:r>
          </w:p>
        </w:tc>
      </w:tr>
      <w:tr w14:paraId="0FF4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F89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B5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CC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插头</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6C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BMQJK-X6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B8D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不限品牌</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10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09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19BD">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354D">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410E">
            <w:pPr>
              <w:jc w:val="center"/>
              <w:rPr>
                <w:rFonts w:hint="eastAsia" w:ascii="微软雅黑" w:hAnsi="微软雅黑" w:eastAsia="微软雅黑" w:cs="微软雅黑"/>
                <w:i w:val="0"/>
                <w:iCs w:val="0"/>
                <w:color w:val="000000"/>
                <w:sz w:val="16"/>
                <w:szCs w:val="16"/>
                <w:u w:val="none"/>
              </w:rPr>
            </w:pPr>
          </w:p>
        </w:tc>
      </w:tr>
      <w:tr w14:paraId="23C2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0F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EF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FF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清洗剂</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9C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轴用清洗剂</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F6F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不限品牌</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929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BA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B1C96">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1EBF">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8558">
            <w:pPr>
              <w:jc w:val="center"/>
              <w:rPr>
                <w:rFonts w:hint="eastAsia" w:ascii="微软雅黑" w:hAnsi="微软雅黑" w:eastAsia="微软雅黑" w:cs="微软雅黑"/>
                <w:i w:val="0"/>
                <w:iCs w:val="0"/>
                <w:color w:val="000000"/>
                <w:sz w:val="16"/>
                <w:szCs w:val="16"/>
                <w:u w:val="none"/>
              </w:rPr>
            </w:pPr>
          </w:p>
        </w:tc>
      </w:tr>
      <w:tr w14:paraId="5FAA4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53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D94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99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高速润滑脂</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AE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NLGI2</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55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不限品牌</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57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C4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EFA2">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3071">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7885">
            <w:pPr>
              <w:jc w:val="center"/>
              <w:rPr>
                <w:rFonts w:hint="eastAsia" w:ascii="微软雅黑" w:hAnsi="微软雅黑" w:eastAsia="微软雅黑" w:cs="微软雅黑"/>
                <w:i w:val="0"/>
                <w:iCs w:val="0"/>
                <w:color w:val="000000"/>
                <w:sz w:val="16"/>
                <w:szCs w:val="16"/>
                <w:u w:val="none"/>
              </w:rPr>
            </w:pPr>
          </w:p>
        </w:tc>
      </w:tr>
      <w:tr w14:paraId="1490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C9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F67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材料/备件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A8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工业显示器</w:t>
            </w:r>
          </w:p>
        </w:tc>
        <w:tc>
          <w:tcPr>
            <w:tcW w:w="2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828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总长375mm 总宽300mm12V 5A 分辨率：1024*768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9C4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不限品牌</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132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81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件</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7DE9">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3C07">
            <w:pPr>
              <w:jc w:val="center"/>
              <w:rPr>
                <w:rFonts w:hint="eastAsia" w:ascii="微软雅黑" w:hAnsi="微软雅黑" w:eastAsia="微软雅黑" w:cs="微软雅黑"/>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D8C7">
            <w:pPr>
              <w:rPr>
                <w:rFonts w:hint="eastAsia" w:ascii="微软雅黑" w:hAnsi="微软雅黑" w:eastAsia="微软雅黑" w:cs="微软雅黑"/>
                <w:i w:val="0"/>
                <w:iCs w:val="0"/>
                <w:color w:val="000000"/>
                <w:sz w:val="16"/>
                <w:szCs w:val="16"/>
                <w:u w:val="none"/>
              </w:rPr>
            </w:pPr>
          </w:p>
        </w:tc>
      </w:tr>
      <w:tr w14:paraId="45C68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42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14" name="图片_3"/>
                  <wp:cNvGraphicFramePr/>
                  <a:graphic xmlns:a="http://schemas.openxmlformats.org/drawingml/2006/main">
                    <a:graphicData uri="http://schemas.openxmlformats.org/drawingml/2006/picture">
                      <pic:pic xmlns:pic="http://schemas.openxmlformats.org/drawingml/2006/picture">
                        <pic:nvPicPr>
                          <pic:cNvPr id="14" name="图片_3"/>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13" name="图片_2"/>
                  <wp:cNvGraphicFramePr/>
                  <a:graphic xmlns:a="http://schemas.openxmlformats.org/drawingml/2006/main">
                    <a:graphicData uri="http://schemas.openxmlformats.org/drawingml/2006/picture">
                      <pic:pic xmlns:pic="http://schemas.openxmlformats.org/drawingml/2006/picture">
                        <pic:nvPicPr>
                          <pic:cNvPr id="13" name="图片_2"/>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78180" cy="144780"/>
                  <wp:effectExtent l="0" t="0" r="0" b="0"/>
                  <wp:wrapNone/>
                  <wp:docPr id="12" name="图片_4"/>
                  <wp:cNvGraphicFramePr/>
                  <a:graphic xmlns:a="http://schemas.openxmlformats.org/drawingml/2006/main">
                    <a:graphicData uri="http://schemas.openxmlformats.org/drawingml/2006/picture">
                      <pic:pic xmlns:pic="http://schemas.openxmlformats.org/drawingml/2006/picture">
                        <pic:nvPicPr>
                          <pic:cNvPr id="12" name="图片_4"/>
                          <pic:cNvPicPr/>
                        </pic:nvPicPr>
                        <pic:blipFill>
                          <a:blip r:embed="rId11"/>
                          <a:stretch>
                            <a:fillRect/>
                          </a:stretch>
                        </pic:blipFill>
                        <pic:spPr>
                          <a:xfrm>
                            <a:off x="0" y="0"/>
                            <a:ext cx="678180" cy="14478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lang w:val="en-US" w:eastAsia="zh-CN"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697081C1">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其他费用</w:t>
            </w:r>
          </w:p>
        </w:tc>
        <w:tc>
          <w:tcPr>
            <w:tcW w:w="5254"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410164F">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安装调试费</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4BA067F4">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6DC4D752">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5B3B442F">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784CF328">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7A3F98C3">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天</w:t>
            </w:r>
          </w:p>
        </w:tc>
      </w:tr>
      <w:tr w14:paraId="50B5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top"/>
          </w:tcPr>
          <w:p w14:paraId="246F6601">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小计</w:t>
            </w:r>
          </w:p>
        </w:tc>
        <w:tc>
          <w:tcPr>
            <w:tcW w:w="991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FFD858F">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54D9811F">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0485D5C9">
            <w:pPr>
              <w:jc w:val="center"/>
              <w:rPr>
                <w:rFonts w:hint="eastAsia" w:ascii="微软雅黑" w:hAnsi="微软雅黑" w:eastAsia="微软雅黑" w:cs="微软雅黑"/>
                <w:i w:val="0"/>
                <w:iCs w:val="0"/>
                <w:color w:val="000000"/>
                <w:sz w:val="16"/>
                <w:szCs w:val="16"/>
                <w:u w:val="none"/>
              </w:rPr>
            </w:pPr>
          </w:p>
        </w:tc>
      </w:tr>
      <w:tr w14:paraId="5541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top"/>
          </w:tcPr>
          <w:p w14:paraId="681364A1">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税费（13%）</w:t>
            </w:r>
          </w:p>
        </w:tc>
        <w:tc>
          <w:tcPr>
            <w:tcW w:w="991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0F996DE">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0DA75DF6">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67A74EB3">
            <w:pPr>
              <w:jc w:val="center"/>
              <w:rPr>
                <w:rFonts w:hint="eastAsia" w:ascii="微软雅黑" w:hAnsi="微软雅黑" w:eastAsia="微软雅黑" w:cs="微软雅黑"/>
                <w:i w:val="0"/>
                <w:iCs w:val="0"/>
                <w:color w:val="000000"/>
                <w:sz w:val="16"/>
                <w:szCs w:val="16"/>
                <w:u w:val="none"/>
              </w:rPr>
            </w:pPr>
          </w:p>
        </w:tc>
      </w:tr>
      <w:tr w14:paraId="6653E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51" w:hRule="atLeast"/>
        </w:trPr>
        <w:tc>
          <w:tcPr>
            <w:tcW w:w="1569" w:type="dxa"/>
            <w:tcBorders>
              <w:top w:val="single" w:color="000000" w:sz="4" w:space="0"/>
              <w:left w:val="single" w:color="000000" w:sz="4" w:space="0"/>
              <w:bottom w:val="single" w:color="000000" w:sz="4" w:space="0"/>
              <w:right w:val="single" w:color="000000" w:sz="4" w:space="0"/>
            </w:tcBorders>
            <w:shd w:val="clear" w:color="auto" w:fill="auto"/>
            <w:vAlign w:val="top"/>
          </w:tcPr>
          <w:p w14:paraId="19178DBB">
            <w:pPr>
              <w:keepNext w:val="0"/>
              <w:keepLines w:val="0"/>
              <w:widowControl/>
              <w:suppressLineNumbers w:val="0"/>
              <w:jc w:val="center"/>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总计（含税）</w:t>
            </w:r>
          </w:p>
        </w:tc>
        <w:tc>
          <w:tcPr>
            <w:tcW w:w="9918"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E24533C">
            <w:pPr>
              <w:jc w:val="center"/>
              <w:rPr>
                <w:rFonts w:hint="eastAsia" w:ascii="微软雅黑" w:hAnsi="微软雅黑" w:eastAsia="微软雅黑" w:cs="微软雅黑"/>
                <w:i w:val="0"/>
                <w:iCs w:val="0"/>
                <w:color w:val="000000"/>
                <w:sz w:val="16"/>
                <w:szCs w:val="16"/>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top"/>
          </w:tcPr>
          <w:p w14:paraId="1A445140">
            <w:pPr>
              <w:jc w:val="center"/>
              <w:rPr>
                <w:rFonts w:hint="eastAsia" w:ascii="微软雅黑" w:hAnsi="微软雅黑" w:eastAsia="微软雅黑" w:cs="微软雅黑"/>
                <w:i w:val="0"/>
                <w:iCs w:val="0"/>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0A70F">
            <w:pPr>
              <w:rPr>
                <w:rFonts w:hint="eastAsia" w:ascii="微软雅黑" w:hAnsi="微软雅黑" w:eastAsia="微软雅黑" w:cs="微软雅黑"/>
                <w:i w:val="0"/>
                <w:iCs w:val="0"/>
                <w:color w:val="000000"/>
                <w:sz w:val="16"/>
                <w:szCs w:val="16"/>
                <w:u w:val="none"/>
              </w:rPr>
            </w:pPr>
          </w:p>
        </w:tc>
      </w:tr>
    </w:tbl>
    <w:p w14:paraId="325635CC">
      <w:pPr>
        <w:rPr>
          <w:rFonts w:hint="eastAsia" w:hAnsi="宋体" w:cs="宋体"/>
          <w:b/>
          <w:bCs/>
          <w:color w:val="000000"/>
          <w:sz w:val="24"/>
          <w:szCs w:val="24"/>
        </w:rPr>
        <w:sectPr>
          <w:type w:val="continuous"/>
          <w:pgSz w:w="16838" w:h="11906" w:orient="landscape"/>
          <w:pgMar w:top="1418" w:right="1701" w:bottom="1418" w:left="1134" w:header="851" w:footer="992" w:gutter="0"/>
          <w:pgNumType w:fmt="numberInDash" w:start="1"/>
          <w:cols w:space="720" w:num="1"/>
          <w:titlePg/>
          <w:docGrid w:type="lines" w:linePitch="312" w:charSpace="0"/>
        </w:sectPr>
      </w:pPr>
    </w:p>
    <w:p w14:paraId="708AD56C">
      <w:pPr>
        <w:pStyle w:val="2"/>
        <w:rPr>
          <w:rFonts w:hint="eastAsia"/>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6"/>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6"/>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497534"/>
    <w:rsid w:val="02CC3DCA"/>
    <w:rsid w:val="02FE76EF"/>
    <w:rsid w:val="03844451"/>
    <w:rsid w:val="03F033B0"/>
    <w:rsid w:val="042E5AF8"/>
    <w:rsid w:val="04C11604"/>
    <w:rsid w:val="057C1D39"/>
    <w:rsid w:val="05891259"/>
    <w:rsid w:val="05BE1FE7"/>
    <w:rsid w:val="05D60C48"/>
    <w:rsid w:val="074812B6"/>
    <w:rsid w:val="08633479"/>
    <w:rsid w:val="08BD6586"/>
    <w:rsid w:val="08EE25EA"/>
    <w:rsid w:val="096864F2"/>
    <w:rsid w:val="097C01EF"/>
    <w:rsid w:val="0A002BCE"/>
    <w:rsid w:val="0AAF5C6E"/>
    <w:rsid w:val="0ABB61DB"/>
    <w:rsid w:val="0B1E6A4A"/>
    <w:rsid w:val="0C0E2F4B"/>
    <w:rsid w:val="0C517711"/>
    <w:rsid w:val="0CB51572"/>
    <w:rsid w:val="0D0504FC"/>
    <w:rsid w:val="0D576FA9"/>
    <w:rsid w:val="0DF06AB6"/>
    <w:rsid w:val="0E3350F3"/>
    <w:rsid w:val="0E3D4337"/>
    <w:rsid w:val="0E435A00"/>
    <w:rsid w:val="0E4D31E3"/>
    <w:rsid w:val="0F751969"/>
    <w:rsid w:val="10C36704"/>
    <w:rsid w:val="10DC2AA3"/>
    <w:rsid w:val="10FA7C8C"/>
    <w:rsid w:val="112258E5"/>
    <w:rsid w:val="113C186E"/>
    <w:rsid w:val="11575079"/>
    <w:rsid w:val="11A65EF9"/>
    <w:rsid w:val="121511E1"/>
    <w:rsid w:val="12352921"/>
    <w:rsid w:val="130B198F"/>
    <w:rsid w:val="13B3480E"/>
    <w:rsid w:val="148111FB"/>
    <w:rsid w:val="15D65136"/>
    <w:rsid w:val="16421E79"/>
    <w:rsid w:val="16A918E4"/>
    <w:rsid w:val="17710C68"/>
    <w:rsid w:val="17D966D6"/>
    <w:rsid w:val="182061EA"/>
    <w:rsid w:val="1B0F0EC3"/>
    <w:rsid w:val="1BC71D3B"/>
    <w:rsid w:val="1C59115B"/>
    <w:rsid w:val="1C844F99"/>
    <w:rsid w:val="1F676460"/>
    <w:rsid w:val="1FB23E60"/>
    <w:rsid w:val="20457135"/>
    <w:rsid w:val="2063580D"/>
    <w:rsid w:val="209401B7"/>
    <w:rsid w:val="22C5630B"/>
    <w:rsid w:val="22F85FDE"/>
    <w:rsid w:val="23B71CA9"/>
    <w:rsid w:val="23EC0BA6"/>
    <w:rsid w:val="24701A48"/>
    <w:rsid w:val="25DD571A"/>
    <w:rsid w:val="25F5515A"/>
    <w:rsid w:val="2637307C"/>
    <w:rsid w:val="268B0052"/>
    <w:rsid w:val="27402012"/>
    <w:rsid w:val="27743C90"/>
    <w:rsid w:val="289F3D26"/>
    <w:rsid w:val="291D614D"/>
    <w:rsid w:val="292C1B70"/>
    <w:rsid w:val="294206B6"/>
    <w:rsid w:val="29CA2459"/>
    <w:rsid w:val="2A4125A1"/>
    <w:rsid w:val="2A7F4FF2"/>
    <w:rsid w:val="2AE8703B"/>
    <w:rsid w:val="2B05199B"/>
    <w:rsid w:val="2B271A58"/>
    <w:rsid w:val="2B6304A7"/>
    <w:rsid w:val="2BBD2276"/>
    <w:rsid w:val="2BD4504B"/>
    <w:rsid w:val="2CF6734C"/>
    <w:rsid w:val="2D23435A"/>
    <w:rsid w:val="2D663463"/>
    <w:rsid w:val="2E2863A6"/>
    <w:rsid w:val="2EF96EE4"/>
    <w:rsid w:val="30C3032E"/>
    <w:rsid w:val="3254490C"/>
    <w:rsid w:val="325E5D00"/>
    <w:rsid w:val="350A5A9E"/>
    <w:rsid w:val="35154ED0"/>
    <w:rsid w:val="35B57C1C"/>
    <w:rsid w:val="36254FE4"/>
    <w:rsid w:val="36617CA1"/>
    <w:rsid w:val="368F0CB2"/>
    <w:rsid w:val="36A1577D"/>
    <w:rsid w:val="372F61E0"/>
    <w:rsid w:val="381C47C8"/>
    <w:rsid w:val="38942371"/>
    <w:rsid w:val="39322FCA"/>
    <w:rsid w:val="3A9E7716"/>
    <w:rsid w:val="3AB90991"/>
    <w:rsid w:val="3AEE2B6C"/>
    <w:rsid w:val="3B706131"/>
    <w:rsid w:val="3B724FE4"/>
    <w:rsid w:val="3C552056"/>
    <w:rsid w:val="3CD70CBD"/>
    <w:rsid w:val="3E6F041E"/>
    <w:rsid w:val="3E717A65"/>
    <w:rsid w:val="3E904B2D"/>
    <w:rsid w:val="3F5B3E28"/>
    <w:rsid w:val="40080278"/>
    <w:rsid w:val="40CF687B"/>
    <w:rsid w:val="4275481E"/>
    <w:rsid w:val="428B617A"/>
    <w:rsid w:val="42937435"/>
    <w:rsid w:val="433D7BDC"/>
    <w:rsid w:val="437E1813"/>
    <w:rsid w:val="43C755E8"/>
    <w:rsid w:val="44CB1108"/>
    <w:rsid w:val="45717F01"/>
    <w:rsid w:val="4585575A"/>
    <w:rsid w:val="45BD47FC"/>
    <w:rsid w:val="45CC5FB2"/>
    <w:rsid w:val="46B362F7"/>
    <w:rsid w:val="46B75BA8"/>
    <w:rsid w:val="47D14C87"/>
    <w:rsid w:val="484A4A39"/>
    <w:rsid w:val="48C97955"/>
    <w:rsid w:val="48D569F9"/>
    <w:rsid w:val="49880C8F"/>
    <w:rsid w:val="49FA5194"/>
    <w:rsid w:val="49FC1D63"/>
    <w:rsid w:val="4A8835F7"/>
    <w:rsid w:val="4B09298A"/>
    <w:rsid w:val="4B592E71"/>
    <w:rsid w:val="4B5C51AF"/>
    <w:rsid w:val="4BE56F53"/>
    <w:rsid w:val="4CE0771A"/>
    <w:rsid w:val="4CE316F0"/>
    <w:rsid w:val="4D2C0DF1"/>
    <w:rsid w:val="4D6226F0"/>
    <w:rsid w:val="4E6B38FC"/>
    <w:rsid w:val="4FD03A76"/>
    <w:rsid w:val="5015744E"/>
    <w:rsid w:val="50A00741"/>
    <w:rsid w:val="51181DC1"/>
    <w:rsid w:val="51383FC9"/>
    <w:rsid w:val="51D50FD0"/>
    <w:rsid w:val="52274B10"/>
    <w:rsid w:val="528F0C0D"/>
    <w:rsid w:val="52B9239A"/>
    <w:rsid w:val="54B41BB8"/>
    <w:rsid w:val="54B555E4"/>
    <w:rsid w:val="54BD78FD"/>
    <w:rsid w:val="55DF0EB7"/>
    <w:rsid w:val="565D2FC0"/>
    <w:rsid w:val="566E1FCE"/>
    <w:rsid w:val="568B61F7"/>
    <w:rsid w:val="576D24F2"/>
    <w:rsid w:val="58A86DDE"/>
    <w:rsid w:val="58EC2532"/>
    <w:rsid w:val="59154AD7"/>
    <w:rsid w:val="5A851901"/>
    <w:rsid w:val="5ADF548D"/>
    <w:rsid w:val="5B0171D9"/>
    <w:rsid w:val="5B57329D"/>
    <w:rsid w:val="5B767BC7"/>
    <w:rsid w:val="5BF60D08"/>
    <w:rsid w:val="5C95407D"/>
    <w:rsid w:val="5CE05415"/>
    <w:rsid w:val="5D5C60B4"/>
    <w:rsid w:val="5E59731B"/>
    <w:rsid w:val="5FC25FBD"/>
    <w:rsid w:val="604638E0"/>
    <w:rsid w:val="616704EA"/>
    <w:rsid w:val="62816B6B"/>
    <w:rsid w:val="629152E7"/>
    <w:rsid w:val="62A74B0A"/>
    <w:rsid w:val="63C054F8"/>
    <w:rsid w:val="63F04A69"/>
    <w:rsid w:val="64654A97"/>
    <w:rsid w:val="651A646A"/>
    <w:rsid w:val="66A50B1E"/>
    <w:rsid w:val="66B43C9A"/>
    <w:rsid w:val="66BB5028"/>
    <w:rsid w:val="67B2063C"/>
    <w:rsid w:val="67C97AC3"/>
    <w:rsid w:val="67E30EC1"/>
    <w:rsid w:val="6897117D"/>
    <w:rsid w:val="69F50851"/>
    <w:rsid w:val="6A3D4E3D"/>
    <w:rsid w:val="6A4E3B2B"/>
    <w:rsid w:val="6A975464"/>
    <w:rsid w:val="6AA638F9"/>
    <w:rsid w:val="6B286A04"/>
    <w:rsid w:val="6B481C3B"/>
    <w:rsid w:val="6C1331A3"/>
    <w:rsid w:val="6CA84BC1"/>
    <w:rsid w:val="6D3E4756"/>
    <w:rsid w:val="6D433682"/>
    <w:rsid w:val="6DB14D1A"/>
    <w:rsid w:val="6E2214E9"/>
    <w:rsid w:val="6FC523EB"/>
    <w:rsid w:val="704020FA"/>
    <w:rsid w:val="71145A61"/>
    <w:rsid w:val="71922E29"/>
    <w:rsid w:val="71924BD7"/>
    <w:rsid w:val="72330F98"/>
    <w:rsid w:val="72895F2E"/>
    <w:rsid w:val="72C02EBE"/>
    <w:rsid w:val="72C507AD"/>
    <w:rsid w:val="72D028D8"/>
    <w:rsid w:val="72F14303"/>
    <w:rsid w:val="733E7BFE"/>
    <w:rsid w:val="734F6BC1"/>
    <w:rsid w:val="745D47C3"/>
    <w:rsid w:val="74B9247B"/>
    <w:rsid w:val="75355FA6"/>
    <w:rsid w:val="755A3C5E"/>
    <w:rsid w:val="76432726"/>
    <w:rsid w:val="76AC3757"/>
    <w:rsid w:val="76E23F0B"/>
    <w:rsid w:val="792151BF"/>
    <w:rsid w:val="799A0ACD"/>
    <w:rsid w:val="7A1C188C"/>
    <w:rsid w:val="7A501647"/>
    <w:rsid w:val="7B8A691F"/>
    <w:rsid w:val="7BF02C26"/>
    <w:rsid w:val="7CB400F8"/>
    <w:rsid w:val="7CB93F8E"/>
    <w:rsid w:val="7CF66B46"/>
    <w:rsid w:val="7DBD28BA"/>
    <w:rsid w:val="7E7C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3"/>
    <w:semiHidden/>
    <w:qFormat/>
    <w:uiPriority w:val="0"/>
    <w:pPr>
      <w:keepNext/>
      <w:keepLines/>
      <w:spacing w:line="416" w:lineRule="auto"/>
      <w:outlineLvl w:val="2"/>
    </w:pPr>
    <w:rPr>
      <w:b/>
      <w:bCs/>
      <w:sz w:val="32"/>
      <w:szCs w:val="32"/>
    </w:rPr>
  </w:style>
  <w:style w:type="paragraph" w:styleId="6">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1"/>
    <w:semiHidden/>
    <w:qFormat/>
    <w:uiPriority w:val="98"/>
    <w:rPr>
      <w:rFonts w:ascii="仿宋_GB2312" w:eastAsia="仿宋_GB2312"/>
      <w:sz w:val="32"/>
    </w:rPr>
  </w:style>
  <w:style w:type="paragraph" w:styleId="8">
    <w:name w:val="E-mail Signature"/>
    <w:basedOn w:val="1"/>
    <w:link w:val="104"/>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5"/>
    <w:qFormat/>
    <w:uiPriority w:val="99"/>
    <w:pPr>
      <w:jc w:val="left"/>
    </w:p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2"/>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5"/>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1"/>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3"/>
    <w:semiHidden/>
    <w:qFormat/>
    <w:uiPriority w:val="0"/>
    <w:rPr>
      <w:b/>
      <w:bCs/>
      <w:kern w:val="44"/>
      <w:sz w:val="44"/>
      <w:szCs w:val="44"/>
    </w:rPr>
  </w:style>
  <w:style w:type="paragraph" w:customStyle="1" w:styleId="68">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6"/>
    <w:semiHidden/>
    <w:qFormat/>
    <w:uiPriority w:val="0"/>
    <w:rPr>
      <w:rFonts w:ascii="Arial" w:hAnsi="Arial"/>
      <w:b/>
      <w:bCs/>
      <w:kern w:val="2"/>
      <w:sz w:val="21"/>
      <w:szCs w:val="28"/>
    </w:rPr>
  </w:style>
  <w:style w:type="character" w:customStyle="1" w:styleId="78">
    <w:name w:val="标题 5 字符"/>
    <w:basedOn w:val="32"/>
    <w:link w:val="7"/>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4"/>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0"/>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8"/>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numbering" Target="numbering.xm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NUL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38</Pages>
  <Words>6824</Words>
  <Characters>7226</Characters>
  <Lines>127</Lines>
  <Paragraphs>35</Paragraphs>
  <TotalTime>18</TotalTime>
  <ScaleCrop>false</ScaleCrop>
  <LinksUpToDate>false</LinksUpToDate>
  <CharactersWithSpaces>7420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2026-08-19T02:00:27Z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