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EB68A1">
      <w:pPr>
        <w:pStyle w:val="2"/>
        <w:widowControl/>
        <w:jc w:val="center"/>
        <w:rPr>
          <w:i w:val="0"/>
          <w:iCs/>
          <w:sz w:val="32"/>
          <w:szCs w:val="32"/>
          <w:lang w:val="en-US"/>
        </w:rPr>
      </w:pPr>
      <w:bookmarkStart w:id="0" w:name="_Toc12866"/>
      <w:r>
        <w:rPr>
          <w:rFonts w:hint="eastAsia" w:cs="宋体"/>
          <w:i w:val="0"/>
          <w:iCs/>
          <w:sz w:val="32"/>
          <w:szCs w:val="32"/>
          <w:lang w:val="en-US" w:eastAsia="zh-CN"/>
        </w:rPr>
        <w:t>中国重汽集团济南动力有限公司-镁合金变速箱中壳试验件采购项目</w:t>
      </w:r>
      <w:r>
        <w:rPr>
          <w:rFonts w:hint="eastAsia" w:cs="宋体"/>
          <w:i w:val="0"/>
          <w:iCs/>
          <w:sz w:val="32"/>
          <w:szCs w:val="32"/>
          <w:lang w:val="en-US" w:eastAsia="zh-CN"/>
        </w:rPr>
        <w:t>招标公告</w:t>
      </w:r>
      <w:bookmarkEnd w:id="0"/>
    </w:p>
    <w:p w14:paraId="1EBE2D1A">
      <w:pPr>
        <w:pStyle w:val="2"/>
        <w:widowControl/>
        <w:jc w:val="center"/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</w:pPr>
      <w:bookmarkStart w:id="1" w:name="_Toc27465"/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招标编号：（</w:t>
      </w:r>
      <w:r>
        <w:rPr>
          <w:rFonts w:hint="eastAsia" w:cs="宋体"/>
          <w:b/>
          <w:bCs/>
          <w:i w:val="0"/>
          <w:iCs/>
          <w:sz w:val="22"/>
          <w:szCs w:val="22"/>
          <w:highlight w:val="yellow"/>
          <w:lang w:val="en-US" w:eastAsia="zh-CN"/>
        </w:rPr>
        <w:t>ZBGL2026070141</w:t>
      </w:r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）</w:t>
      </w:r>
      <w:bookmarkEnd w:id="1"/>
    </w:p>
    <w:p w14:paraId="20BDA0D9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474C137B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tbl>
      <w:tblPr>
        <w:tblStyle w:val="9"/>
        <w:tblW w:w="9287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99"/>
        <w:gridCol w:w="2444"/>
        <w:gridCol w:w="2200"/>
        <w:gridCol w:w="2444"/>
      </w:tblGrid>
      <w:tr w14:paraId="677DE7BD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199" w:type="dxa"/>
            <w:shd w:val="clear" w:color="auto" w:fill="DEDEDE"/>
            <w:vAlign w:val="center"/>
          </w:tcPr>
          <w:p w14:paraId="6FB91D9B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300" w:lineRule="atLeast"/>
              <w:ind w:left="0" w:right="0"/>
              <w:jc w:val="center"/>
              <w:rPr>
                <w:rFonts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有效起始日期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6EEAF2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2026-7-8 </w:t>
            </w:r>
          </w:p>
        </w:tc>
        <w:tc>
          <w:tcPr>
            <w:tcW w:w="2200" w:type="dxa"/>
            <w:shd w:val="clear" w:color="auto" w:fill="DEDEDE"/>
            <w:vAlign w:val="center"/>
          </w:tcPr>
          <w:p w14:paraId="09883BE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有效截止日期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6EF447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2026-7-18 </w:t>
            </w:r>
          </w:p>
        </w:tc>
      </w:tr>
    </w:tbl>
    <w:p w14:paraId="3891D99F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22A1DC92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一、项目概况  </w:t>
      </w:r>
    </w:p>
    <w:p w14:paraId="34DE45B1">
      <w:pPr>
        <w:ind w:firstLine="480"/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工艺研发项目《镁合金压铸工艺研究》(工作令YF03126004A），需采购中壳试验件进行验证。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（若需详情，请联系技术联系人，或应标后见招标文件技术标书）</w:t>
      </w:r>
    </w:p>
    <w:p w14:paraId="36BF1B5C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二、项目基本情况  </w:t>
      </w:r>
    </w:p>
    <w:p w14:paraId="755D5F23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项目名称：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镁合金变速箱中壳试验件采购项目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4610D852"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项目类别：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C</w:t>
      </w:r>
    </w:p>
    <w:p w14:paraId="3BA3571B"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公开招标</w:t>
      </w:r>
    </w:p>
    <w:p w14:paraId="3B9A1FEF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4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采购内容：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50件镁合金变速箱中壳试验件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26BCDC17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三、供应商资格条件  </w:t>
      </w:r>
    </w:p>
    <w:p w14:paraId="1BEBDEA7">
      <w:pPr>
        <w:pStyle w:val="6"/>
        <w:ind w:firstLine="482" w:firstLineChars="200"/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（1）拟投标人必须是在中华人民共和国境内注册的独立法人机构，具有独立承担民事责任能力，注册资金不少于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00万人民币（或等值其他货币）；公司成立三年以上（以营业执照成立日期到开标当日满三年为准）；且经营范围满足招标人需求；并在人员、设备、资金等方面具有承担本项目的能力。</w:t>
      </w:r>
    </w:p>
    <w:p w14:paraId="1A10E190">
      <w:pPr>
        <w:pStyle w:val="6"/>
        <w:ind w:firstLine="482" w:firstLineChars="200"/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（2）拟投标人应提供三证合一的营业执照副本复印件（需盖章）。</w:t>
      </w:r>
    </w:p>
    <w:p w14:paraId="3353578E">
      <w:pPr>
        <w:pStyle w:val="6"/>
        <w:ind w:firstLine="482" w:firstLineChars="200"/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（3）拟投标人应提供法定代表人资格证明文件。</w:t>
      </w:r>
    </w:p>
    <w:p w14:paraId="667114A2">
      <w:pPr>
        <w:pStyle w:val="6"/>
        <w:ind w:firstLine="482" w:firstLineChars="200"/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（4）拟投标人在国家市场监督管理总局的《国家企业信用信息公示系统》中查询不存在不良记录。</w:t>
      </w:r>
    </w:p>
    <w:p w14:paraId="62BA6C19">
      <w:pPr>
        <w:pStyle w:val="6"/>
        <w:ind w:firstLine="482" w:firstLineChars="200"/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（5）拟投标人不存在与本项目有关的违法违规或被列入招标人“黑名单”的声明。</w:t>
      </w:r>
    </w:p>
    <w:p w14:paraId="24810C7E">
      <w:pPr>
        <w:pStyle w:val="6"/>
        <w:ind w:firstLine="482" w:firstLineChars="200"/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（6）拟投标人经会计师事务所审计的近三年的公司财务报告（需含资产负债表、损益表、现金流量表）未显示异常。如投标人公司没有经审计的财务报告，可提供加盖公章的近三年财务报表，包括但不限于资产负债表、利润表、现金流量表。</w:t>
      </w:r>
    </w:p>
    <w:p w14:paraId="55EE5C3B">
      <w:pPr>
        <w:pStyle w:val="6"/>
        <w:ind w:firstLine="482" w:firstLineChars="200"/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（7）供方的直接或间接股东、法定代表人、董事、监事、高管非重汽员工及其亲属</w:t>
      </w:r>
    </w:p>
    <w:p w14:paraId="272BC5B9">
      <w:pPr>
        <w:pStyle w:val="6"/>
        <w:ind w:firstLine="482" w:firstLineChars="200"/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）拟投标人有与本次招标内容相同或类似项目业绩，业绩复印件须加盖公章，且近3年内无因服务不当而造成重大事故。</w:t>
      </w:r>
    </w:p>
    <w:p w14:paraId="2F27CBA8">
      <w:pPr>
        <w:pStyle w:val="6"/>
        <w:ind w:firstLine="482" w:firstLineChars="200"/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* 注：</w:t>
      </w:r>
    </w:p>
    <w:p w14:paraId="5F3CA43E">
      <w:pPr>
        <w:pStyle w:val="6"/>
        <w:ind w:firstLine="482" w:firstLineChars="200"/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如果是授权委托人投标，要携带三证合一的营业执照副本复印件、法人授权委托书、身份证原件、参加开标会议，否则视为弃标；</w:t>
      </w:r>
    </w:p>
    <w:p w14:paraId="04597DA8">
      <w:pPr>
        <w:pStyle w:val="6"/>
        <w:ind w:firstLine="482" w:firstLineChars="200"/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如果是法人参加投标，要携带三证合一的营业执照副本复印件、法人代表证明原件、身份证原件参加开标会议，否则视为弃标；</w:t>
      </w:r>
    </w:p>
    <w:p w14:paraId="6A630DBB">
      <w:pPr>
        <w:pStyle w:val="6"/>
        <w:ind w:firstLine="482" w:firstLineChars="200"/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如果是代理商投标，除上述a)b)中要求的资料，要另外携带生产商的授权书、原厂售后服务承诺书参加开标会议，否则视为弃标。</w:t>
      </w:r>
    </w:p>
    <w:p w14:paraId="6DED5912">
      <w:pPr>
        <w:ind w:firstLine="481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32812728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报名文件</w:t>
      </w:r>
    </w:p>
    <w:p w14:paraId="5FEE8F15">
      <w:pP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05FEE92F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四、采购文件领取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52EB1949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线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上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1F6DACB3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07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13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17:00:00 </w:t>
      </w:r>
    </w:p>
    <w:p w14:paraId="4759D9F9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采购文件领取地点：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重汽e采通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3A64C75D">
      <w:pPr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五、响应文件提交 </w:t>
      </w:r>
    </w:p>
    <w:p w14:paraId="77BB3C9A"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线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上</w:t>
      </w:r>
    </w:p>
    <w:p w14:paraId="6010EC64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7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18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17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:00:00 </w:t>
      </w:r>
    </w:p>
    <w:p w14:paraId="756D49F0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3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重汽e采通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18836169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六、开标时间和地点 </w:t>
      </w:r>
    </w:p>
    <w:p w14:paraId="47B3B62D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7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09:00:00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暂定，以实际通知为准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0B5A93ED">
      <w:pPr>
        <w:ind w:firstLine="481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山东省济南市历城区华奥路777号重汽科技大厦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三楼会议室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暂定，以实际通知为准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4EB316E7">
      <w:pPr>
        <w:ind w:firstLine="481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FAC7C52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七、发布公告的媒介  </w:t>
      </w:r>
    </w:p>
    <w:p w14:paraId="0F0EE9FD">
      <w:pP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中国重汽</w:t>
      </w:r>
      <w: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eastAsia="zh-CN"/>
        </w:rPr>
        <w:t>集团官网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（ww.cnhtc.com.cn）</w:t>
      </w:r>
    </w:p>
    <w:p w14:paraId="7FBD0B0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八、联系方式 </w:t>
      </w:r>
    </w:p>
    <w:p w14:paraId="533DA6B9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采购人信息：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1CCCDBA5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名称：中国重型汽车集团有限公司 </w:t>
      </w:r>
    </w:p>
    <w:p w14:paraId="25BF1070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地址：山东省济南市历城区华奥路777号中国重型汽车集团有限公司 </w:t>
      </w:r>
    </w:p>
    <w:p w14:paraId="0B4B17B3"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联系人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赵玉利</w:t>
      </w:r>
    </w:p>
    <w:p w14:paraId="5BB75B62">
      <w:pPr>
        <w:ind w:firstLine="48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联系电话：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15215487200</w:t>
      </w:r>
    </w:p>
    <w:p w14:paraId="2BBBFC11">
      <w:pPr>
        <w:ind w:firstLine="48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技术联系人：赵玉利</w:t>
      </w:r>
    </w:p>
    <w:p w14:paraId="18B2FB9A">
      <w:pPr>
        <w:ind w:firstLine="48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联系电话：15215487200</w:t>
      </w:r>
    </w:p>
    <w:p w14:paraId="3B00F455">
      <w:pPr>
        <w:ind w:firstLine="48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九、其他说明  </w:t>
      </w:r>
    </w:p>
    <w:p w14:paraId="61216B83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供应商需在重汽官网搜索本项目招标公告，根据要求准备报名资料。</w:t>
      </w:r>
    </w:p>
    <w:p w14:paraId="317ABA5C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232D9641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注：</w:t>
      </w:r>
    </w:p>
    <w:p w14:paraId="12B5F7B5">
      <w:pPr>
        <w:ind w:left="479" w:leftChars="228" w:firstLine="0" w:firstLineChars="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eastAsia="宋体" w:cs="宋体"/>
          <w:sz w:val="24"/>
          <w:szCs w:val="24"/>
          <w:highlight w:val="none"/>
        </w:rPr>
        <w:t>拟投标人根据招标人在中国重汽官网</w:t>
      </w:r>
      <w:r>
        <w:rPr>
          <w:rFonts w:hint="eastAsia" w:eastAsia="宋体" w:cs="宋体"/>
          <w:sz w:val="24"/>
          <w:szCs w:val="24"/>
          <w:highlight w:val="none"/>
          <w:lang w:val="en-US" w:eastAsia="zh-CN"/>
        </w:rPr>
        <w:t>公开媒体</w:t>
      </w:r>
      <w:r>
        <w:rPr>
          <w:rFonts w:hint="eastAsia" w:eastAsia="宋体" w:cs="宋体"/>
          <w:sz w:val="24"/>
          <w:szCs w:val="24"/>
          <w:highlight w:val="none"/>
        </w:rPr>
        <w:t>上发布的招标信息，</w:t>
      </w:r>
      <w:r>
        <w:rPr>
          <w:rFonts w:hint="eastAsia" w:ascii="宋体" w:hAnsi="Courier New" w:eastAsia="宋体" w:cs="Times New Roman"/>
          <w:color w:val="000000"/>
          <w:sz w:val="24"/>
          <w:szCs w:val="24"/>
          <w:highlight w:val="none"/>
          <w:lang w:val="en-US" w:eastAsia="zh-CN"/>
        </w:rPr>
        <w:t>在“中国重汽e采通”平台</w:t>
      </w:r>
      <w:r>
        <w:rPr>
          <w:rFonts w:hint="eastAsia" w:ascii="宋体" w:hAnsi="Courier New" w:eastAsia="宋体" w:cs="Times New Roman"/>
          <w:color w:val="000000"/>
          <w:sz w:val="24"/>
          <w:szCs w:val="24"/>
          <w:highlight w:val="none"/>
        </w:rPr>
        <w:t>报名</w:t>
      </w:r>
      <w:r>
        <w:rPr>
          <w:rFonts w:hint="eastAsia" w:cs="Times New Roman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hint="eastAsia" w:cs="Times New Roman"/>
          <w:color w:val="000000"/>
          <w:sz w:val="24"/>
          <w:szCs w:val="24"/>
          <w:highlight w:val="none"/>
          <w:lang w:val="en-US" w:eastAsia="zh-CN"/>
        </w:rPr>
        <w:t>具体流程如下：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b/>
          <w:bCs/>
          <w:sz w:val="24"/>
          <w:szCs w:val="24"/>
        </w:rPr>
        <w:t>①系统注册与信息维护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</w:t>
      </w:r>
      <w:r>
        <w:rPr>
          <w:rFonts w:ascii="宋体" w:hAnsi="宋体" w:eastAsia="宋体" w:cs="宋体"/>
          <w:b/>
          <w:bCs/>
          <w:sz w:val="24"/>
          <w:szCs w:val="24"/>
        </w:rPr>
        <w:t>首次注册供应商</w:t>
      </w:r>
      <w:r>
        <w:rPr>
          <w:rFonts w:ascii="宋体" w:hAnsi="宋体" w:eastAsia="宋体" w:cs="宋体"/>
          <w:sz w:val="24"/>
          <w:szCs w:val="24"/>
        </w:rPr>
        <w:t>：请根据《SRM非生产供应商注册手册》（附件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ascii="宋体" w:hAnsi="宋体" w:eastAsia="宋体" w:cs="宋体"/>
          <w:sz w:val="24"/>
          <w:szCs w:val="24"/>
        </w:rPr>
        <w:t>）完成平台账号注册。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</w:t>
      </w:r>
      <w:r>
        <w:rPr>
          <w:rFonts w:ascii="宋体" w:hAnsi="宋体" w:eastAsia="宋体" w:cs="宋体"/>
          <w:b/>
          <w:bCs/>
          <w:sz w:val="24"/>
          <w:szCs w:val="24"/>
        </w:rPr>
        <w:t>已注册供应商</w:t>
      </w:r>
      <w:r>
        <w:rPr>
          <w:rFonts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已注册的投标人注意去重汽e采通平台检查更新近三年的经营概况，财务信息更新到近三年，</w:t>
      </w:r>
      <w:r>
        <w:rPr>
          <w:rFonts w:ascii="宋体" w:hAnsi="宋体" w:eastAsia="宋体" w:cs="宋体"/>
          <w:sz w:val="24"/>
          <w:szCs w:val="24"/>
          <w:highlight w:val="yellow"/>
        </w:rPr>
        <w:t>确保信息真实、完整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且不许有空余，若因此造成应标不成功，后果由投标人自行承担。（更新路径：重汽e采通-供应商中心-供应商变更-供应商财务数据变更管理-右上角：发起变更；详见SRM系统供应商用户近三年财务数据更新附件3）</w:t>
      </w:r>
    </w:p>
    <w:p w14:paraId="07650A6C">
      <w:pPr>
        <w:ind w:left="479" w:leftChars="228" w:firstLine="0" w:firstLineChars="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②开标过程概述：</w:t>
      </w:r>
    </w:p>
    <w:p w14:paraId="7711A2F2">
      <w:pPr>
        <w:pStyle w:val="6"/>
        <w:spacing w:line="360" w:lineRule="auto"/>
        <w:ind w:firstLine="480" w:firstLineChars="2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唱标流程：技术标唱标→技术标澄清→技术标评分→商务标唱标→价格澄清→商务标评审；</w:t>
      </w:r>
    </w:p>
    <w:p w14:paraId="7AAF900C">
      <w:pPr>
        <w:pStyle w:val="6"/>
        <w:spacing w:line="360" w:lineRule="auto"/>
        <w:ind w:firstLine="480" w:firstLineChars="2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hAnsi="宋体" w:eastAsia="宋体" w:cs="宋体"/>
          <w:kern w:val="2"/>
          <w:sz w:val="24"/>
          <w:szCs w:val="24"/>
          <w:lang w:val="en-US" w:eastAsia="zh-CN" w:bidi="ar-SA"/>
        </w:rPr>
        <w:t>C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级项目进行两轮开标会</w:t>
      </w:r>
      <w:r>
        <w:rPr>
          <w:rFonts w:hint="eastAsia" w:hAnsi="宋体" w:eastAsia="宋体" w:cs="宋体"/>
          <w:kern w:val="2"/>
          <w:sz w:val="24"/>
          <w:szCs w:val="24"/>
          <w:lang w:val="en-US" w:eastAsia="zh-CN" w:bidi="ar-SA"/>
        </w:rPr>
        <w:t>，每轮均可能淘汰投标方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。</w:t>
      </w:r>
    </w:p>
    <w:p w14:paraId="737B5701">
      <w:pPr>
        <w:pStyle w:val="6"/>
        <w:spacing w:line="360" w:lineRule="auto"/>
        <w:ind w:firstLine="480" w:firstLineChars="2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第一轮包括技术标答辩和商务标报价环节</w:t>
      </w:r>
      <w:r>
        <w:rPr>
          <w:rFonts w:hint="eastAsia" w:hAnsi="宋体" w:eastAsia="宋体" w:cs="宋体"/>
          <w:kern w:val="2"/>
          <w:sz w:val="24"/>
          <w:szCs w:val="24"/>
          <w:lang w:val="en-US" w:eastAsia="zh-CN" w:bidi="ar-SA"/>
        </w:rPr>
        <w:t>（报价次数没有具体限制，由专家组依据报价情况现场决定）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。</w:t>
      </w:r>
    </w:p>
    <w:p w14:paraId="67EDCC87">
      <w:pPr>
        <w:pStyle w:val="6"/>
        <w:spacing w:line="360" w:lineRule="auto"/>
        <w:ind w:firstLine="480" w:firstLineChars="2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第二轮由专家组审查第一轮的技术和商务情况，并决定是否继续进行商务报价</w:t>
      </w:r>
      <w:r>
        <w:rPr>
          <w:rFonts w:hint="eastAsia" w:hAnsi="宋体" w:eastAsia="宋体" w:cs="宋体"/>
          <w:kern w:val="2"/>
          <w:sz w:val="24"/>
          <w:szCs w:val="24"/>
          <w:lang w:val="en-US" w:eastAsia="zh-CN" w:bidi="ar-SA"/>
        </w:rPr>
        <w:t>（报价次数没有具体限制，由专家组依据报价情况现场决定）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。</w:t>
      </w:r>
    </w:p>
    <w:p w14:paraId="41AA7F72">
      <w:pPr>
        <w:rPr>
          <w:rFonts w:hint="eastAsia" w:asciiTheme="majorEastAsia" w:hAnsiTheme="majorEastAsia" w:eastAsiaTheme="majorEastAsia" w:cstheme="majorEastAsia"/>
          <w:sz w:val="22"/>
          <w:szCs w:val="22"/>
          <w:highlight w:val="yellow"/>
          <w:lang w:val="en-US" w:eastAsia="zh-CN"/>
        </w:rPr>
      </w:pPr>
      <w:bookmarkStart w:id="2" w:name="_GoBack"/>
      <w:bookmarkEnd w:id="2"/>
      <w:r>
        <w:rPr>
          <w:rFonts w:hint="eastAsia" w:asciiTheme="majorEastAsia" w:hAnsiTheme="majorEastAsia" w:eastAsiaTheme="majorEastAsia" w:cstheme="majorEastAsia"/>
          <w:sz w:val="22"/>
          <w:szCs w:val="22"/>
          <w:highlight w:val="yellow"/>
          <w:lang w:val="en-US" w:eastAsia="zh-CN"/>
        </w:rPr>
        <w:t>以上招标过程概述为项目联系人对中国重汽招标流程概述，投标人若投标即认可该招标流程。</w:t>
      </w:r>
    </w:p>
    <w:p w14:paraId="7C6170AD"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评审期间产生的技术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和商务价格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澄清均由投标人在重汽e采通平台内完成提交；投标人均需自带笔记本电脑在重汽e采通平台自主进行投标和提交澄清函；投标和提交澄清函均有时间限制，超时未提交的按无效处理。  </w:t>
      </w:r>
    </w:p>
    <w:p w14:paraId="70331FFE"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 w14:paraId="41E4ABAF"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商务标评审采用多轮报价，除开标唱标为公开报价方式外，后续多轮澄清报价均为非公开的方式，在重汽e采通进行提报。商务标开标后，评审期间产生的商务价格澄清均由投标人在重汽e采通平台内限时完成提交，根据招标人需求与投标人进行多轮竞价谈判，按照评标模式推荐中标人，对未入围候选中标人不做任何解释。 注意：每一轮在重汽e采通提供澄清报价均有时间限制，未能在规定时间内提交澄清函及报价的视为放弃本次投标。</w:t>
      </w:r>
    </w:p>
    <w:p w14:paraId="52D4E852">
      <w:pPr>
        <w:rPr>
          <w:rFonts w:hint="default" w:asciiTheme="majorEastAsia" w:hAnsiTheme="majorEastAsia" w:eastAsiaTheme="majorEastAsia" w:cstheme="majorEastAsia"/>
          <w:sz w:val="22"/>
          <w:szCs w:val="22"/>
          <w:highlight w:val="yellow"/>
          <w:lang w:val="en-US" w:eastAsia="zh-CN"/>
        </w:rPr>
      </w:pPr>
    </w:p>
    <w:p w14:paraId="1EBA84D7">
      <w:pPr>
        <w:pStyle w:val="6"/>
        <w:outlineLvl w:val="2"/>
        <w:rPr>
          <w:rFonts w:hint="eastAsia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附件1：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 w14:paraId="7ED3B1FD">
      <w:pPr>
        <w:pStyle w:val="6"/>
        <w:rPr>
          <w:rFonts w:eastAsia="宋体"/>
        </w:rPr>
      </w:pPr>
    </w:p>
    <w:p w14:paraId="3EE9D9E5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 w14:paraId="43B51465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7643BCE8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 w14:paraId="12B13E29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933065"/>
            <wp:effectExtent l="0" t="0" r="12065" b="635"/>
            <wp:docPr id="1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descrip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B5DA4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 w14:paraId="7E0A0978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766695"/>
            <wp:effectExtent l="0" t="0" r="12065" b="14605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10C6E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 w14:paraId="7E5F5181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69565"/>
            <wp:effectExtent l="0" t="0" r="12065" b="6985"/>
            <wp:docPr id="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E7AC5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 w14:paraId="3A9BADEA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53055"/>
            <wp:effectExtent l="0" t="0" r="12065" b="4445"/>
            <wp:docPr id="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7B41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8"/>
        </w:rPr>
        <w:t>.</w:t>
      </w: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 w14:paraId="3268A431">
      <w:pPr>
        <w:pStyle w:val="6"/>
      </w:pPr>
    </w:p>
    <w:p w14:paraId="20547785">
      <w:pPr>
        <w:rPr>
          <w:rFonts w:hint="eastAsia"/>
        </w:rPr>
      </w:pPr>
      <w:r>
        <w:drawing>
          <wp:inline distT="0" distB="0" distL="0" distR="0">
            <wp:extent cx="5760085" cy="2809875"/>
            <wp:effectExtent l="0" t="0" r="12065" b="9525"/>
            <wp:docPr id="1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4D118">
      <w:pPr>
        <w:pStyle w:val="6"/>
      </w:pPr>
      <w:r>
        <w:drawing>
          <wp:inline distT="0" distB="0" distL="0" distR="0">
            <wp:extent cx="5760085" cy="2820035"/>
            <wp:effectExtent l="0" t="0" r="12065" b="18415"/>
            <wp:docPr id="2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8A332">
      <w:pPr>
        <w:pStyle w:val="6"/>
      </w:pPr>
    </w:p>
    <w:p w14:paraId="1339601F"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注：</w:t>
      </w:r>
    </w:p>
    <w:p w14:paraId="4BE53A73"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1.“项目名称”和“采购形式编号”见投标须知前附表1.1；</w:t>
      </w:r>
    </w:p>
    <w:p w14:paraId="649D3CC7">
      <w:pPr>
        <w:pStyle w:val="6"/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2.配套能力“供货类别”填“”，业务主管部门选择“”。</w:t>
      </w:r>
    </w:p>
    <w:p w14:paraId="39BF1441">
      <w:pPr>
        <w:pStyle w:val="6"/>
        <w:sectPr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 w14:paraId="345FF8CE">
      <w:pPr>
        <w:pStyle w:val="6"/>
        <w:outlineLvl w:val="2"/>
        <w:rPr>
          <w:rFonts w:hint="eastAsia"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2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 w14:paraId="44591C9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17"/>
          <w:rFonts w:hint="eastAsia" w:ascii="宋体" w:hAnsi="宋体" w:eastAsia="宋体" w:cs="宋体"/>
          <w:sz w:val="24"/>
          <w:szCs w:val="24"/>
        </w:rPr>
        <w:t>https://ecaitong.sinotruk.com:8012/</w:t>
      </w:r>
      <w:r>
        <w:rPr>
          <w:rStyle w:val="17"/>
          <w:rFonts w:hint="eastAsia" w:ascii="宋体" w:hAnsi="宋体" w:eastAsia="宋体" w:cs="宋体"/>
          <w:sz w:val="24"/>
          <w:szCs w:val="24"/>
        </w:rPr>
        <w:fldChar w:fldCharType="end"/>
      </w:r>
    </w:p>
    <w:p w14:paraId="5499A19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）</w:t>
      </w:r>
    </w:p>
    <w:p w14:paraId="1871E9F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</w:rPr>
        <w:t>scm@2022</w:t>
      </w:r>
    </w:p>
    <w:p w14:paraId="5F23FBC0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 w14:paraId="2AEACE6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 w14:paraId="0C74775F"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 w14:paraId="07A0C2C5">
      <w:pPr>
        <w:rPr>
          <w:rFonts w:hint="eastAsia"/>
        </w:rPr>
      </w:pPr>
      <w:r>
        <w:drawing>
          <wp:inline distT="0" distB="0" distL="0" distR="0">
            <wp:extent cx="5760085" cy="2269490"/>
            <wp:effectExtent l="0" t="0" r="12065" b="16510"/>
            <wp:docPr id="2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A7EB">
      <w:pPr>
        <w:rPr>
          <w:rFonts w:hint="eastAsia"/>
        </w:rPr>
      </w:pPr>
    </w:p>
    <w:p w14:paraId="38006DB3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 w14:paraId="30CAF80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 w14:paraId="469F0585">
      <w:pPr>
        <w:rPr>
          <w:rFonts w:hint="eastAsia"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12065" b="8255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3CC47"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 w14:paraId="09EAECCE">
      <w:pPr>
        <w:pStyle w:val="6"/>
      </w:pPr>
      <w:r>
        <w:rPr>
          <w:rFonts w:hint="eastAsia" w:hAnsi="宋体" w:eastAsia="宋体" w:cs="宋体"/>
          <w:color w:val="000000"/>
          <w:sz w:val="24"/>
          <w:szCs w:val="28"/>
          <w:highlight w:val="yellow"/>
        </w:rPr>
        <w:t>注意：系统内的投标报价单位为“万元”，如开标现场发现填错报价，即直接淘汰。</w:t>
      </w:r>
    </w:p>
    <w:p w14:paraId="0B3A8A8A">
      <w:pPr>
        <w:pStyle w:val="6"/>
        <w:bidi w:val="0"/>
      </w:pPr>
      <w:r>
        <w:drawing>
          <wp:inline distT="0" distB="0" distL="0" distR="0">
            <wp:extent cx="5490210" cy="2668905"/>
            <wp:effectExtent l="0" t="0" r="15240" b="17145"/>
            <wp:docPr id="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D6A6A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 w14:paraId="0342F58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 w14:paraId="049B106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 w14:paraId="486A74D3"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2630"/>
            <wp:effectExtent l="0" t="0" r="15240" b="7620"/>
            <wp:docPr id="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2FAE1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 w14:paraId="2BEFE239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 w14:paraId="2E99AAB9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 w14:paraId="7457F592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 w14:paraId="71FB4CC8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 w14:paraId="3D0BF3B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 w14:paraId="59A65D0E">
      <w:pPr>
        <w:pStyle w:val="6"/>
        <w:bidi w:val="0"/>
      </w:pPr>
      <w:r>
        <w:drawing>
          <wp:inline distT="0" distB="0" distL="0" distR="0">
            <wp:extent cx="5490210" cy="2544445"/>
            <wp:effectExtent l="0" t="0" r="15240" b="8255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12228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 w14:paraId="4A00133F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 w14:paraId="11D3831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 w14:paraId="0089D4D5">
      <w:pPr>
        <w:rPr>
          <w:rFonts w:hint="eastAsia"/>
        </w:rPr>
      </w:pPr>
      <w:r>
        <w:drawing>
          <wp:inline distT="0" distB="0" distL="0" distR="0">
            <wp:extent cx="5760085" cy="1956435"/>
            <wp:effectExtent l="0" t="0" r="12065" b="5715"/>
            <wp:docPr id="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97A16">
      <w:pPr>
        <w:pStyle w:val="6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 w14:paraId="5129D0CC">
      <w:pPr>
        <w:pStyle w:val="6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 w14:paraId="09D63BEF">
      <w:pPr>
        <w:pStyle w:val="6"/>
        <w:bidi w:val="0"/>
        <w:rPr>
          <w:rFonts w:hint="eastAsia"/>
        </w:rPr>
      </w:pPr>
    </w:p>
    <w:p w14:paraId="6AE5B976">
      <w:pPr>
        <w:pStyle w:val="6"/>
        <w:outlineLvl w:val="2"/>
        <w:rPr>
          <w:rFonts w:hint="eastAsia" w:hAnsi="宋体" w:eastAsia="宋体" w:cs="Times New Roman"/>
          <w:b/>
          <w:color w:val="000000"/>
          <w:sz w:val="24"/>
          <w:szCs w:val="24"/>
          <w:lang w:val="en-US"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</w:t>
      </w:r>
      <w:r>
        <w:rPr>
          <w:rFonts w:hint="eastAsia" w:hAnsi="宋体" w:eastAsia="宋体" w:cs="Times New Roman"/>
          <w:b/>
          <w:color w:val="000000"/>
          <w:sz w:val="24"/>
          <w:szCs w:val="24"/>
          <w:lang w:val="en-US" w:eastAsia="zh-CN"/>
        </w:rPr>
        <w:t>近三年数据更新</w:t>
      </w:r>
    </w:p>
    <w:p w14:paraId="341BC1C8">
      <w:pPr>
        <w:pStyle w:val="6"/>
        <w:outlineLvl w:val="2"/>
      </w:pPr>
      <w:r>
        <w:drawing>
          <wp:inline distT="0" distB="0" distL="114300" distR="114300">
            <wp:extent cx="5749290" cy="2501265"/>
            <wp:effectExtent l="0" t="0" r="38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E0D4C">
      <w:pPr>
        <w:pStyle w:val="6"/>
        <w:outlineLvl w:val="2"/>
      </w:pPr>
      <w:r>
        <w:drawing>
          <wp:inline distT="0" distB="0" distL="114300" distR="114300">
            <wp:extent cx="5746750" cy="3303270"/>
            <wp:effectExtent l="0" t="0" r="635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790E">
      <w:pPr>
        <w:pStyle w:val="6"/>
        <w:outlineLvl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742940" cy="2099310"/>
            <wp:effectExtent l="0" t="0" r="1016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42940" cy="2925445"/>
            <wp:effectExtent l="0" t="0" r="1016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716DF"/>
    <w:p w14:paraId="4F82DEC1">
      <w:pPr>
        <w:rPr>
          <w:rFonts w:hint="eastAsia"/>
        </w:rPr>
      </w:pPr>
    </w:p>
    <w:p w14:paraId="4131D1A4">
      <w:pPr>
        <w:rPr>
          <w:rFonts w:hint="eastAsia" w:ascii="仿宋_GB2312" w:hAnsi="仿宋_GB2312" w:eastAsia="仿宋_GB2312" w:cs="仿宋_GB2312"/>
        </w:rPr>
      </w:pPr>
    </w:p>
    <w:p w14:paraId="42B959F3">
      <w:pPr>
        <w:rPr>
          <w:rFonts w:hint="eastAsia" w:ascii="仿宋_GB2312" w:hAnsi="仿宋_GB2312" w:eastAsia="仿宋_GB2312" w:cs="仿宋_GB2312"/>
        </w:rPr>
      </w:pPr>
    </w:p>
    <w:p w14:paraId="0FCB89C6">
      <w:pPr>
        <w:rPr>
          <w:rFonts w:hint="eastAsia" w:ascii="仿宋_GB2312" w:hAnsi="仿宋_GB2312" w:eastAsia="仿宋_GB2312" w:cs="仿宋_GB2312"/>
        </w:rPr>
      </w:pPr>
    </w:p>
    <w:p w14:paraId="3D1838AF">
      <w:pPr>
        <w:jc w:val="both"/>
      </w:pPr>
    </w:p>
    <w:p w14:paraId="30E3B809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062B0FC5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34A75"/>
    <w:rsid w:val="04301453"/>
    <w:rsid w:val="0C682624"/>
    <w:rsid w:val="0FAC178F"/>
    <w:rsid w:val="104C3089"/>
    <w:rsid w:val="11C9748C"/>
    <w:rsid w:val="17525C24"/>
    <w:rsid w:val="1A5F0822"/>
    <w:rsid w:val="1CBE329F"/>
    <w:rsid w:val="25331BE5"/>
    <w:rsid w:val="27315D1D"/>
    <w:rsid w:val="283D5FEB"/>
    <w:rsid w:val="415E038C"/>
    <w:rsid w:val="42E45495"/>
    <w:rsid w:val="44907102"/>
    <w:rsid w:val="47DD599F"/>
    <w:rsid w:val="48031288"/>
    <w:rsid w:val="48EF075C"/>
    <w:rsid w:val="4B7153F0"/>
    <w:rsid w:val="4E25790F"/>
    <w:rsid w:val="536770A5"/>
    <w:rsid w:val="57BF3EB6"/>
    <w:rsid w:val="594B58EE"/>
    <w:rsid w:val="5A1223DE"/>
    <w:rsid w:val="64753845"/>
    <w:rsid w:val="66D60058"/>
    <w:rsid w:val="6B0F2793"/>
    <w:rsid w:val="6C152603"/>
    <w:rsid w:val="6D3017B2"/>
    <w:rsid w:val="77E571F5"/>
    <w:rsid w:val="7A5738E1"/>
    <w:rsid w:val="7DA4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qFormat/>
    <w:uiPriority w:val="0"/>
    <w:rPr>
      <w:rFonts w:ascii="仿宋_GB2312" w:eastAsia="仿宋_GB2312" w:hAnsiTheme="minorHAnsi" w:cstheme="minorBidi"/>
      <w:sz w:val="32"/>
      <w:szCs w:val="22"/>
    </w:rPr>
  </w:style>
  <w:style w:type="paragraph" w:customStyle="1" w:styleId="5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styleId="6">
    <w:name w:val="Plain Text"/>
    <w:basedOn w:val="1"/>
    <w:qFormat/>
    <w:uiPriority w:val="0"/>
    <w:rPr>
      <w:rFonts w:ascii="宋体"/>
      <w:szCs w:val="20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FollowedHyperlink"/>
    <w:basedOn w:val="10"/>
    <w:qFormat/>
    <w:uiPriority w:val="0"/>
    <w:rPr>
      <w:color w:val="800080"/>
      <w:u w:val="none"/>
    </w:rPr>
  </w:style>
  <w:style w:type="character" w:styleId="13">
    <w:name w:val="HTML Definition"/>
    <w:basedOn w:val="10"/>
    <w:qFormat/>
    <w:uiPriority w:val="0"/>
  </w:style>
  <w:style w:type="character" w:styleId="14">
    <w:name w:val="HTML Typewriter"/>
    <w:basedOn w:val="10"/>
    <w:qFormat/>
    <w:uiPriority w:val="0"/>
    <w:rPr>
      <w:rFonts w:hint="default" w:ascii="monospace" w:hAnsi="monospace" w:eastAsia="monospace" w:cs="monospace"/>
      <w:sz w:val="20"/>
    </w:rPr>
  </w:style>
  <w:style w:type="character" w:styleId="15">
    <w:name w:val="HTML Acronym"/>
    <w:basedOn w:val="10"/>
    <w:qFormat/>
    <w:uiPriority w:val="0"/>
  </w:style>
  <w:style w:type="character" w:styleId="16">
    <w:name w:val="HTML Variable"/>
    <w:basedOn w:val="10"/>
    <w:qFormat/>
    <w:uiPriority w:val="0"/>
  </w:style>
  <w:style w:type="character" w:styleId="17">
    <w:name w:val="Hyperlink"/>
    <w:basedOn w:val="10"/>
    <w:qFormat/>
    <w:uiPriority w:val="0"/>
    <w:rPr>
      <w:color w:val="0000FF"/>
      <w:u w:val="none"/>
    </w:rPr>
  </w:style>
  <w:style w:type="character" w:styleId="18">
    <w:name w:val="HTML Code"/>
    <w:basedOn w:val="10"/>
    <w:qFormat/>
    <w:uiPriority w:val="0"/>
    <w:rPr>
      <w:rFonts w:hint="default" w:ascii="monospace" w:hAnsi="monospace" w:eastAsia="monospace" w:cs="monospace"/>
      <w:sz w:val="20"/>
    </w:rPr>
  </w:style>
  <w:style w:type="character" w:styleId="19">
    <w:name w:val="HTML Cite"/>
    <w:basedOn w:val="10"/>
    <w:qFormat/>
    <w:uiPriority w:val="0"/>
  </w:style>
  <w:style w:type="character" w:styleId="20">
    <w:name w:val="HTML Keyboard"/>
    <w:basedOn w:val="10"/>
    <w:qFormat/>
    <w:uiPriority w:val="0"/>
    <w:rPr>
      <w:rFonts w:ascii="monospace" w:hAnsi="monospace" w:eastAsia="monospace" w:cs="monospace"/>
      <w:sz w:val="20"/>
    </w:rPr>
  </w:style>
  <w:style w:type="character" w:styleId="21">
    <w:name w:val="HTML Sample"/>
    <w:basedOn w:val="10"/>
    <w:qFormat/>
    <w:uiPriority w:val="0"/>
    <w:rPr>
      <w:rFonts w:hint="default" w:ascii="monospace" w:hAnsi="monospace" w:eastAsia="monospace" w:cs="monospac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2540</Words>
  <Characters>2841</Characters>
  <Lines>0</Lines>
  <Paragraphs>0</Paragraphs>
  <TotalTime>5</TotalTime>
  <ScaleCrop>false</ScaleCrop>
  <LinksUpToDate>false</LinksUpToDate>
  <CharactersWithSpaces>3016</CharactersWithSpaces>
  <Application>WPS Office_12.1.0.24655_F1E327BC-269C-435d-A152-05C5408002CA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2025-12-25T08:41:00Z</dcterms:created>
  <dc:creator>Administrator</dc:creator>
  <cp:lastModifiedBy>赵玉利</cp:lastModifiedBy>
  <dcterms:modified xsi:type="dcterms:W3CDTF">2026-07-08T06:07:07Z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2052-12.1.0.24655</vt:lpwstr>
  </property>
  <property fmtid="{D5CDD505-2E9C-101B-9397-08002B2CF9AE}" pid="3" name="KSOTemplateDocerSaveRecord">
    <vt:lpwstr>eyJoZGlkIjoiYjVjMDg1YmZjYjJhMDAxNTNmOTYxZGY4NWEwNzRmZTciLCJ1c2VySWQiOiIxODAxODk1NTYwIn0=</vt:lpwstr>
  </property>
  <property fmtid="{D5CDD505-2E9C-101B-9397-08002B2CF9AE}" pid="4" name="ICV">
    <vt:lpwstr>36BA767B9B1647D78DB7367FAC05A487_13</vt:lpwstr>
  </property>
</Properties>
</file>