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highlight w:val="none"/>
        </w:rPr>
      </w:pPr>
      <w:bookmarkStart w:id="0" w:name="OLE_LINK30"/>
      <w:bookmarkStart w:id="1" w:name="OLE_LINK31"/>
    </w:p>
    <w:p w14:paraId="126E53EF">
      <w:pPr>
        <w:pStyle w:val="17"/>
        <w:jc w:val="center"/>
        <w:rPr>
          <w:rFonts w:hint="eastAsia" w:ascii="Calibri" w:hAnsi="宋体" w:eastAsia="宋体" w:cs="Times New Roman"/>
          <w:b/>
          <w:bCs/>
          <w:color w:val="000000"/>
          <w:spacing w:val="-8"/>
          <w:sz w:val="44"/>
          <w:szCs w:val="40"/>
          <w:highlight w:val="none"/>
        </w:rPr>
      </w:pPr>
      <w:r>
        <w:rPr>
          <w:rFonts w:hint="eastAsia" w:ascii="Calibri" w:hAnsi="宋体" w:eastAsia="宋体" w:cs="Times New Roman"/>
          <w:b/>
          <w:bCs/>
          <w:color w:val="000000"/>
          <w:spacing w:val="-8"/>
          <w:sz w:val="44"/>
          <w:szCs w:val="40"/>
          <w:highlight w:val="none"/>
        </w:rPr>
        <w:t>中国重汽集团杭州发动机有限公司</w:t>
      </w:r>
    </w:p>
    <w:p w14:paraId="6681D3AB">
      <w:pPr>
        <w:pStyle w:val="17"/>
        <w:jc w:val="center"/>
        <w:rPr>
          <w:highlight w:val="none"/>
        </w:rPr>
      </w:pPr>
      <w:r>
        <w:rPr>
          <w:rFonts w:hint="eastAsia" w:ascii="Calibri" w:hAnsi="宋体" w:eastAsia="宋体" w:cs="Times New Roman"/>
          <w:b/>
          <w:bCs/>
          <w:color w:val="000000"/>
          <w:spacing w:val="-8"/>
          <w:sz w:val="44"/>
          <w:szCs w:val="40"/>
          <w:highlight w:val="none"/>
        </w:rPr>
        <w:t>试车台架冷却塔更新改造项目、真空混砂机等冷却塔更新改造项目</w:t>
      </w:r>
    </w:p>
    <w:p w14:paraId="1DA2295B">
      <w:pPr>
        <w:pStyle w:val="17"/>
        <w:rPr>
          <w:highlight w:val="none"/>
        </w:rPr>
      </w:pPr>
    </w:p>
    <w:p w14:paraId="7215F0F9">
      <w:pPr>
        <w:pStyle w:val="17"/>
        <w:rPr>
          <w:highlight w:val="none"/>
        </w:rPr>
      </w:pPr>
    </w:p>
    <w:p w14:paraId="77A5B4C0">
      <w:pPr>
        <w:pStyle w:val="17"/>
        <w:rPr>
          <w:highlight w:val="none"/>
        </w:rPr>
      </w:pPr>
    </w:p>
    <w:p w14:paraId="5B754AE5">
      <w:pPr>
        <w:pStyle w:val="17"/>
        <w:rPr>
          <w:highlight w:val="none"/>
        </w:rPr>
      </w:pPr>
    </w:p>
    <w:p w14:paraId="7119408D">
      <w:pPr>
        <w:jc w:val="right"/>
        <w:rPr>
          <w:rFonts w:ascii="Calibri" w:hAnsi="Calibri" w:eastAsia="宋体" w:cs="Times New Roman"/>
          <w:color w:val="000000"/>
          <w:sz w:val="28"/>
          <w:szCs w:val="28"/>
          <w:highlight w:val="none"/>
        </w:rPr>
      </w:pPr>
    </w:p>
    <w:p w14:paraId="70CE5FC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383D2731">
      <w:pPr>
        <w:jc w:val="center"/>
        <w:rPr>
          <w:rFonts w:ascii="黑体" w:hAnsi="宋体" w:eastAsia="黑体" w:cs="Times New Roman"/>
          <w:color w:val="000000"/>
          <w:sz w:val="72"/>
          <w:szCs w:val="72"/>
          <w:highlight w:val="none"/>
        </w:rPr>
      </w:pPr>
    </w:p>
    <w:p w14:paraId="1D154AC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4E3B007">
      <w:pPr>
        <w:jc w:val="center"/>
        <w:rPr>
          <w:rFonts w:ascii="黑体" w:hAnsi="宋体" w:eastAsia="黑体" w:cs="Times New Roman"/>
          <w:color w:val="000000"/>
          <w:sz w:val="72"/>
          <w:szCs w:val="72"/>
          <w:highlight w:val="none"/>
        </w:rPr>
      </w:pPr>
    </w:p>
    <w:p w14:paraId="3DE4EBA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2319A8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1402B2C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690F51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217AF80">
      <w:pPr>
        <w:pStyle w:val="17"/>
        <w:rPr>
          <w:b/>
          <w:bCs/>
          <w:highlight w:val="none"/>
        </w:rPr>
      </w:pPr>
    </w:p>
    <w:p w14:paraId="21B49F2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人：中国重汽集团杭州发动机有限公司</w:t>
      </w:r>
    </w:p>
    <w:p w14:paraId="294AC3AF">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11</w:t>
      </w:r>
      <w:r>
        <w:rPr>
          <w:rFonts w:hint="eastAsia" w:ascii="Calibri" w:hAnsi="Calibri" w:eastAsia="宋体" w:cs="Times New Roman"/>
          <w:color w:val="000000"/>
          <w:sz w:val="28"/>
          <w:szCs w:val="28"/>
          <w:highlight w:val="none"/>
        </w:rPr>
        <w:t>月</w:t>
      </w:r>
    </w:p>
    <w:p w14:paraId="3441D79B">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CF936A4">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FB2098B">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4C24FCC7">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42022B9F">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6850379E">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6872A5D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11509268">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5B0D51D5">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62C6C9C5">
      <w:pPr>
        <w:pStyle w:val="17"/>
        <w:jc w:val="center"/>
        <w:rPr>
          <w:rFonts w:ascii="Calibri" w:hAnsi="Calibri" w:eastAsia="宋体" w:cs="Times New Roman"/>
          <w:b/>
          <w:bCs/>
          <w:kern w:val="44"/>
          <w:sz w:val="36"/>
          <w:szCs w:val="44"/>
          <w:highlight w:val="none"/>
        </w:rPr>
      </w:pPr>
    </w:p>
    <w:p w14:paraId="7F37780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33"/>
                <w:rFonts w:ascii="宋体" w:hAnsi="宋体" w:eastAsia="宋体" w:cs="宋体"/>
                <w:b/>
                <w:sz w:val="28"/>
                <w:szCs w:val="28"/>
                <w:highlight w:val="none"/>
              </w:rPr>
            </w:pPr>
            <w:bookmarkStart w:id="3" w:name="_Toc346372875"/>
            <w:r>
              <w:rPr>
                <w:rStyle w:val="133"/>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33"/>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E220357">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项目名称：试车台架冷却塔更新改造项目、真空混砂机等冷却塔更新改造项目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FSCZB2025100237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BE82609">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b w:val="0"/>
                <w:bCs/>
                <w:snapToGrid w:val="0"/>
                <w:kern w:val="0"/>
                <w:sz w:val="24"/>
                <w:szCs w:val="24"/>
                <w:highlight w:val="none"/>
                <w:u w:val="single"/>
                <w:lang w:val="en-US" w:eastAsia="zh-CN"/>
              </w:rPr>
              <w:t>包1</w:t>
            </w:r>
            <w:r>
              <w:rPr>
                <w:rFonts w:hint="eastAsia" w:hAnsi="宋体" w:eastAsia="宋体" w:cs="Times New Roman"/>
                <w:b w:val="0"/>
                <w:bCs/>
                <w:color w:val="000000"/>
                <w:sz w:val="24"/>
                <w:szCs w:val="24"/>
                <w:highlight w:val="none"/>
                <w:u w:val="single"/>
                <w:lang w:val="en-US" w:eastAsia="zh-CN"/>
              </w:rPr>
              <w:t>试车台架冷却塔更新改造项目</w:t>
            </w:r>
            <w:r>
              <w:rPr>
                <w:rFonts w:hint="eastAsia" w:ascii="宋体" w:hAnsi="宋体" w:eastAsia="宋体" w:cs="宋体"/>
                <w:b w:val="0"/>
                <w:bCs/>
                <w:sz w:val="24"/>
                <w:szCs w:val="24"/>
                <w:highlight w:val="none"/>
                <w:u w:val="single"/>
              </w:rPr>
              <w:t>.更新试车台架一级冷却塔1个、二级冷却塔1个；</w:t>
            </w:r>
            <w:r>
              <w:rPr>
                <w:rFonts w:hint="eastAsia" w:hAnsi="宋体" w:eastAsia="宋体" w:cs="Times New Roman"/>
                <w:b w:val="0"/>
                <w:bCs/>
                <w:color w:val="000000"/>
                <w:sz w:val="24"/>
                <w:szCs w:val="24"/>
                <w:highlight w:val="none"/>
                <w:u w:val="single"/>
                <w:lang w:val="en-US" w:eastAsia="zh-CN"/>
              </w:rPr>
              <w:t>包2真空混砂机等冷却塔更新改造项目</w:t>
            </w:r>
            <w:r>
              <w:rPr>
                <w:rFonts w:hint="eastAsia" w:ascii="宋体" w:hAnsi="宋体" w:eastAsia="宋体" w:cs="宋体"/>
                <w:b w:val="0"/>
                <w:bCs/>
                <w:sz w:val="24"/>
                <w:szCs w:val="24"/>
                <w:highlight w:val="none"/>
                <w:u w:val="single"/>
              </w:rPr>
              <w:t>.更新新砂烘干冷却塔1个、缸体制芯中心及KW造型线冷却塔2个、真空混砂机冷却塔2个。</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ascii="宋体" w:hAnsi="宋体" w:eastAsia="宋体" w:cs="宋体"/>
                <w:sz w:val="24"/>
                <w:szCs w:val="24"/>
                <w:highlight w:val="none"/>
                <w:u w:val="single"/>
              </w:rPr>
              <w:t>中国重汽集团杭州发动机有限公司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 xml:space="preserve">浙江市杭州市萧山区萧山经济技术开发区红垦农场红泰六路699号 </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苏启蒙</w:t>
            </w:r>
          </w:p>
          <w:p w14:paraId="1A15F4CE">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17553108182</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kern w:val="0"/>
                <w:sz w:val="24"/>
                <w:szCs w:val="24"/>
                <w:highlight w:val="none"/>
                <w:lang w:val="en-US" w:eastAsia="zh-CN"/>
              </w:rPr>
              <w:t>suqimeng</w:t>
            </w:r>
            <w:r>
              <w:rPr>
                <w:rFonts w:hint="eastAsia" w:ascii="宋体" w:hAnsi="宋体" w:eastAsia="宋体" w:cs="宋体"/>
                <w:bCs/>
                <w:snapToGrid w:val="0"/>
                <w:kern w:val="0"/>
                <w:sz w:val="24"/>
                <w:szCs w:val="24"/>
                <w:highlight w:val="none"/>
              </w:rPr>
              <w:t>@sinotruk.com</w:t>
            </w:r>
          </w:p>
          <w:p w14:paraId="1FF8683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包1</w:t>
            </w:r>
            <w:r>
              <w:rPr>
                <w:rFonts w:hint="eastAsia" w:hAnsi="宋体" w:eastAsia="宋体" w:cs="Times New Roman"/>
                <w:b/>
                <w:bCs/>
                <w:color w:val="000000"/>
                <w:sz w:val="24"/>
                <w:szCs w:val="24"/>
                <w:highlight w:val="none"/>
                <w:lang w:val="en-US" w:eastAsia="zh-CN"/>
              </w:rPr>
              <w:t>试车台架冷却塔更新改造项目</w:t>
            </w: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rPr>
              <w:t>廖怀康</w:t>
            </w:r>
          </w:p>
          <w:p w14:paraId="743FFBC6">
            <w:pPr>
              <w:pStyle w:val="17"/>
              <w:ind w:firstLine="482" w:firstLineChars="200"/>
              <w:rPr>
                <w:highlight w:val="none"/>
              </w:rPr>
            </w:pPr>
            <w:r>
              <w:rPr>
                <w:rFonts w:hint="eastAsia" w:hAnsi="宋体" w:eastAsia="宋体" w:cs="宋体"/>
                <w:b/>
                <w:snapToGrid w:val="0"/>
                <w:kern w:val="0"/>
                <w:sz w:val="24"/>
                <w:szCs w:val="24"/>
                <w:highlight w:val="none"/>
              </w:rPr>
              <w:t>电话：</w:t>
            </w:r>
            <w:r>
              <w:rPr>
                <w:rFonts w:ascii="宋体" w:hAnsi="宋体" w:eastAsia="宋体" w:cs="宋体"/>
                <w:sz w:val="24"/>
                <w:szCs w:val="24"/>
                <w:highlight w:val="none"/>
              </w:rPr>
              <w:t>18606520883</w:t>
            </w:r>
          </w:p>
          <w:p w14:paraId="553DC32D">
            <w:pPr>
              <w:ind w:firstLine="482" w:firstLineChars="200"/>
              <w:rPr>
                <w:rFonts w:hint="eastAsia" w:ascii="宋体" w:hAnsi="宋体" w:eastAsia="宋体" w:cs="宋体"/>
                <w:b w:val="0"/>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fldChar w:fldCharType="begin"/>
            </w:r>
            <w:r>
              <w:rPr>
                <w:rFonts w:hint="eastAsia" w:ascii="宋体" w:hAnsi="宋体" w:eastAsia="宋体" w:cs="宋体"/>
                <w:b w:val="0"/>
                <w:bCs/>
                <w:snapToGrid w:val="0"/>
                <w:kern w:val="0"/>
                <w:sz w:val="24"/>
                <w:szCs w:val="24"/>
                <w:highlight w:val="none"/>
              </w:rPr>
              <w:instrText xml:space="preserve"> HYPERLINK "mailto:12461748@qq.com" </w:instrText>
            </w:r>
            <w:r>
              <w:rPr>
                <w:rFonts w:hint="eastAsia" w:ascii="宋体" w:hAnsi="宋体" w:eastAsia="宋体" w:cs="宋体"/>
                <w:b w:val="0"/>
                <w:bCs/>
                <w:snapToGrid w:val="0"/>
                <w:kern w:val="0"/>
                <w:sz w:val="24"/>
                <w:szCs w:val="24"/>
                <w:highlight w:val="none"/>
              </w:rPr>
              <w:fldChar w:fldCharType="separate"/>
            </w:r>
            <w:r>
              <w:rPr>
                <w:rStyle w:val="45"/>
                <w:rFonts w:hint="eastAsia" w:ascii="宋体" w:hAnsi="宋体" w:eastAsia="宋体" w:cs="宋体"/>
                <w:b w:val="0"/>
                <w:bCs/>
                <w:snapToGrid w:val="0"/>
                <w:kern w:val="0"/>
                <w:sz w:val="24"/>
                <w:szCs w:val="24"/>
                <w:highlight w:val="none"/>
              </w:rPr>
              <w:t>12461748@qq.com</w:t>
            </w:r>
            <w:r>
              <w:rPr>
                <w:rFonts w:hint="eastAsia" w:ascii="宋体" w:hAnsi="宋体" w:eastAsia="宋体" w:cs="宋体"/>
                <w:b w:val="0"/>
                <w:bCs/>
                <w:snapToGrid w:val="0"/>
                <w:kern w:val="0"/>
                <w:sz w:val="24"/>
                <w:szCs w:val="24"/>
                <w:highlight w:val="none"/>
              </w:rPr>
              <w:fldChar w:fldCharType="end"/>
            </w:r>
          </w:p>
          <w:p w14:paraId="21077104">
            <w:pPr>
              <w:ind w:firstLine="482" w:firstLineChars="200"/>
              <w:rPr>
                <w:rFonts w:ascii="宋体" w:hAnsi="宋体" w:eastAsia="宋体" w:cs="宋体"/>
                <w:sz w:val="24"/>
                <w:szCs w:val="24"/>
              </w:rPr>
            </w:pPr>
            <w:r>
              <w:rPr>
                <w:rFonts w:hint="eastAsia" w:hAnsi="宋体" w:eastAsia="宋体" w:cs="Times New Roman"/>
                <w:b/>
                <w:bCs/>
                <w:color w:val="000000"/>
                <w:sz w:val="24"/>
                <w:szCs w:val="24"/>
                <w:highlight w:val="none"/>
                <w:lang w:val="en-US" w:eastAsia="zh-CN"/>
              </w:rPr>
              <w:t>包2真空混砂机等冷却塔更新改造项目</w:t>
            </w: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eastAsia="zh-CN"/>
              </w:rPr>
              <w:t>：</w:t>
            </w:r>
            <w:r>
              <w:rPr>
                <w:rFonts w:ascii="宋体" w:hAnsi="宋体" w:eastAsia="宋体" w:cs="宋体"/>
                <w:sz w:val="24"/>
                <w:szCs w:val="24"/>
              </w:rPr>
              <w:t>王锋</w:t>
            </w:r>
          </w:p>
          <w:p w14:paraId="1F7916BE">
            <w:pPr>
              <w:ind w:firstLine="482" w:firstLineChars="200"/>
              <w:rPr>
                <w:rFonts w:hint="eastAsia" w:ascii="宋体" w:hAnsi="宋体" w:eastAsia="宋体" w:cs="宋体"/>
                <w:sz w:val="24"/>
                <w:szCs w:val="24"/>
                <w:lang w:eastAsia="zh-CN"/>
              </w:rPr>
            </w:pPr>
            <w:r>
              <w:rPr>
                <w:rFonts w:hint="eastAsia" w:hAnsi="宋体" w:eastAsia="宋体" w:cs="宋体"/>
                <w:b/>
                <w:snapToGrid w:val="0"/>
                <w:kern w:val="0"/>
                <w:sz w:val="24"/>
                <w:szCs w:val="24"/>
                <w:highlight w:val="none"/>
              </w:rPr>
              <w:t>电话：</w:t>
            </w:r>
            <w:r>
              <w:rPr>
                <w:rFonts w:ascii="宋体" w:hAnsi="宋体" w:eastAsia="宋体" w:cs="宋体"/>
                <w:sz w:val="24"/>
                <w:szCs w:val="24"/>
              </w:rPr>
              <w:t>15164518381</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hint="eastAsia" w:hAnsi="宋体" w:eastAsia="宋体" w:cs="Times New Roman"/>
                <w:color w:val="000000"/>
                <w:sz w:val="24"/>
                <w:szCs w:val="24"/>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none"/>
                <w:lang w:val="en-US" w:eastAsia="zh-CN"/>
              </w:rPr>
              <w:t>包1试车台架冷却塔更新改造项目：</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56</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p w14:paraId="47CFD207">
            <w:pPr>
              <w:pStyle w:val="17"/>
              <w:ind w:firstLine="480" w:firstLineChars="200"/>
              <w:rPr>
                <w:rFonts w:hint="default" w:hAnsi="宋体" w:eastAsia="宋体" w:cs="Times New Roman"/>
                <w:color w:val="000000"/>
                <w:sz w:val="24"/>
                <w:szCs w:val="24"/>
                <w:highlight w:val="none"/>
                <w:lang w:val="en-US" w:eastAsia="zh-CN"/>
              </w:rPr>
            </w:pPr>
            <w:r>
              <w:rPr>
                <w:rFonts w:hint="eastAsia" w:hAnsi="宋体" w:eastAsia="宋体" w:cs="Times New Roman"/>
                <w:color w:val="000000"/>
                <w:sz w:val="24"/>
                <w:szCs w:val="24"/>
                <w:highlight w:val="none"/>
                <w:lang w:val="en-US" w:eastAsia="zh-CN"/>
              </w:rPr>
              <w:t xml:space="preserve">      包2真空混砂机等冷却塔更新改造项目：</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69.16</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260D547C">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1.拟投标人必须是在中华人民共和国境内注册的独立法人机构，具有独 立承担民事责任能力；注册资金不少于200万人民币(或等值其他货币);公 司成立三年以上(以营业执照成立日期到开标当日满三年为准),且经营范围 满足招标人需求；并在人员、设备、资金等方面具有承担本项目的能力；</w:t>
            </w:r>
          </w:p>
          <w:p w14:paraId="054CB5DA">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2.拟投标人应提供三证合一的营业执照副本原件和扫描件(需盖章);</w:t>
            </w:r>
          </w:p>
          <w:p w14:paraId="7DD81C7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3.拟投标人应提供法定代表人资格证明文件；</w:t>
            </w:r>
          </w:p>
          <w:p w14:paraId="7D75C584">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4.拟投标人在工商行政管理局的《国家企业信用信息公示系统》中查询 不存在不良记录；</w:t>
            </w:r>
          </w:p>
          <w:p w14:paraId="432C4C72">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5.拟投标人不存在严重违规或被列入招标人“黑名单”的声明；</w:t>
            </w:r>
          </w:p>
          <w:p w14:paraId="78E87B4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 拟投标人2022年1月1日至今经第三方审计的公司财务报表(资产 负债表、损益表、现金流量表)未显示异常。如拟投标人公司没有经审计的财务报告，可提供加盖公章的近三年财务报表，包括但不限于资产负债表、利润表、现金流表；</w:t>
            </w:r>
          </w:p>
          <w:p w14:paraId="522314D0">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7.拟投标人有与本次招标内容相同或类似项目业绩，且近3年内无因服 务不当而造成重大事故；</w:t>
            </w:r>
          </w:p>
          <w:p w14:paraId="7EE2CC6B">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8.拟投标人三年内无违法及重大违规情况；</w:t>
            </w:r>
          </w:p>
          <w:p w14:paraId="369D672A">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9.拟投标人须认可招标人的工作指令，包括节、假日能正常开展工作的要求；</w:t>
            </w:r>
          </w:p>
          <w:p w14:paraId="518E2F7F">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 拟投标人最近半年纳税正常；</w:t>
            </w:r>
          </w:p>
          <w:p w14:paraId="37463DED">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11.拟投标人信用证明材料(中国人民银行信用代码证+征信报告)未显示异常；</w:t>
            </w:r>
          </w:p>
          <w:p w14:paraId="2FCCBDA0">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12.拟投标人的直接或间接股东、法定代表人、董事、监事、高管非重汽员 工及其亲属；</w:t>
            </w:r>
          </w:p>
          <w:p w14:paraId="114FFFD0">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13.本项目不接受联合体投标，拟投标人必须是最终投标单位和签订合 同单位，不得以任何理由将已中标项目以任何形式分包或转包给其他单位。</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阳光采购平台</w:t>
            </w:r>
            <w:r>
              <w:rPr>
                <w:rFonts w:hint="eastAsia" w:ascii="宋体" w:hAnsi="宋体" w:eastAsia="宋体" w:cs="宋体"/>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日12:00前；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日17:00前；</w:t>
            </w:r>
          </w:p>
          <w:p w14:paraId="2FAE9E5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6"/>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6"/>
              <w:spacing w:line="240" w:lineRule="auto"/>
              <w:ind w:firstLine="482"/>
              <w:rPr>
                <w:rFonts w:eastAsia="宋体" w:cs="宋体"/>
                <w:highlight w:val="yellow"/>
              </w:rPr>
            </w:pPr>
            <w:r>
              <w:rPr>
                <w:rFonts w:hint="eastAsia" w:eastAsia="宋体" w:cs="宋体"/>
                <w:b/>
                <w:bCs/>
                <w:highlight w:val="none"/>
              </w:rPr>
              <w:t>应标截止时间：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日17时00分00秒</w:t>
            </w:r>
          </w:p>
          <w:p w14:paraId="00ECE6F2">
            <w:pPr>
              <w:pStyle w:val="116"/>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Ansi="宋体" w:eastAsia="宋体" w:cs="Times New Roman"/>
                <w:color w:val="000000"/>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1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4D78C18">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yellow"/>
                <w:u w:val="single"/>
              </w:rPr>
              <w:t>2025年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21</w:t>
            </w:r>
            <w:r>
              <w:rPr>
                <w:rFonts w:hint="eastAsia" w:hAnsi="宋体" w:eastAsia="宋体" w:cs="宋体"/>
                <w:sz w:val="24"/>
                <w:szCs w:val="24"/>
                <w:highlight w:val="yellow"/>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1266C7C">
            <w:pPr>
              <w:tabs>
                <w:tab w:val="left" w:pos="932"/>
              </w:tabs>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b/>
                <w:bCs/>
                <w:sz w:val="24"/>
                <w:szCs w:val="24"/>
                <w:highlight w:val="yellow"/>
              </w:rPr>
              <w:t>人民币</w:t>
            </w:r>
            <w:r>
              <w:rPr>
                <w:rFonts w:hint="eastAsia" w:ascii="宋体" w:hAnsi="宋体" w:eastAsia="宋体" w:cs="宋体"/>
                <w:b/>
                <w:bCs/>
                <w:sz w:val="24"/>
                <w:szCs w:val="24"/>
                <w:highlight w:val="yellow"/>
                <w:lang w:val="en-US" w:eastAsia="zh-CN"/>
              </w:rPr>
              <w:t>10</w:t>
            </w:r>
            <w:r>
              <w:rPr>
                <w:rFonts w:hint="eastAsia" w:ascii="宋体" w:hAnsi="宋体" w:eastAsia="宋体" w:cs="宋体"/>
                <w:b/>
                <w:bCs/>
                <w:sz w:val="24"/>
                <w:szCs w:val="24"/>
                <w:highlight w:val="yellow"/>
              </w:rPr>
              <w:t>000元</w:t>
            </w:r>
          </w:p>
          <w:p w14:paraId="3A1C8B1E">
            <w:pPr>
              <w:tabs>
                <w:tab w:val="left" w:pos="932"/>
              </w:tabs>
              <w:ind w:firstLine="482" w:firstLineChars="200"/>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ascii="宋体" w:hAnsi="宋体" w:eastAsia="宋体" w:cs="宋体"/>
                <w:b/>
                <w:bCs/>
                <w:sz w:val="24"/>
                <w:szCs w:val="24"/>
              </w:rPr>
              <w:t>中国重汽集团杭州发动机有限公司</w:t>
            </w:r>
          </w:p>
          <w:p w14:paraId="4FBB8A1D">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开户银行：工行半道红支行</w:t>
            </w:r>
          </w:p>
          <w:p w14:paraId="70704152">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银行帐号：1202051439900007785</w:t>
            </w:r>
          </w:p>
          <w:p w14:paraId="12CABAA1">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联行号：102331005147</w:t>
            </w:r>
          </w:p>
          <w:p w14:paraId="1E137B95">
            <w:pPr>
              <w:ind w:firstLine="480" w:firstLineChars="200"/>
              <w:rPr>
                <w:rFonts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投标保证金应从投标人的基本账户转出至上述账户并到账，否则视为无效投标。</w:t>
            </w:r>
          </w:p>
          <w:p w14:paraId="6C78CFA1">
            <w:pPr>
              <w:ind w:firstLine="480" w:firstLineChars="200"/>
              <w:rPr>
                <w:rFonts w:ascii="宋体" w:hAnsi="宋体" w:eastAsia="宋体" w:cs="宋体"/>
                <w:b/>
                <w:bCs/>
                <w:sz w:val="24"/>
                <w:szCs w:val="24"/>
                <w:highlight w:val="none"/>
              </w:rPr>
            </w:pPr>
            <w:r>
              <w:rPr>
                <w:rFonts w:hint="eastAsia" w:eastAsia="宋体" w:cs="Times New Roman"/>
                <w:b w:val="0"/>
                <w:bCs w:val="0"/>
                <w:sz w:val="24"/>
                <w:szCs w:val="28"/>
                <w:highlight w:val="none"/>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2025年</w:t>
            </w:r>
            <w:r>
              <w:rPr>
                <w:rFonts w:hint="eastAsia" w:ascii="宋体" w:hAnsi="宋体" w:cs="宋体"/>
                <w:sz w:val="24"/>
                <w:szCs w:val="24"/>
                <w:highlight w:val="none"/>
                <w:lang w:val="en-US" w:eastAsia="zh-CN"/>
              </w:rPr>
              <w:t>11</w:t>
            </w:r>
            <w:r>
              <w:rPr>
                <w:rFonts w:hint="eastAsia" w:ascii="宋体" w:hAnsi="宋体" w:cs="宋体"/>
                <w:sz w:val="24"/>
                <w:szCs w:val="24"/>
                <w:highlight w:val="none"/>
              </w:rPr>
              <w:t>月</w:t>
            </w:r>
            <w:r>
              <w:rPr>
                <w:rFonts w:hint="eastAsia" w:ascii="宋体" w:hAnsi="宋体" w:cs="宋体"/>
                <w:sz w:val="24"/>
                <w:szCs w:val="24"/>
                <w:highlight w:val="none"/>
                <w:lang w:val="en-US" w:eastAsia="zh-CN"/>
              </w:rPr>
              <w:t>12</w:t>
            </w:r>
            <w:r>
              <w:rPr>
                <w:rFonts w:hint="eastAsia" w:ascii="宋体" w:hAnsi="宋体" w:cs="宋体"/>
                <w:sz w:val="24"/>
                <w:szCs w:val="24"/>
                <w:highlight w:val="none"/>
              </w:rPr>
              <w:t>日</w:t>
            </w:r>
            <w:r>
              <w:rPr>
                <w:rFonts w:hint="eastAsia" w:ascii="宋体" w:hAnsi="宋体" w:cs="宋体"/>
                <w:sz w:val="24"/>
                <w:szCs w:val="24"/>
                <w:highlight w:val="none"/>
                <w:lang w:val="en-US" w:eastAsia="zh-CN"/>
              </w:rPr>
              <w:t>9</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0F159D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21</w:t>
            </w:r>
            <w:bookmarkStart w:id="50" w:name="_GoBack"/>
            <w:bookmarkEnd w:id="50"/>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7437DFEB">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楼会议室。</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若有变动，另行通知</w:t>
            </w:r>
            <w:r>
              <w:rPr>
                <w:rFonts w:hint="eastAsia" w:ascii="宋体" w:hAnsi="宋体" w:eastAsia="宋体" w:cs="宋体"/>
                <w:sz w:val="24"/>
                <w:szCs w:val="24"/>
                <w:highlight w:val="none"/>
                <w:lang w:eastAsia="zh-CN"/>
              </w:rPr>
              <w:t>）</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w:t>
            </w:r>
            <w:r>
              <w:rPr>
                <w:rFonts w:hint="eastAsia" w:ascii="宋体" w:hAnsi="宋体" w:eastAsia="宋体" w:cs="宋体"/>
                <w:b/>
                <w:bCs/>
                <w:sz w:val="24"/>
                <w:szCs w:val="24"/>
                <w:highlight w:val="yellow"/>
              </w:rPr>
              <w:t>综合评标(技术标30%,商务标70%)</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6D0894">
            <w:pPr>
              <w:pStyle w:val="17"/>
              <w:ind w:firstLine="482" w:firstLineChars="200"/>
              <w:rPr>
                <w:rFonts w:hint="eastAsia" w:hAnsi="宋体" w:eastAsia="宋体" w:cs="宋体"/>
                <w:b w:val="0"/>
                <w:bCs w:val="0"/>
                <w:color w:val="000000"/>
                <w:sz w:val="24"/>
                <w:szCs w:val="24"/>
                <w:highlight w:val="none"/>
              </w:rPr>
            </w:pPr>
            <w:r>
              <w:rPr>
                <w:rFonts w:hint="eastAsia" w:hAnsi="宋体" w:eastAsia="宋体" w:cs="宋体"/>
                <w:b/>
                <w:bCs/>
                <w:color w:val="000000"/>
                <w:sz w:val="24"/>
                <w:szCs w:val="24"/>
                <w:highlight w:val="none"/>
              </w:rPr>
              <w:t>交货期：</w:t>
            </w:r>
            <w:r>
              <w:rPr>
                <w:rFonts w:hint="eastAsia" w:hAnsi="宋体" w:eastAsia="宋体" w:cs="Times New Roman"/>
                <w:color w:val="000000"/>
                <w:sz w:val="24"/>
                <w:szCs w:val="24"/>
                <w:highlight w:val="none"/>
                <w:lang w:val="en-US" w:eastAsia="zh-CN"/>
              </w:rPr>
              <w:t>包1试车台架冷却塔更新改造项目：</w:t>
            </w:r>
            <w:r>
              <w:rPr>
                <w:rFonts w:hint="eastAsia" w:hAnsi="宋体" w:eastAsia="宋体" w:cs="宋体"/>
                <w:b w:val="0"/>
                <w:bCs w:val="0"/>
                <w:color w:val="000000"/>
                <w:sz w:val="24"/>
                <w:szCs w:val="24"/>
                <w:highlight w:val="none"/>
              </w:rPr>
              <w:t>合同生效后45个日历日内完成制造并交货，进场后连续30个日历日完成安装调试并交付使用</w:t>
            </w:r>
          </w:p>
          <w:p w14:paraId="0D7C14AE">
            <w:pPr>
              <w:pStyle w:val="17"/>
              <w:ind w:firstLine="480" w:firstLineChars="200"/>
              <w:rPr>
                <w:rFonts w:hint="eastAsia" w:hAnsi="宋体" w:eastAsia="宋体" w:cs="宋体"/>
                <w:b w:val="0"/>
                <w:bCs w:val="0"/>
                <w:color w:val="000000"/>
                <w:sz w:val="24"/>
                <w:szCs w:val="24"/>
                <w:highlight w:val="none"/>
              </w:rPr>
            </w:pPr>
            <w:r>
              <w:rPr>
                <w:rFonts w:hint="eastAsia" w:hAnsi="宋体" w:eastAsia="宋体" w:cs="宋体"/>
                <w:b w:val="0"/>
                <w:bCs w:val="0"/>
                <w:color w:val="000000"/>
                <w:sz w:val="24"/>
                <w:szCs w:val="24"/>
                <w:highlight w:val="none"/>
              </w:rPr>
              <w:t>包2真空混砂机等冷却塔更新改造项目：合同生效后60个日历日内完成制造并交货，进场后连续50个日历日完成安装调试并交付使用</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35882466">
            <w:pPr>
              <w:ind w:firstLine="482" w:firstLineChars="200"/>
              <w:rPr>
                <w:rFonts w:ascii="宋体" w:hAnsi="宋体" w:eastAsia="宋体" w:cs="宋体"/>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none"/>
                <w:u w:val="single"/>
              </w:rPr>
              <w:t xml:space="preserve">浙江市杭州市萧山区萧山经济技术开发区红垦农场红泰六路699号 </w:t>
            </w:r>
          </w:p>
          <w:p w14:paraId="7412C069">
            <w:pPr>
              <w:pStyle w:val="17"/>
              <w:ind w:firstLine="480" w:firstLineChars="200"/>
              <w:rPr>
                <w:rFonts w:hAnsi="宋体" w:eastAsia="宋体" w:cs="宋体"/>
                <w:color w:val="000000"/>
                <w:sz w:val="24"/>
                <w:szCs w:val="24"/>
                <w:highlight w:val="none"/>
              </w:rPr>
            </w:pP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ascii="宋体" w:hAnsi="宋体" w:eastAsia="宋体" w:cs="宋体"/>
                <w:kern w:val="2"/>
                <w:sz w:val="24"/>
                <w:szCs w:val="24"/>
                <w:highlight w:val="none"/>
                <w:lang w:val="en-US" w:eastAsia="zh-CN" w:bidi="ar-SA"/>
              </w:rPr>
              <w:t>半年期商业汇票（包括银行承兑汇票和商业承兑汇票）</w:t>
            </w:r>
          </w:p>
          <w:p w14:paraId="0A7011C2">
            <w:p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付款节点:3:6:1 </w:t>
            </w:r>
          </w:p>
          <w:p w14:paraId="3870E6B6">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A. 设备全部到货后，中标人提供合同价款30%的增值税专用发票,经招标人依照财务制度审核通过后30日支付；</w:t>
            </w:r>
          </w:p>
          <w:p w14:paraId="0B3966CC">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B. 设备验收合格后，中标人提供合同价款70%的增值税专用发 票,经招标人依照财务制度审核通过后30日支付合同价款的60%；</w:t>
            </w:r>
          </w:p>
          <w:p w14:paraId="13098E8E">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C.合同总价款的10%作为本合同约定设备的质量保证金，质量保证金在质量保证期内不计利息。质保期届满后支付。</w:t>
            </w:r>
          </w:p>
          <w:p w14:paraId="51E3B4B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72806B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auto"/>
                <w:sz w:val="24"/>
                <w:szCs w:val="24"/>
                <w:highlight w:val="none"/>
              </w:rPr>
              <w:t>15日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7D7A06F">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16329559">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2D9834B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432A87CD">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B8E2468">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F36BB3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注册时配套能力中的供货类别选择“非生产招标-工艺设备-工艺设备”对应的业务主管部门为“工艺研究院”，提交注册后请电话告知招标方联系人。</w:t>
      </w:r>
    </w:p>
    <w:p w14:paraId="1B113B8E">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16926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81DEBAA">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541F0097">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3D92B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6944C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25353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65C6043">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00E5C80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0A3683C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5E0C065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019DF8">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7C1624A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C66B26F">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w:t>
      </w:r>
    </w:p>
    <w:p w14:paraId="6F35647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E5D008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534C53EF">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6"/>
        <w:ind w:firstLine="480"/>
        <w:rPr>
          <w:rFonts w:eastAsia="宋体" w:cs="宋体"/>
          <w:highlight w:val="none"/>
        </w:rPr>
      </w:pPr>
      <w:r>
        <w:rPr>
          <w:rFonts w:hint="eastAsia" w:eastAsia="宋体" w:cs="宋体"/>
          <w:highlight w:val="none"/>
        </w:rPr>
        <w:t>4.2招标人银行账户信息如下：见《投标须知前附表》4.2。</w:t>
      </w:r>
    </w:p>
    <w:p w14:paraId="664C3577">
      <w:pPr>
        <w:pStyle w:val="116"/>
        <w:ind w:firstLine="480"/>
        <w:rPr>
          <w:rFonts w:eastAsia="宋体" w:cs="宋体"/>
          <w:highlight w:val="none"/>
        </w:rPr>
      </w:pPr>
      <w:r>
        <w:rPr>
          <w:rFonts w:hint="eastAsia" w:eastAsia="宋体" w:cs="宋体"/>
          <w:highlight w:val="none"/>
        </w:rPr>
        <w:t>转账附言：公司名称+项目名称+投标保证金；</w:t>
      </w:r>
    </w:p>
    <w:p w14:paraId="14ABF851">
      <w:pPr>
        <w:pStyle w:val="116"/>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6"/>
        <w:ind w:firstLine="480"/>
        <w:rPr>
          <w:rFonts w:eastAsia="宋体" w:cs="宋体"/>
          <w:highlight w:val="none"/>
        </w:rPr>
      </w:pPr>
      <w:r>
        <w:rPr>
          <w:rFonts w:hint="eastAsia" w:eastAsia="宋体" w:cs="宋体"/>
          <w:highlight w:val="none"/>
        </w:rPr>
        <w:t>4.3说明</w:t>
      </w:r>
    </w:p>
    <w:p w14:paraId="5AC0D4FA">
      <w:pPr>
        <w:pStyle w:val="116"/>
        <w:ind w:firstLine="480"/>
        <w:rPr>
          <w:rFonts w:eastAsia="宋体" w:cs="宋体"/>
          <w:highlight w:val="none"/>
        </w:rPr>
      </w:pPr>
      <w:r>
        <w:rPr>
          <w:rFonts w:hint="eastAsia" w:eastAsia="宋体" w:cs="宋体"/>
          <w:highlight w:val="none"/>
        </w:rPr>
        <w:t>4.3.1 投标人在向招标人出示《投标保证金缴纳凭证》后方可进行投标；</w:t>
      </w:r>
    </w:p>
    <w:p w14:paraId="32B77242">
      <w:pPr>
        <w:pStyle w:val="116"/>
        <w:ind w:firstLine="480"/>
        <w:rPr>
          <w:rFonts w:eastAsia="宋体" w:cs="宋体"/>
          <w:highlight w:val="none"/>
        </w:rPr>
      </w:pPr>
      <w:r>
        <w:rPr>
          <w:rFonts w:hint="eastAsia" w:eastAsia="宋体" w:cs="宋体"/>
          <w:highlight w:val="none"/>
        </w:rPr>
        <w:t>4.3.2 发生以下情况时，招标人有权没收保证金：</w:t>
      </w:r>
    </w:p>
    <w:p w14:paraId="42A715FC">
      <w:pPr>
        <w:pStyle w:val="116"/>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1F032D61">
      <w:pPr>
        <w:pStyle w:val="116"/>
        <w:ind w:firstLine="480"/>
        <w:rPr>
          <w:rFonts w:eastAsia="宋体" w:cs="宋体"/>
          <w:highlight w:val="none"/>
        </w:rPr>
      </w:pPr>
      <w:r>
        <w:rPr>
          <w:rFonts w:hint="eastAsia" w:eastAsia="宋体" w:cs="宋体"/>
          <w:highlight w:val="none"/>
        </w:rPr>
        <w:t>4.3.2.2 投标人递送投标文件后，无正当理由放弃投标的；</w:t>
      </w:r>
    </w:p>
    <w:p w14:paraId="57F0AAFE">
      <w:pPr>
        <w:pStyle w:val="116"/>
        <w:ind w:firstLine="480"/>
        <w:rPr>
          <w:rFonts w:eastAsia="宋体" w:cs="宋体"/>
          <w:highlight w:val="none"/>
        </w:rPr>
      </w:pPr>
      <w:r>
        <w:rPr>
          <w:rFonts w:hint="eastAsia" w:eastAsia="宋体" w:cs="宋体"/>
          <w:highlight w:val="none"/>
        </w:rPr>
        <w:t>4.3.2.3若为视频开标，招标过程中澄清函等资料原件未按要求提交的；</w:t>
      </w:r>
    </w:p>
    <w:p w14:paraId="46DCBA6C">
      <w:pPr>
        <w:pStyle w:val="116"/>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CE8AD82">
      <w:pPr>
        <w:pStyle w:val="116"/>
        <w:ind w:firstLine="480"/>
        <w:rPr>
          <w:rFonts w:eastAsia="宋体" w:cs="宋体"/>
          <w:highlight w:val="none"/>
        </w:rPr>
      </w:pPr>
      <w:r>
        <w:rPr>
          <w:rFonts w:hint="eastAsia" w:eastAsia="宋体" w:cs="宋体"/>
          <w:highlight w:val="none"/>
        </w:rPr>
        <w:t>4.3.2.5投标人在投标过程中被查实有串标、围标、陪标等违规违纪行为的；</w:t>
      </w:r>
    </w:p>
    <w:p w14:paraId="46D6A965">
      <w:pPr>
        <w:pStyle w:val="116"/>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C1C317D">
      <w:pPr>
        <w:pStyle w:val="116"/>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4CCA16E5">
      <w:pPr>
        <w:pStyle w:val="116"/>
        <w:ind w:firstLine="480"/>
        <w:rPr>
          <w:rFonts w:eastAsia="宋体" w:cs="宋体"/>
          <w:highlight w:val="none"/>
        </w:rPr>
      </w:pPr>
      <w:r>
        <w:rPr>
          <w:rFonts w:hint="eastAsia" w:eastAsia="宋体" w:cs="宋体"/>
          <w:highlight w:val="none"/>
        </w:rPr>
        <w:t>4.4投标报名截止时间</w:t>
      </w:r>
    </w:p>
    <w:p w14:paraId="7FDD2CD9">
      <w:pPr>
        <w:pStyle w:val="116"/>
        <w:ind w:firstLine="480"/>
        <w:rPr>
          <w:rFonts w:eastAsia="宋体" w:cs="宋体"/>
          <w:highlight w:val="none"/>
        </w:rPr>
      </w:pPr>
      <w:r>
        <w:rPr>
          <w:rFonts w:hint="eastAsia" w:eastAsia="宋体" w:cs="宋体"/>
          <w:highlight w:val="none"/>
        </w:rPr>
        <w:t>报名方式：见《投标须知前附表》2.3。</w:t>
      </w:r>
    </w:p>
    <w:p w14:paraId="630E82FB">
      <w:pPr>
        <w:pStyle w:val="116"/>
        <w:ind w:firstLine="480"/>
        <w:rPr>
          <w:rFonts w:eastAsia="宋体" w:cs="宋体"/>
          <w:highlight w:val="none"/>
        </w:rPr>
      </w:pPr>
      <w:r>
        <w:rPr>
          <w:rFonts w:hint="eastAsia" w:eastAsia="宋体" w:cs="宋体"/>
          <w:highlight w:val="none"/>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16B0892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76B418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highlight w:val="none"/>
        </w:rPr>
      </w:pPr>
      <w:bookmarkStart w:id="6" w:name="_Toc33266914"/>
      <w:bookmarkStart w:id="7" w:name="_Toc33266950"/>
      <w:bookmarkStart w:id="8" w:name="_Toc33265653"/>
      <w:bookmarkStart w:id="9" w:name="_Toc33285487"/>
      <w:bookmarkStart w:id="10" w:name="_Toc33267001"/>
      <w:bookmarkStart w:id="11" w:name="_Toc33266627"/>
      <w:bookmarkStart w:id="12" w:name="_Toc33265752"/>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5D158791">
      <w:pPr>
        <w:adjustRightInd w:val="0"/>
        <w:snapToGrid w:val="0"/>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本次招标</w:t>
      </w:r>
      <w:bookmarkStart w:id="14" w:name="_Toc33285489"/>
      <w:bookmarkStart w:id="15" w:name="_Toc395116634"/>
      <w:bookmarkStart w:id="16" w:name="_Toc33265654"/>
      <w:bookmarkStart w:id="17" w:name="_Toc33265753"/>
      <w:bookmarkStart w:id="18" w:name="_Toc33266951"/>
      <w:bookmarkStart w:id="19" w:name="_Toc33267002"/>
      <w:bookmarkStart w:id="20" w:name="_Toc33266915"/>
      <w:bookmarkStart w:id="21" w:name="_Toc33266628"/>
      <w:r>
        <w:rPr>
          <w:rFonts w:hint="eastAsia" w:ascii="宋体" w:hAnsi="宋体" w:eastAsia="宋体" w:cs="宋体"/>
          <w:b/>
          <w:bCs/>
          <w:sz w:val="24"/>
          <w:szCs w:val="24"/>
          <w:highlight w:val="none"/>
        </w:rPr>
        <w:t>采用</w:t>
      </w:r>
      <w:r>
        <w:rPr>
          <w:rFonts w:hint="eastAsia" w:ascii="宋体" w:hAnsi="宋体" w:eastAsia="宋体" w:cs="宋体"/>
          <w:b/>
          <w:bCs/>
          <w:sz w:val="24"/>
          <w:szCs w:val="24"/>
          <w:highlight w:val="none"/>
          <w:lang w:val="en-US" w:eastAsia="zh-CN"/>
        </w:rPr>
        <w:t>综合评标法评标</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hint="default" w:ascii="宋体" w:hAnsi="宋体" w:eastAsia="宋体" w:cs="宋体"/>
          <w:b/>
          <w:sz w:val="24"/>
          <w:szCs w:val="24"/>
          <w:highlight w:val="none"/>
          <w:lang w:val="en-US"/>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综合得分最高的投标方，原则上推荐为本次招标项目的中标人。</w:t>
      </w:r>
    </w:p>
    <w:p w14:paraId="477DB4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w:t>
      </w:r>
      <w:r>
        <w:rPr>
          <w:rFonts w:hint="eastAsia" w:ascii="宋体" w:hAnsi="宋体" w:eastAsia="宋体" w:cs="宋体"/>
          <w:color w:val="000000"/>
          <w:sz w:val="24"/>
          <w:szCs w:val="24"/>
          <w:highlight w:val="none"/>
          <w:lang w:val="en-US" w:eastAsia="zh-CN"/>
        </w:rPr>
        <w:t>每个分包</w:t>
      </w:r>
      <w:r>
        <w:rPr>
          <w:rFonts w:hint="eastAsia" w:ascii="宋体" w:hAnsi="宋体" w:eastAsia="宋体" w:cs="宋体"/>
          <w:color w:val="000000"/>
          <w:sz w:val="24"/>
          <w:szCs w:val="24"/>
          <w:highlight w:val="none"/>
        </w:rPr>
        <w:t>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3C79ACA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22E190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4282DE5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01E903F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6348F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9421C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D6B1C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01412D8E">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05FF9E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82675E">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6C434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8"/>
      <w:bookmarkStart w:id="23" w:name="OLE_LINK29"/>
      <w:bookmarkStart w:id="24" w:name="OLE_LINK25"/>
      <w:bookmarkStart w:id="25" w:name="OLE_LINK27"/>
      <w:bookmarkStart w:id="26" w:name="OLE_LINK26"/>
      <w:r>
        <w:rPr>
          <w:rFonts w:hint="eastAsia" w:ascii="宋体" w:hAnsi="宋体" w:eastAsia="宋体" w:cs="宋体"/>
          <w:bCs/>
          <w:sz w:val="24"/>
          <w:szCs w:val="24"/>
          <w:highlight w:val="none"/>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C2CC62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中国重汽集团杭州发动机有限公司</w:t>
      </w:r>
      <w:r>
        <w:rPr>
          <w:rFonts w:hint="eastAsia" w:ascii="宋体" w:hAnsi="宋体" w:eastAsia="宋体" w:cs="宋体"/>
          <w:b/>
          <w:color w:val="000000"/>
          <w:sz w:val="24"/>
          <w:szCs w:val="24"/>
          <w:highlight w:val="none"/>
        </w:rPr>
        <w:t>。</w:t>
      </w:r>
    </w:p>
    <w:p w14:paraId="040007FB">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58ED780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29218B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73D3AD5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E0225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5DC27C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9制造商证明材料</w:t>
      </w:r>
      <w:r>
        <w:rPr>
          <w:rFonts w:hint="eastAsia" w:ascii="宋体" w:hAnsi="宋体" w:eastAsia="宋体" w:cs="宋体"/>
          <w:color w:val="000000"/>
          <w:sz w:val="24"/>
          <w:szCs w:val="24"/>
          <w:highlight w:val="none"/>
        </w:rPr>
        <w:t>；</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1.10</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保密承诺函（附件4）；</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7D0397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E7E38A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6A59D8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C753DA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8FBBD7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139419B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2F7383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01356A0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79308D2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9"/>
      <w:bookmarkStart w:id="31" w:name="OLE_LINK18"/>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56A383AE">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9FF9B4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3DF4D04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73E80E2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287516B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F524DA">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11A0FF5B">
      <w:pPr>
        <w:spacing w:line="360" w:lineRule="auto"/>
        <w:rPr>
          <w:rFonts w:hint="default" w:ascii="Times New Roman" w:hAnsi="Times New Roman" w:cs="Times New Roman" w:eastAsiaTheme="minorEastAsia"/>
          <w:bCs/>
          <w:sz w:val="32"/>
          <w:szCs w:val="32"/>
          <w:lang w:val="en-US" w:eastAsia="zh-CN"/>
        </w:rPr>
      </w:pPr>
      <w:bookmarkStart w:id="32" w:name="_Toc169605877"/>
      <w:bookmarkStart w:id="33" w:name="_Toc465187648"/>
      <w:r>
        <w:rPr>
          <w:rFonts w:hint="eastAsia" w:ascii="Times New Roman" w:hAnsi="Times New Roman" w:cs="Times New Roman"/>
          <w:bCs/>
          <w:sz w:val="32"/>
          <w:szCs w:val="32"/>
          <w:lang w:val="en-US" w:eastAsia="zh-CN"/>
        </w:rPr>
        <w:t>包1：</w:t>
      </w:r>
    </w:p>
    <w:p w14:paraId="0ED3D517">
      <w:pPr>
        <w:pStyle w:val="17"/>
        <w:jc w:val="center"/>
        <w:rPr>
          <w:rFonts w:ascii="Times New Roman" w:hAnsi="Times New Roman" w:eastAsia="宋体" w:cs="Times New Roman"/>
          <w:b/>
          <w:bCs/>
          <w:color w:val="000000"/>
          <w:spacing w:val="-8"/>
          <w:sz w:val="52"/>
          <w:szCs w:val="52"/>
        </w:rPr>
      </w:pPr>
      <w:r>
        <w:rPr>
          <w:rFonts w:ascii="Times New Roman" w:hAnsi="Times New Roman" w:eastAsia="宋体" w:cs="Times New Roman"/>
          <w:b/>
          <w:bCs/>
          <w:color w:val="000000"/>
          <w:spacing w:val="-8"/>
          <w:sz w:val="52"/>
          <w:szCs w:val="52"/>
        </w:rPr>
        <w:t>中国重汽集团杭州发动机有限公司</w:t>
      </w:r>
    </w:p>
    <w:p w14:paraId="2B067A92">
      <w:pPr>
        <w:pStyle w:val="17"/>
        <w:jc w:val="center"/>
        <w:rPr>
          <w:rFonts w:ascii="Times New Roman" w:hAnsi="Times New Roman" w:eastAsia="宋体" w:cs="Times New Roman"/>
          <w:b/>
          <w:bCs/>
          <w:color w:val="000000"/>
          <w:spacing w:val="-8"/>
          <w:sz w:val="52"/>
          <w:szCs w:val="52"/>
        </w:rPr>
      </w:pPr>
      <w:r>
        <w:rPr>
          <w:rFonts w:hint="eastAsia" w:ascii="Times New Roman" w:hAnsi="Times New Roman" w:eastAsia="宋体" w:cs="Times New Roman"/>
          <w:b/>
          <w:bCs/>
          <w:color w:val="000000"/>
          <w:spacing w:val="-8"/>
          <w:sz w:val="52"/>
          <w:szCs w:val="52"/>
        </w:rPr>
        <w:t>试车台架</w:t>
      </w:r>
      <w:r>
        <w:rPr>
          <w:rFonts w:ascii="Times New Roman" w:hAnsi="Times New Roman" w:eastAsia="宋体" w:cs="Times New Roman"/>
          <w:b/>
          <w:bCs/>
          <w:color w:val="000000"/>
          <w:spacing w:val="-8"/>
          <w:sz w:val="52"/>
          <w:szCs w:val="52"/>
        </w:rPr>
        <w:t xml:space="preserve">冷却塔更新改造项目 </w:t>
      </w:r>
    </w:p>
    <w:p w14:paraId="5270B143">
      <w:pPr>
        <w:pStyle w:val="17"/>
        <w:jc w:val="center"/>
        <w:rPr>
          <w:rFonts w:ascii="Times New Roman" w:hAnsi="Times New Roman" w:eastAsia="宋体" w:cs="Times New Roman"/>
          <w:b/>
          <w:bCs/>
          <w:color w:val="000000"/>
          <w:spacing w:val="-8"/>
          <w:sz w:val="52"/>
          <w:szCs w:val="52"/>
        </w:rPr>
      </w:pPr>
    </w:p>
    <w:p w14:paraId="084514C1">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技</w:t>
      </w:r>
    </w:p>
    <w:p w14:paraId="112FEE14">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术</w:t>
      </w:r>
    </w:p>
    <w:p w14:paraId="58014BC9">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标</w:t>
      </w:r>
    </w:p>
    <w:p w14:paraId="744ED084">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书</w:t>
      </w:r>
    </w:p>
    <w:p w14:paraId="3CE7E360">
      <w:pPr>
        <w:spacing w:line="860" w:lineRule="exact"/>
        <w:jc w:val="center"/>
        <w:rPr>
          <w:rFonts w:ascii="Times New Roman" w:hAnsi="Times New Roman" w:eastAsia="宋体" w:cs="Times New Roman"/>
          <w:b/>
          <w:bCs/>
          <w:sz w:val="32"/>
          <w:szCs w:val="28"/>
        </w:rPr>
      </w:pPr>
    </w:p>
    <w:p w14:paraId="3E80563E">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编制：</w:t>
      </w:r>
      <w:r>
        <w:rPr>
          <w:rFonts w:hint="eastAsia" w:ascii="Times New Roman" w:hAnsi="Times New Roman" w:eastAsia="宋体" w:cs="Times New Roman"/>
          <w:b/>
          <w:bCs/>
          <w:sz w:val="32"/>
          <w:szCs w:val="28"/>
        </w:rPr>
        <w:t>廖怀康</w:t>
      </w:r>
    </w:p>
    <w:p w14:paraId="59C400EC">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校对：</w:t>
      </w:r>
      <w:r>
        <w:rPr>
          <w:rFonts w:hint="eastAsia" w:ascii="Times New Roman" w:hAnsi="Times New Roman" w:eastAsia="宋体" w:cs="Times New Roman"/>
          <w:b/>
          <w:bCs/>
          <w:sz w:val="32"/>
          <w:szCs w:val="28"/>
        </w:rPr>
        <w:t>黄强强</w:t>
      </w:r>
    </w:p>
    <w:p w14:paraId="0D29C491">
      <w:pPr>
        <w:spacing w:line="860" w:lineRule="exact"/>
        <w:jc w:val="center"/>
        <w:rPr>
          <w:rFonts w:ascii="Times New Roman" w:hAnsi="Times New Roman" w:eastAsia="宋体" w:cs="Times New Roman"/>
          <w:sz w:val="32"/>
          <w:szCs w:val="28"/>
        </w:rPr>
      </w:pPr>
      <w:r>
        <w:rPr>
          <w:rFonts w:ascii="Times New Roman" w:hAnsi="Times New Roman" w:eastAsia="宋体" w:cs="Times New Roman"/>
          <w:b/>
          <w:bCs/>
          <w:sz w:val="32"/>
          <w:szCs w:val="28"/>
        </w:rPr>
        <w:t>会签：</w:t>
      </w:r>
      <w:r>
        <w:rPr>
          <w:rFonts w:hint="eastAsia" w:ascii="Times New Roman" w:hAnsi="Times New Roman" w:eastAsia="宋体" w:cs="Times New Roman"/>
          <w:b/>
          <w:bCs/>
          <w:sz w:val="32"/>
          <w:szCs w:val="28"/>
        </w:rPr>
        <w:t>金旭涛</w:t>
      </w:r>
    </w:p>
    <w:p w14:paraId="7843CCBB">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审核：钟晓渝</w:t>
      </w:r>
    </w:p>
    <w:p w14:paraId="4A4C67ED">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批准：姜爱良</w:t>
      </w:r>
    </w:p>
    <w:p w14:paraId="4F7AFBD0">
      <w:pPr>
        <w:pStyle w:val="17"/>
        <w:rPr>
          <w:rFonts w:ascii="Times New Roman" w:hAnsi="Times New Roman" w:cs="Times New Roman"/>
          <w:b/>
          <w:bCs/>
        </w:rPr>
      </w:pPr>
    </w:p>
    <w:p w14:paraId="030CE9BC">
      <w:pPr>
        <w:jc w:val="center"/>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招 标 人：中国重汽集团杭州发动机有限公司</w:t>
      </w:r>
    </w:p>
    <w:p w14:paraId="026B1128">
      <w:pPr>
        <w:jc w:val="center"/>
        <w:rPr>
          <w:rFonts w:ascii="Times New Roman" w:hAnsi="Times New Roman" w:eastAsia="宋体" w:cs="Times New Roman"/>
          <w:b/>
          <w:bCs/>
          <w:kern w:val="44"/>
          <w:sz w:val="36"/>
          <w:szCs w:val="44"/>
        </w:rPr>
      </w:pPr>
      <w:r>
        <w:rPr>
          <w:rFonts w:ascii="Times New Roman" w:hAnsi="Times New Roman" w:eastAsia="宋体" w:cs="Times New Roman"/>
          <w:color w:val="000000"/>
          <w:sz w:val="28"/>
          <w:szCs w:val="28"/>
        </w:rPr>
        <w:t>2025年</w:t>
      </w:r>
      <w:r>
        <w:rPr>
          <w:rFonts w:hint="eastAsia" w:ascii="Times New Roman" w:hAnsi="Times New Roman" w:eastAsia="宋体" w:cs="Times New Roman"/>
          <w:color w:val="000000"/>
          <w:sz w:val="28"/>
          <w:szCs w:val="28"/>
          <w:lang w:val="en-US" w:eastAsia="zh-CN"/>
        </w:rPr>
        <w:t>11</w:t>
      </w:r>
      <w:r>
        <w:rPr>
          <w:rFonts w:ascii="Times New Roman" w:hAnsi="Times New Roman" w:eastAsia="宋体" w:cs="Times New Roman"/>
          <w:color w:val="000000"/>
          <w:sz w:val="28"/>
          <w:szCs w:val="28"/>
        </w:rPr>
        <w:t>月</w:t>
      </w:r>
    </w:p>
    <w:p w14:paraId="52892165">
      <w:pPr>
        <w:pStyle w:val="17"/>
      </w:pPr>
      <w:r>
        <w:br w:type="page"/>
      </w:r>
    </w:p>
    <w:p w14:paraId="6973D01B">
      <w:pPr>
        <w:spacing w:line="360" w:lineRule="auto"/>
        <w:jc w:val="center"/>
        <w:rPr>
          <w:rFonts w:ascii="Times New Roman" w:hAnsi="Times New Roman" w:cs="Times New Roman"/>
          <w:b/>
          <w:sz w:val="28"/>
          <w:szCs w:val="24"/>
        </w:rPr>
      </w:pPr>
      <w:r>
        <w:rPr>
          <w:rFonts w:ascii="Times New Roman" w:hAnsi="Times New Roman" w:cs="Times New Roman"/>
          <w:b/>
          <w:sz w:val="28"/>
          <w:szCs w:val="24"/>
        </w:rPr>
        <w:t>第一章  采购货物概况</w:t>
      </w:r>
    </w:p>
    <w:p w14:paraId="1E9A7362">
      <w:pPr>
        <w:spacing w:line="360" w:lineRule="auto"/>
        <w:jc w:val="both"/>
        <w:rPr>
          <w:rFonts w:ascii="Times New Roman" w:hAnsi="Times New Roman" w:eastAsia="黑体" w:cs="Times New Roman"/>
          <w:b/>
          <w:sz w:val="24"/>
          <w:szCs w:val="24"/>
        </w:rPr>
      </w:pPr>
      <w:r>
        <w:rPr>
          <w:rFonts w:ascii="Times New Roman" w:hAnsi="Times New Roman" w:cs="Times New Roman"/>
          <w:b/>
          <w:sz w:val="24"/>
          <w:szCs w:val="24"/>
        </w:rPr>
        <w:t>第一节  使用环境</w:t>
      </w:r>
    </w:p>
    <w:p w14:paraId="49555038">
      <w:pPr>
        <w:spacing w:line="360" w:lineRule="auto"/>
        <w:jc w:val="both"/>
        <w:rPr>
          <w:rFonts w:ascii="Times New Roman" w:hAnsi="Times New Roman" w:cs="Times New Roman"/>
          <w:sz w:val="24"/>
          <w:szCs w:val="24"/>
        </w:rPr>
      </w:pPr>
      <w:r>
        <w:rPr>
          <w:rFonts w:ascii="Times New Roman" w:hAnsi="Times New Roman" w:cs="Times New Roman"/>
          <w:sz w:val="24"/>
          <w:szCs w:val="24"/>
        </w:rPr>
        <w:t>一、项目名称：</w:t>
      </w:r>
      <w:r>
        <w:rPr>
          <w:rFonts w:hint="eastAsia" w:ascii="Times New Roman" w:hAnsi="Times New Roman" w:cs="Times New Roman"/>
          <w:sz w:val="24"/>
          <w:szCs w:val="24"/>
          <w:u w:val="single"/>
        </w:rPr>
        <w:t>试车台架</w:t>
      </w:r>
      <w:r>
        <w:rPr>
          <w:rFonts w:ascii="Times New Roman" w:hAnsi="Times New Roman" w:cs="Times New Roman"/>
          <w:sz w:val="24"/>
          <w:szCs w:val="24"/>
          <w:u w:val="single"/>
        </w:rPr>
        <w:t>冷却塔更新改造项目</w:t>
      </w:r>
    </w:p>
    <w:p w14:paraId="22278497">
      <w:pPr>
        <w:spacing w:line="360" w:lineRule="auto"/>
        <w:jc w:val="both"/>
        <w:rPr>
          <w:rFonts w:ascii="Times New Roman" w:hAnsi="Times New Roman" w:cs="Times New Roman"/>
          <w:sz w:val="24"/>
          <w:szCs w:val="24"/>
        </w:rPr>
      </w:pPr>
      <w:r>
        <w:rPr>
          <w:rFonts w:ascii="Times New Roman" w:hAnsi="Times New Roman" w:cs="Times New Roman"/>
          <w:sz w:val="24"/>
          <w:szCs w:val="24"/>
        </w:rPr>
        <w:t>二、建设地点：</w:t>
      </w:r>
      <w:r>
        <w:rPr>
          <w:rFonts w:ascii="Times New Roman" w:hAnsi="Times New Roman" w:eastAsia="宋体" w:cs="Times New Roman"/>
          <w:sz w:val="24"/>
          <w:szCs w:val="24"/>
          <w:u w:val="single"/>
        </w:rPr>
        <w:t>杭州市萧山经济技术开发区红泰六路699号</w:t>
      </w:r>
      <w:r>
        <w:rPr>
          <w:rFonts w:ascii="Times New Roman" w:hAnsi="Times New Roman" w:cs="Times New Roman"/>
          <w:sz w:val="24"/>
          <w:szCs w:val="24"/>
        </w:rPr>
        <w:t xml:space="preserve"> </w:t>
      </w:r>
    </w:p>
    <w:p w14:paraId="2B7304F3">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三、使用地点：</w:t>
      </w:r>
      <w:r>
        <w:rPr>
          <w:rFonts w:ascii="Times New Roman" w:hAnsi="Times New Roman" w:cs="Times New Roman"/>
          <w:sz w:val="24"/>
          <w:szCs w:val="24"/>
          <w:u w:val="single"/>
        </w:rPr>
        <w:t>中国重汽集团杭州发动机有限公司</w:t>
      </w:r>
    </w:p>
    <w:p w14:paraId="607B34EB">
      <w:pPr>
        <w:spacing w:line="360" w:lineRule="auto"/>
        <w:jc w:val="both"/>
        <w:rPr>
          <w:rFonts w:ascii="Times New Roman" w:hAnsi="Times New Roman" w:eastAsia="宋体" w:cs="Times New Roman"/>
          <w:sz w:val="24"/>
          <w:szCs w:val="24"/>
        </w:rPr>
      </w:pPr>
      <w:r>
        <w:rPr>
          <w:rFonts w:ascii="Times New Roman" w:hAnsi="Times New Roman" w:cs="Times New Roman"/>
          <w:sz w:val="24"/>
          <w:szCs w:val="24"/>
        </w:rPr>
        <w:t>四、工作制度：全年工作</w:t>
      </w:r>
      <w:r>
        <w:rPr>
          <w:rFonts w:ascii="Times New Roman" w:hAnsi="Times New Roman" w:eastAsia="仿宋" w:cs="Times New Roman"/>
          <w:sz w:val="28"/>
          <w:szCs w:val="28"/>
        </w:rPr>
        <w:t>≥</w:t>
      </w:r>
      <w:r>
        <w:rPr>
          <w:rFonts w:ascii="Times New Roman" w:hAnsi="Times New Roman" w:eastAsia="宋体" w:cs="Times New Roman"/>
          <w:sz w:val="24"/>
          <w:szCs w:val="24"/>
        </w:rPr>
        <w:t>250天</w:t>
      </w:r>
    </w:p>
    <w:p w14:paraId="2C324B2F">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五、使用地点区域自然环境：</w:t>
      </w:r>
      <w:r>
        <w:rPr>
          <w:rFonts w:ascii="Times New Roman" w:hAnsi="Times New Roman" w:cs="Times New Roman"/>
          <w:color w:val="FF0000"/>
          <w:sz w:val="24"/>
          <w:szCs w:val="24"/>
        </w:rPr>
        <w:t xml:space="preserve"> </w:t>
      </w:r>
    </w:p>
    <w:p w14:paraId="27B229F8">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1、海拨高度：1000m以下；</w:t>
      </w:r>
    </w:p>
    <w:p w14:paraId="28EF3410">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2、环境温度：室外极端最低温度-</w:t>
      </w:r>
      <w:r>
        <w:rPr>
          <w:rFonts w:hint="eastAsia" w:ascii="Times New Roman" w:hAnsi="Times New Roman" w:cs="Times New Roman"/>
          <w:sz w:val="24"/>
          <w:szCs w:val="24"/>
          <w:lang w:val="en-US" w:eastAsia="zh-CN"/>
        </w:rPr>
        <w:t>8.6</w:t>
      </w:r>
      <w:r>
        <w:rPr>
          <w:rFonts w:ascii="Times New Roman" w:hAnsi="Times New Roman" w:cs="Times New Roman"/>
          <w:sz w:val="24"/>
          <w:szCs w:val="24"/>
        </w:rPr>
        <w:t>℃、极端最高温度4</w:t>
      </w:r>
      <w:r>
        <w:rPr>
          <w:rFonts w:hint="eastAsia" w:ascii="Times New Roman" w:hAnsi="Times New Roman" w:cs="Times New Roman"/>
          <w:sz w:val="24"/>
          <w:szCs w:val="24"/>
          <w:lang w:val="en-US" w:eastAsia="zh-CN"/>
        </w:rPr>
        <w:t>3.3</w:t>
      </w:r>
      <w:r>
        <w:rPr>
          <w:rFonts w:ascii="Times New Roman" w:hAnsi="Times New Roman" w:cs="Times New Roman"/>
          <w:sz w:val="24"/>
          <w:szCs w:val="24"/>
        </w:rPr>
        <w:t>℃；</w:t>
      </w:r>
    </w:p>
    <w:p w14:paraId="394CE80F">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3、相对湿度：年平均59%，最大95%、最小15%；</w:t>
      </w:r>
    </w:p>
    <w:p w14:paraId="4C287497">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4、降雨量：日最大降雨量300mm、时最大降雨量100mm；</w:t>
      </w:r>
    </w:p>
    <w:p w14:paraId="699D2E4A">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5、最大风速：33.3m/s。</w:t>
      </w:r>
    </w:p>
    <w:p w14:paraId="0D6F8AD7">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六、能源环境：</w:t>
      </w:r>
    </w:p>
    <w:p w14:paraId="53BBE0A7">
      <w:pPr>
        <w:pStyle w:val="130"/>
        <w:spacing w:line="360" w:lineRule="auto"/>
        <w:jc w:val="both"/>
        <w:rPr>
          <w:rFonts w:ascii="Times New Roman" w:hAnsi="Times New Roman" w:cs="Times New Roman"/>
          <w:sz w:val="24"/>
          <w:szCs w:val="24"/>
        </w:rPr>
      </w:pPr>
      <w:r>
        <w:rPr>
          <w:rFonts w:ascii="Times New Roman" w:hAnsi="Times New Roman" w:cs="Times New Roman"/>
          <w:sz w:val="24"/>
          <w:szCs w:val="24"/>
        </w:rPr>
        <w:t>1、电力：中国制式，供电电压380V±15%/220V±15%，供电频率50Hz±2%，三相五线。</w:t>
      </w:r>
    </w:p>
    <w:p w14:paraId="61FF5A9C">
      <w:pPr>
        <w:pStyle w:val="130"/>
        <w:spacing w:line="360" w:lineRule="auto"/>
        <w:jc w:val="both"/>
        <w:rPr>
          <w:rFonts w:ascii="Times New Roman" w:hAnsi="Times New Roman" w:cs="Times New Roman"/>
          <w:sz w:val="24"/>
          <w:szCs w:val="24"/>
        </w:rPr>
      </w:pPr>
      <w:r>
        <w:rPr>
          <w:rFonts w:ascii="Times New Roman" w:hAnsi="Times New Roman" w:cs="Times New Roman"/>
          <w:sz w:val="24"/>
          <w:szCs w:val="24"/>
        </w:rPr>
        <w:t>2、加湿用水供水条件：推荐用纯净水。</w:t>
      </w:r>
    </w:p>
    <w:p w14:paraId="5410A66A">
      <w:pPr>
        <w:spacing w:line="360" w:lineRule="auto"/>
        <w:jc w:val="both"/>
        <w:rPr>
          <w:rFonts w:ascii="Times New Roman" w:hAnsi="Times New Roman" w:eastAsia="黑体" w:cs="Times New Roman"/>
          <w:b/>
          <w:sz w:val="24"/>
          <w:szCs w:val="24"/>
        </w:rPr>
      </w:pPr>
      <w:r>
        <w:rPr>
          <w:rFonts w:ascii="Times New Roman" w:hAnsi="Times New Roman" w:cs="Times New Roman"/>
          <w:b/>
          <w:sz w:val="24"/>
          <w:szCs w:val="24"/>
        </w:rPr>
        <w:t>第二节  采购货物概况</w:t>
      </w:r>
    </w:p>
    <w:p w14:paraId="3AF85DF1">
      <w:pPr>
        <w:spacing w:line="360" w:lineRule="auto"/>
        <w:jc w:val="both"/>
        <w:rPr>
          <w:rFonts w:ascii="Times New Roman" w:hAnsi="Times New Roman" w:cs="Times New Roman"/>
          <w:sz w:val="24"/>
          <w:szCs w:val="24"/>
        </w:rPr>
      </w:pPr>
      <w:r>
        <w:rPr>
          <w:rFonts w:ascii="Times New Roman" w:hAnsi="Times New Roman" w:cs="Times New Roman"/>
          <w:sz w:val="24"/>
          <w:szCs w:val="24"/>
        </w:rPr>
        <w:t>一、货物名称：</w:t>
      </w:r>
      <w:r>
        <w:rPr>
          <w:rFonts w:hint="eastAsia" w:ascii="Times New Roman" w:hAnsi="Times New Roman" w:cs="Times New Roman"/>
          <w:sz w:val="24"/>
          <w:szCs w:val="24"/>
        </w:rPr>
        <w:t>冷却塔及相关管道、电控系统</w:t>
      </w:r>
      <w:r>
        <w:rPr>
          <w:rFonts w:ascii="Times New Roman" w:hAnsi="Times New Roman" w:cs="Times New Roman"/>
          <w:sz w:val="24"/>
          <w:szCs w:val="24"/>
        </w:rPr>
        <w:t>（详见下表）</w:t>
      </w:r>
    </w:p>
    <w:p w14:paraId="0B5ACD94">
      <w:pPr>
        <w:spacing w:line="360" w:lineRule="auto"/>
        <w:jc w:val="both"/>
        <w:rPr>
          <w:rFonts w:ascii="Times New Roman" w:hAnsi="Times New Roman" w:cs="Times New Roman"/>
          <w:sz w:val="24"/>
          <w:szCs w:val="24"/>
        </w:rPr>
      </w:pPr>
      <w:r>
        <w:rPr>
          <w:rFonts w:ascii="Times New Roman" w:hAnsi="Times New Roman" w:cs="Times New Roman"/>
          <w:sz w:val="24"/>
          <w:szCs w:val="24"/>
        </w:rPr>
        <w:t>二、货物数量： 2</w:t>
      </w:r>
      <w:r>
        <w:rPr>
          <w:rFonts w:hint="eastAsia" w:ascii="Times New Roman" w:hAnsi="Times New Roman" w:cs="Times New Roman"/>
          <w:sz w:val="24"/>
          <w:szCs w:val="24"/>
        </w:rPr>
        <w:t>套</w:t>
      </w:r>
      <w:r>
        <w:rPr>
          <w:rFonts w:ascii="Times New Roman" w:hAnsi="Times New Roman" w:cs="Times New Roman"/>
          <w:sz w:val="24"/>
          <w:szCs w:val="24"/>
        </w:rPr>
        <w:t xml:space="preserve"> （详见下表）</w:t>
      </w:r>
    </w:p>
    <w:p w14:paraId="74049069">
      <w:pPr>
        <w:spacing w:line="360" w:lineRule="auto"/>
        <w:jc w:val="both"/>
        <w:rPr>
          <w:rFonts w:ascii="Times New Roman" w:hAnsi="Times New Roman" w:cs="Times New Roman"/>
          <w:sz w:val="24"/>
          <w:szCs w:val="24"/>
        </w:rPr>
      </w:pPr>
      <w:r>
        <w:rPr>
          <w:rFonts w:ascii="Times New Roman" w:hAnsi="Times New Roman" w:cs="Times New Roman"/>
          <w:sz w:val="24"/>
          <w:szCs w:val="24"/>
        </w:rPr>
        <w:t>三、分投分中：不允许。</w:t>
      </w:r>
    </w:p>
    <w:p w14:paraId="0A21B09F">
      <w:pPr>
        <w:pStyle w:val="17"/>
      </w:pPr>
      <w:r>
        <w:br w:type="page"/>
      </w:r>
    </w:p>
    <w:p w14:paraId="568042B2">
      <w:pPr>
        <w:jc w:val="both"/>
        <w:rPr>
          <w:rFonts w:ascii="Times New Roman" w:hAnsi="Times New Roman" w:cs="Times New Roman"/>
          <w:sz w:val="24"/>
          <w:szCs w:val="24"/>
        </w:rPr>
      </w:pPr>
    </w:p>
    <w:p w14:paraId="02322CBB">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四、采购货物主要构成一览表</w:t>
      </w:r>
    </w:p>
    <w:tbl>
      <w:tblPr>
        <w:tblStyle w:val="36"/>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44"/>
        <w:gridCol w:w="992"/>
        <w:gridCol w:w="1701"/>
        <w:gridCol w:w="1276"/>
        <w:gridCol w:w="759"/>
      </w:tblGrid>
      <w:tr w14:paraId="124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50DCBC1A">
            <w:pPr>
              <w:jc w:val="center"/>
              <w:rPr>
                <w:b/>
              </w:rPr>
            </w:pPr>
            <w:r>
              <w:rPr>
                <w:b/>
              </w:rPr>
              <w:t>序号</w:t>
            </w:r>
          </w:p>
        </w:tc>
        <w:tc>
          <w:tcPr>
            <w:tcW w:w="3544" w:type="dxa"/>
            <w:vAlign w:val="center"/>
          </w:tcPr>
          <w:p w14:paraId="070AB181">
            <w:pPr>
              <w:jc w:val="center"/>
              <w:rPr>
                <w:b/>
              </w:rPr>
            </w:pPr>
            <w:r>
              <w:rPr>
                <w:b/>
              </w:rPr>
              <w:t>货物名称</w:t>
            </w:r>
          </w:p>
        </w:tc>
        <w:tc>
          <w:tcPr>
            <w:tcW w:w="992" w:type="dxa"/>
            <w:vAlign w:val="center"/>
          </w:tcPr>
          <w:p w14:paraId="20B4CC30">
            <w:pPr>
              <w:jc w:val="center"/>
              <w:rPr>
                <w:b/>
              </w:rPr>
            </w:pPr>
            <w:r>
              <w:rPr>
                <w:b/>
              </w:rPr>
              <w:t>数量</w:t>
            </w:r>
          </w:p>
        </w:tc>
        <w:tc>
          <w:tcPr>
            <w:tcW w:w="1701" w:type="dxa"/>
            <w:vAlign w:val="center"/>
          </w:tcPr>
          <w:p w14:paraId="047C6E45">
            <w:pPr>
              <w:jc w:val="center"/>
              <w:rPr>
                <w:b/>
              </w:rPr>
            </w:pPr>
            <w:r>
              <w:rPr>
                <w:b/>
              </w:rPr>
              <w:t>主要技术规格</w:t>
            </w:r>
          </w:p>
        </w:tc>
        <w:tc>
          <w:tcPr>
            <w:tcW w:w="1276" w:type="dxa"/>
            <w:vAlign w:val="center"/>
          </w:tcPr>
          <w:p w14:paraId="65DE6FD5">
            <w:pPr>
              <w:jc w:val="center"/>
              <w:rPr>
                <w:b/>
              </w:rPr>
            </w:pPr>
            <w:r>
              <w:rPr>
                <w:b/>
              </w:rPr>
              <w:t>交货期</w:t>
            </w:r>
          </w:p>
        </w:tc>
        <w:tc>
          <w:tcPr>
            <w:tcW w:w="759" w:type="dxa"/>
            <w:vAlign w:val="center"/>
          </w:tcPr>
          <w:p w14:paraId="63C408A6">
            <w:pPr>
              <w:jc w:val="center"/>
              <w:rPr>
                <w:b/>
              </w:rPr>
            </w:pPr>
            <w:r>
              <w:rPr>
                <w:b/>
              </w:rPr>
              <w:t>交货地点</w:t>
            </w:r>
          </w:p>
        </w:tc>
      </w:tr>
      <w:tr w14:paraId="4D44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519BE73C">
            <w:pPr>
              <w:jc w:val="center"/>
            </w:pPr>
            <w:r>
              <w:t>1</w:t>
            </w:r>
          </w:p>
        </w:tc>
        <w:tc>
          <w:tcPr>
            <w:tcW w:w="3544" w:type="dxa"/>
            <w:vAlign w:val="center"/>
          </w:tcPr>
          <w:p w14:paraId="3679D2CA">
            <w:pPr>
              <w:jc w:val="center"/>
              <w:rPr>
                <w:rFonts w:ascii="Times New Roman" w:hAnsi="Times New Roman" w:eastAsia="微软雅黑"/>
                <w:kern w:val="0"/>
                <w:sz w:val="20"/>
                <w:szCs w:val="20"/>
              </w:rPr>
            </w:pPr>
            <w:r>
              <w:rPr>
                <w:rFonts w:hint="eastAsia" w:ascii="Times New Roman" w:hAnsi="Times New Roman"/>
                <w:color w:val="000000"/>
                <w:sz w:val="22"/>
              </w:rPr>
              <w:t>试车一级逆流</w:t>
            </w:r>
            <w:r>
              <w:rPr>
                <w:rFonts w:ascii="Times New Roman" w:hAnsi="Times New Roman"/>
                <w:color w:val="000000"/>
                <w:sz w:val="22"/>
              </w:rPr>
              <w:t>冷却塔-1000T</w:t>
            </w:r>
          </w:p>
        </w:tc>
        <w:tc>
          <w:tcPr>
            <w:tcW w:w="992" w:type="dxa"/>
            <w:vAlign w:val="center"/>
          </w:tcPr>
          <w:p w14:paraId="50797EA4">
            <w:pPr>
              <w:jc w:val="center"/>
              <w:rPr>
                <w:color w:val="000000"/>
                <w:sz w:val="22"/>
              </w:rPr>
            </w:pPr>
            <w:r>
              <w:rPr>
                <w:color w:val="000000"/>
                <w:sz w:val="22"/>
              </w:rPr>
              <w:t>1</w:t>
            </w:r>
            <w:r>
              <w:rPr>
                <w:rFonts w:hint="eastAsia"/>
                <w:color w:val="000000"/>
                <w:sz w:val="22"/>
              </w:rPr>
              <w:t>套</w:t>
            </w:r>
          </w:p>
        </w:tc>
        <w:tc>
          <w:tcPr>
            <w:tcW w:w="1701" w:type="dxa"/>
            <w:vAlign w:val="center"/>
          </w:tcPr>
          <w:p w14:paraId="38C54F3D">
            <w:pPr>
              <w:jc w:val="center"/>
            </w:pPr>
            <w:r>
              <w:t>见技术要求</w:t>
            </w:r>
          </w:p>
        </w:tc>
        <w:tc>
          <w:tcPr>
            <w:tcW w:w="1276" w:type="dxa"/>
            <w:vMerge w:val="restart"/>
            <w:vAlign w:val="center"/>
          </w:tcPr>
          <w:p w14:paraId="5813F790">
            <w:r>
              <w:t>合同生效后</w:t>
            </w:r>
            <w:r>
              <w:rPr>
                <w:rFonts w:hint="eastAsia"/>
                <w:lang w:val="en-US" w:eastAsia="zh-CN"/>
              </w:rPr>
              <w:t>45</w:t>
            </w:r>
            <w:r>
              <w:rPr>
                <w:rFonts w:hint="eastAsia"/>
              </w:rPr>
              <w:t>个日历日</w:t>
            </w:r>
            <w:r>
              <w:t>内</w:t>
            </w:r>
            <w:r>
              <w:rPr>
                <w:rFonts w:hint="eastAsia"/>
              </w:rPr>
              <w:t>完成制造并交货，进场后连续</w:t>
            </w:r>
            <w:r>
              <w:rPr>
                <w:rFonts w:hint="eastAsia"/>
                <w:lang w:val="en-US" w:eastAsia="zh-CN"/>
              </w:rPr>
              <w:t>3</w:t>
            </w:r>
            <w:r>
              <w:t>0</w:t>
            </w:r>
            <w:r>
              <w:rPr>
                <w:rFonts w:hint="eastAsia"/>
              </w:rPr>
              <w:t>个日历日完成安装调试并交付使用</w:t>
            </w:r>
          </w:p>
        </w:tc>
        <w:tc>
          <w:tcPr>
            <w:tcW w:w="759" w:type="dxa"/>
            <w:vMerge w:val="restart"/>
            <w:vAlign w:val="center"/>
          </w:tcPr>
          <w:p w14:paraId="3A8C4E1F">
            <w:r>
              <w:rPr>
                <w:rFonts w:hint="eastAsia"/>
              </w:rPr>
              <w:t>用户工厂</w:t>
            </w:r>
          </w:p>
        </w:tc>
      </w:tr>
      <w:tr w14:paraId="503A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1E44D497">
            <w:pPr>
              <w:jc w:val="center"/>
            </w:pPr>
            <w:r>
              <w:rPr>
                <w:rFonts w:hint="eastAsia"/>
              </w:rPr>
              <w:t>2</w:t>
            </w:r>
          </w:p>
        </w:tc>
        <w:tc>
          <w:tcPr>
            <w:tcW w:w="3544" w:type="dxa"/>
            <w:vAlign w:val="center"/>
          </w:tcPr>
          <w:p w14:paraId="396E91F9">
            <w:pPr>
              <w:jc w:val="center"/>
              <w:rPr>
                <w:rFonts w:ascii="Times New Roman" w:hAnsi="Times New Roman"/>
                <w:color w:val="000000"/>
                <w:sz w:val="22"/>
              </w:rPr>
            </w:pPr>
            <w:r>
              <w:rPr>
                <w:rFonts w:hint="eastAsia" w:ascii="Times New Roman" w:hAnsi="Times New Roman"/>
                <w:color w:val="000000"/>
                <w:sz w:val="22"/>
              </w:rPr>
              <w:t>试车二级逆流冷却塔-</w:t>
            </w:r>
            <w:r>
              <w:rPr>
                <w:rFonts w:ascii="Times New Roman" w:hAnsi="Times New Roman"/>
                <w:color w:val="000000"/>
                <w:sz w:val="22"/>
              </w:rPr>
              <w:t>8</w:t>
            </w:r>
            <w:r>
              <w:rPr>
                <w:rFonts w:hint="eastAsia" w:ascii="Times New Roman" w:hAnsi="Times New Roman"/>
                <w:color w:val="000000"/>
                <w:sz w:val="22"/>
              </w:rPr>
              <w:t>00T</w:t>
            </w:r>
          </w:p>
        </w:tc>
        <w:tc>
          <w:tcPr>
            <w:tcW w:w="992" w:type="dxa"/>
            <w:vAlign w:val="center"/>
          </w:tcPr>
          <w:p w14:paraId="216B5560">
            <w:pPr>
              <w:jc w:val="center"/>
              <w:rPr>
                <w:color w:val="000000"/>
                <w:sz w:val="22"/>
              </w:rPr>
            </w:pPr>
            <w:r>
              <w:rPr>
                <w:color w:val="000000"/>
                <w:sz w:val="22"/>
              </w:rPr>
              <w:t>1</w:t>
            </w:r>
            <w:r>
              <w:rPr>
                <w:rFonts w:hint="eastAsia"/>
                <w:color w:val="000000"/>
                <w:sz w:val="22"/>
              </w:rPr>
              <w:t>套</w:t>
            </w:r>
          </w:p>
        </w:tc>
        <w:tc>
          <w:tcPr>
            <w:tcW w:w="1701" w:type="dxa"/>
            <w:vAlign w:val="center"/>
          </w:tcPr>
          <w:p w14:paraId="3815D637">
            <w:pPr>
              <w:jc w:val="center"/>
            </w:pPr>
            <w:r>
              <w:t>见技术要求</w:t>
            </w:r>
          </w:p>
        </w:tc>
        <w:tc>
          <w:tcPr>
            <w:tcW w:w="1276" w:type="dxa"/>
            <w:vMerge w:val="continue"/>
            <w:vAlign w:val="center"/>
          </w:tcPr>
          <w:p w14:paraId="502CC76F"/>
        </w:tc>
        <w:tc>
          <w:tcPr>
            <w:tcW w:w="759" w:type="dxa"/>
            <w:vMerge w:val="continue"/>
            <w:vAlign w:val="center"/>
          </w:tcPr>
          <w:p w14:paraId="32A12F1E"/>
        </w:tc>
      </w:tr>
      <w:tr w14:paraId="5339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15D692A">
            <w:pPr>
              <w:jc w:val="center"/>
            </w:pPr>
            <w:r>
              <w:t>3</w:t>
            </w:r>
          </w:p>
        </w:tc>
        <w:tc>
          <w:tcPr>
            <w:tcW w:w="3544" w:type="dxa"/>
            <w:vAlign w:val="center"/>
          </w:tcPr>
          <w:p w14:paraId="5EAE9133">
            <w:pPr>
              <w:jc w:val="center"/>
              <w:rPr>
                <w:rFonts w:ascii="Times New Roman" w:hAnsi="Times New Roman"/>
                <w:color w:val="000000"/>
                <w:sz w:val="22"/>
              </w:rPr>
            </w:pPr>
            <w:r>
              <w:rPr>
                <w:rFonts w:hint="eastAsia" w:ascii="Times New Roman" w:hAnsi="Times New Roman"/>
                <w:color w:val="000000"/>
                <w:sz w:val="22"/>
              </w:rPr>
              <w:t>试车一级冷却塔外接管</w:t>
            </w:r>
          </w:p>
        </w:tc>
        <w:tc>
          <w:tcPr>
            <w:tcW w:w="992" w:type="dxa"/>
            <w:vAlign w:val="center"/>
          </w:tcPr>
          <w:p w14:paraId="046BFF95">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116C597C">
            <w:pPr>
              <w:jc w:val="center"/>
            </w:pPr>
            <w:r>
              <w:rPr>
                <w:rFonts w:hint="eastAsia"/>
              </w:rPr>
              <w:t>根据各自方案明确数量</w:t>
            </w:r>
          </w:p>
        </w:tc>
        <w:tc>
          <w:tcPr>
            <w:tcW w:w="1276" w:type="dxa"/>
            <w:vMerge w:val="continue"/>
            <w:vAlign w:val="center"/>
          </w:tcPr>
          <w:p w14:paraId="0C9D611E"/>
        </w:tc>
        <w:tc>
          <w:tcPr>
            <w:tcW w:w="759" w:type="dxa"/>
            <w:vMerge w:val="continue"/>
            <w:vAlign w:val="center"/>
          </w:tcPr>
          <w:p w14:paraId="306369B8"/>
        </w:tc>
      </w:tr>
      <w:tr w14:paraId="672A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75" w:type="dxa"/>
            <w:vAlign w:val="center"/>
          </w:tcPr>
          <w:p w14:paraId="319E2B66">
            <w:pPr>
              <w:jc w:val="center"/>
            </w:pPr>
            <w:r>
              <w:t>4</w:t>
            </w:r>
          </w:p>
        </w:tc>
        <w:tc>
          <w:tcPr>
            <w:tcW w:w="3544" w:type="dxa"/>
            <w:vAlign w:val="center"/>
          </w:tcPr>
          <w:p w14:paraId="7E8A8171">
            <w:pPr>
              <w:jc w:val="center"/>
              <w:rPr>
                <w:rFonts w:ascii="Times New Roman" w:hAnsi="Times New Roman"/>
                <w:color w:val="000000"/>
                <w:sz w:val="22"/>
              </w:rPr>
            </w:pPr>
            <w:r>
              <w:rPr>
                <w:rFonts w:hint="eastAsia" w:ascii="Times New Roman" w:hAnsi="Times New Roman"/>
                <w:color w:val="000000"/>
                <w:sz w:val="22"/>
              </w:rPr>
              <w:t>试车二级冷却塔外接管</w:t>
            </w:r>
          </w:p>
        </w:tc>
        <w:tc>
          <w:tcPr>
            <w:tcW w:w="992" w:type="dxa"/>
            <w:vAlign w:val="center"/>
          </w:tcPr>
          <w:p w14:paraId="4E5E14BA">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20EFEB47">
            <w:pPr>
              <w:jc w:val="center"/>
            </w:pPr>
            <w:r>
              <w:rPr>
                <w:rFonts w:hint="eastAsia"/>
              </w:rPr>
              <w:t>根据各自方案明确数量</w:t>
            </w:r>
          </w:p>
        </w:tc>
        <w:tc>
          <w:tcPr>
            <w:tcW w:w="1276" w:type="dxa"/>
            <w:vMerge w:val="continue"/>
            <w:vAlign w:val="center"/>
          </w:tcPr>
          <w:p w14:paraId="62D5572A"/>
        </w:tc>
        <w:tc>
          <w:tcPr>
            <w:tcW w:w="759" w:type="dxa"/>
            <w:vMerge w:val="continue"/>
            <w:vAlign w:val="center"/>
          </w:tcPr>
          <w:p w14:paraId="3B57EA64"/>
        </w:tc>
      </w:tr>
      <w:tr w14:paraId="4350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75" w:type="dxa"/>
            <w:vAlign w:val="center"/>
          </w:tcPr>
          <w:p w14:paraId="094A3F54">
            <w:pPr>
              <w:jc w:val="center"/>
            </w:pPr>
            <w:r>
              <w:t>5</w:t>
            </w:r>
          </w:p>
        </w:tc>
        <w:tc>
          <w:tcPr>
            <w:tcW w:w="3544" w:type="dxa"/>
            <w:vAlign w:val="center"/>
          </w:tcPr>
          <w:p w14:paraId="18AC5C6D">
            <w:pPr>
              <w:jc w:val="center"/>
              <w:rPr>
                <w:rFonts w:ascii="Times New Roman" w:hAnsi="Times New Roman"/>
                <w:color w:val="000000"/>
                <w:sz w:val="22"/>
              </w:rPr>
            </w:pPr>
            <w:r>
              <w:rPr>
                <w:rFonts w:hint="eastAsia" w:ascii="Times New Roman" w:hAnsi="Times New Roman"/>
                <w:color w:val="000000"/>
                <w:sz w:val="22"/>
              </w:rPr>
              <w:t>电控系统</w:t>
            </w:r>
          </w:p>
        </w:tc>
        <w:tc>
          <w:tcPr>
            <w:tcW w:w="992" w:type="dxa"/>
            <w:vAlign w:val="center"/>
          </w:tcPr>
          <w:p w14:paraId="6BCBC549">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1B771B2A">
            <w:pPr>
              <w:jc w:val="center"/>
            </w:pPr>
            <w:r>
              <w:rPr>
                <w:rFonts w:hint="eastAsia"/>
              </w:rPr>
              <w:t>根据各自方案明确数量</w:t>
            </w:r>
          </w:p>
        </w:tc>
        <w:tc>
          <w:tcPr>
            <w:tcW w:w="1276" w:type="dxa"/>
            <w:vMerge w:val="continue"/>
            <w:vAlign w:val="center"/>
          </w:tcPr>
          <w:p w14:paraId="7EC9DE71"/>
        </w:tc>
        <w:tc>
          <w:tcPr>
            <w:tcW w:w="759" w:type="dxa"/>
            <w:vMerge w:val="continue"/>
            <w:vAlign w:val="center"/>
          </w:tcPr>
          <w:p w14:paraId="2AC07A5E"/>
        </w:tc>
      </w:tr>
      <w:tr w14:paraId="7FB8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26D0C170">
            <w:pPr>
              <w:jc w:val="center"/>
            </w:pPr>
            <w:r>
              <w:t>6</w:t>
            </w:r>
          </w:p>
        </w:tc>
        <w:tc>
          <w:tcPr>
            <w:tcW w:w="3544" w:type="dxa"/>
            <w:vAlign w:val="center"/>
          </w:tcPr>
          <w:p w14:paraId="0ADD3916">
            <w:pPr>
              <w:jc w:val="center"/>
              <w:rPr>
                <w:rFonts w:ascii="Times New Roman" w:hAnsi="Times New Roman"/>
                <w:color w:val="000000"/>
                <w:sz w:val="22"/>
              </w:rPr>
            </w:pPr>
            <w:r>
              <w:rPr>
                <w:rFonts w:hint="eastAsia" w:ascii="Times New Roman" w:hAnsi="Times New Roman"/>
                <w:color w:val="000000"/>
                <w:sz w:val="22"/>
              </w:rPr>
              <w:t>电缆线、桥架</w:t>
            </w:r>
          </w:p>
        </w:tc>
        <w:tc>
          <w:tcPr>
            <w:tcW w:w="992" w:type="dxa"/>
            <w:vAlign w:val="center"/>
          </w:tcPr>
          <w:p w14:paraId="532A34AE">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238C362D">
            <w:pPr>
              <w:jc w:val="center"/>
            </w:pPr>
            <w:r>
              <w:rPr>
                <w:rFonts w:hint="eastAsia"/>
              </w:rPr>
              <w:t>根据各自方案明确数量</w:t>
            </w:r>
          </w:p>
        </w:tc>
        <w:tc>
          <w:tcPr>
            <w:tcW w:w="1276" w:type="dxa"/>
            <w:vMerge w:val="continue"/>
            <w:vAlign w:val="center"/>
          </w:tcPr>
          <w:p w14:paraId="473E3976"/>
        </w:tc>
        <w:tc>
          <w:tcPr>
            <w:tcW w:w="759" w:type="dxa"/>
            <w:vMerge w:val="continue"/>
            <w:vAlign w:val="center"/>
          </w:tcPr>
          <w:p w14:paraId="4178993B"/>
        </w:tc>
      </w:tr>
      <w:tr w14:paraId="32CE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345593C8">
            <w:pPr>
              <w:jc w:val="center"/>
            </w:pPr>
            <w:r>
              <w:t>7</w:t>
            </w:r>
          </w:p>
        </w:tc>
        <w:tc>
          <w:tcPr>
            <w:tcW w:w="3544" w:type="dxa"/>
            <w:vAlign w:val="center"/>
          </w:tcPr>
          <w:p w14:paraId="34367FF3">
            <w:pPr>
              <w:jc w:val="center"/>
              <w:rPr>
                <w:rFonts w:ascii="Times New Roman" w:hAnsi="Times New Roman"/>
                <w:color w:val="000000"/>
                <w:sz w:val="22"/>
              </w:rPr>
            </w:pPr>
            <w:r>
              <w:rPr>
                <w:rFonts w:hint="eastAsia" w:ascii="Times New Roman" w:hAnsi="Times New Roman"/>
                <w:color w:val="000000"/>
                <w:sz w:val="22"/>
              </w:rPr>
              <w:t>运输费</w:t>
            </w:r>
          </w:p>
        </w:tc>
        <w:tc>
          <w:tcPr>
            <w:tcW w:w="992" w:type="dxa"/>
            <w:vAlign w:val="center"/>
          </w:tcPr>
          <w:p w14:paraId="20061579">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7BE6CF0A">
            <w:pPr>
              <w:jc w:val="center"/>
            </w:pPr>
            <w:r>
              <w:rPr>
                <w:rFonts w:hint="eastAsia"/>
              </w:rPr>
              <w:t>需有报价</w:t>
            </w:r>
          </w:p>
        </w:tc>
        <w:tc>
          <w:tcPr>
            <w:tcW w:w="1276" w:type="dxa"/>
            <w:vMerge w:val="continue"/>
            <w:vAlign w:val="center"/>
          </w:tcPr>
          <w:p w14:paraId="0E71D471"/>
        </w:tc>
        <w:tc>
          <w:tcPr>
            <w:tcW w:w="759" w:type="dxa"/>
            <w:vMerge w:val="continue"/>
            <w:vAlign w:val="center"/>
          </w:tcPr>
          <w:p w14:paraId="0FD4046C"/>
        </w:tc>
      </w:tr>
      <w:tr w14:paraId="4755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1EBA341">
            <w:pPr>
              <w:jc w:val="center"/>
            </w:pPr>
            <w:r>
              <w:t>8</w:t>
            </w:r>
          </w:p>
        </w:tc>
        <w:tc>
          <w:tcPr>
            <w:tcW w:w="3544" w:type="dxa"/>
            <w:vAlign w:val="center"/>
          </w:tcPr>
          <w:p w14:paraId="51D7712B">
            <w:pPr>
              <w:jc w:val="center"/>
              <w:rPr>
                <w:rFonts w:ascii="Times New Roman" w:hAnsi="Times New Roman"/>
                <w:color w:val="000000"/>
                <w:sz w:val="22"/>
              </w:rPr>
            </w:pPr>
            <w:r>
              <w:rPr>
                <w:rFonts w:hint="eastAsia" w:ascii="Times New Roman" w:hAnsi="Times New Roman"/>
                <w:color w:val="000000"/>
                <w:sz w:val="22"/>
              </w:rPr>
              <w:t>吊装费</w:t>
            </w:r>
          </w:p>
        </w:tc>
        <w:tc>
          <w:tcPr>
            <w:tcW w:w="992" w:type="dxa"/>
            <w:vAlign w:val="center"/>
          </w:tcPr>
          <w:p w14:paraId="12E22BE6">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3BD51219">
            <w:pPr>
              <w:jc w:val="center"/>
            </w:pPr>
            <w:r>
              <w:rPr>
                <w:rFonts w:hint="eastAsia"/>
              </w:rPr>
              <w:t>需有报价</w:t>
            </w:r>
          </w:p>
        </w:tc>
        <w:tc>
          <w:tcPr>
            <w:tcW w:w="1276" w:type="dxa"/>
            <w:vMerge w:val="continue"/>
            <w:vAlign w:val="center"/>
          </w:tcPr>
          <w:p w14:paraId="390ED047"/>
        </w:tc>
        <w:tc>
          <w:tcPr>
            <w:tcW w:w="759" w:type="dxa"/>
            <w:vMerge w:val="continue"/>
            <w:vAlign w:val="center"/>
          </w:tcPr>
          <w:p w14:paraId="671336C0"/>
        </w:tc>
      </w:tr>
      <w:tr w14:paraId="1CF8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5D289B27">
            <w:pPr>
              <w:jc w:val="center"/>
            </w:pPr>
            <w:r>
              <w:t>9</w:t>
            </w:r>
          </w:p>
        </w:tc>
        <w:tc>
          <w:tcPr>
            <w:tcW w:w="3544" w:type="dxa"/>
            <w:vAlign w:val="center"/>
          </w:tcPr>
          <w:p w14:paraId="40AA4E74">
            <w:pPr>
              <w:jc w:val="center"/>
              <w:rPr>
                <w:rFonts w:ascii="Times New Roman" w:hAnsi="Times New Roman"/>
                <w:color w:val="000000"/>
                <w:sz w:val="22"/>
              </w:rPr>
            </w:pPr>
            <w:r>
              <w:rPr>
                <w:rFonts w:hint="eastAsia" w:ascii="Times New Roman" w:hAnsi="Times New Roman"/>
                <w:color w:val="000000"/>
                <w:sz w:val="22"/>
              </w:rPr>
              <w:t>安调费</w:t>
            </w:r>
          </w:p>
        </w:tc>
        <w:tc>
          <w:tcPr>
            <w:tcW w:w="992" w:type="dxa"/>
            <w:vAlign w:val="center"/>
          </w:tcPr>
          <w:p w14:paraId="0672BAE7">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65F4AD9F">
            <w:pPr>
              <w:jc w:val="center"/>
            </w:pPr>
            <w:r>
              <w:rPr>
                <w:rFonts w:hint="eastAsia"/>
              </w:rPr>
              <w:t>需有报价</w:t>
            </w:r>
          </w:p>
        </w:tc>
        <w:tc>
          <w:tcPr>
            <w:tcW w:w="1276" w:type="dxa"/>
            <w:vMerge w:val="continue"/>
            <w:vAlign w:val="center"/>
          </w:tcPr>
          <w:p w14:paraId="5C81CB16"/>
        </w:tc>
        <w:tc>
          <w:tcPr>
            <w:tcW w:w="759" w:type="dxa"/>
            <w:vMerge w:val="continue"/>
            <w:vAlign w:val="center"/>
          </w:tcPr>
          <w:p w14:paraId="59696DDE"/>
        </w:tc>
      </w:tr>
      <w:tr w14:paraId="59E8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62D48A0D">
            <w:pPr>
              <w:jc w:val="center"/>
            </w:pPr>
            <w:r>
              <w:t>10</w:t>
            </w:r>
          </w:p>
        </w:tc>
        <w:tc>
          <w:tcPr>
            <w:tcW w:w="3544" w:type="dxa"/>
            <w:vAlign w:val="center"/>
          </w:tcPr>
          <w:p w14:paraId="405EED78">
            <w:pPr>
              <w:jc w:val="center"/>
              <w:rPr>
                <w:color w:val="000000"/>
                <w:sz w:val="22"/>
              </w:rPr>
            </w:pPr>
            <w:r>
              <w:rPr>
                <w:color w:val="000000"/>
                <w:sz w:val="22"/>
              </w:rPr>
              <w:t>卖方认为必须提供的其他货物</w:t>
            </w:r>
          </w:p>
        </w:tc>
        <w:tc>
          <w:tcPr>
            <w:tcW w:w="992" w:type="dxa"/>
            <w:vAlign w:val="center"/>
          </w:tcPr>
          <w:p w14:paraId="6C49C269">
            <w:pPr>
              <w:jc w:val="center"/>
              <w:rPr>
                <w:color w:val="000000"/>
                <w:sz w:val="22"/>
              </w:rPr>
            </w:pPr>
            <w:r>
              <w:rPr>
                <w:rFonts w:hint="eastAsia"/>
                <w:color w:val="000000"/>
                <w:sz w:val="22"/>
              </w:rPr>
              <w:t>1份</w:t>
            </w:r>
          </w:p>
        </w:tc>
        <w:tc>
          <w:tcPr>
            <w:tcW w:w="1701" w:type="dxa"/>
            <w:vAlign w:val="center"/>
          </w:tcPr>
          <w:p w14:paraId="24608C7B">
            <w:pPr>
              <w:jc w:val="center"/>
            </w:pPr>
            <w:r>
              <w:rPr>
                <w:rFonts w:hint="eastAsia"/>
              </w:rPr>
              <w:t>根据各自方案明确数量</w:t>
            </w:r>
          </w:p>
        </w:tc>
        <w:tc>
          <w:tcPr>
            <w:tcW w:w="1276" w:type="dxa"/>
            <w:vMerge w:val="continue"/>
            <w:vAlign w:val="center"/>
          </w:tcPr>
          <w:p w14:paraId="10681ED1"/>
        </w:tc>
        <w:tc>
          <w:tcPr>
            <w:tcW w:w="759" w:type="dxa"/>
            <w:vMerge w:val="continue"/>
            <w:vAlign w:val="center"/>
          </w:tcPr>
          <w:p w14:paraId="5BD29002"/>
        </w:tc>
      </w:tr>
    </w:tbl>
    <w:p w14:paraId="510DCC64">
      <w:pPr>
        <w:spacing w:line="360" w:lineRule="auto"/>
        <w:rPr>
          <w:rFonts w:ascii="Times New Roman" w:hAnsi="Times New Roman" w:cs="Times New Roman"/>
          <w:sz w:val="24"/>
          <w:szCs w:val="24"/>
        </w:rPr>
      </w:pPr>
    </w:p>
    <w:p w14:paraId="29F3D422">
      <w:pPr>
        <w:spacing w:line="360" w:lineRule="auto"/>
        <w:rPr>
          <w:rFonts w:ascii="Times New Roman" w:hAnsi="Times New Roman" w:cs="Times New Roman"/>
          <w:sz w:val="24"/>
          <w:szCs w:val="24"/>
        </w:rPr>
      </w:pPr>
      <w:r>
        <w:rPr>
          <w:rFonts w:ascii="Times New Roman" w:hAnsi="Times New Roman" w:cs="Times New Roman"/>
          <w:sz w:val="24"/>
          <w:szCs w:val="24"/>
        </w:rPr>
        <w:t>备注：</w:t>
      </w:r>
    </w:p>
    <w:p w14:paraId="1BA23E1C">
      <w:pPr>
        <w:spacing w:line="360" w:lineRule="auto"/>
        <w:jc w:val="both"/>
        <w:rPr>
          <w:rFonts w:ascii="Times New Roman" w:hAnsi="Times New Roman" w:cs="Times New Roman"/>
          <w:sz w:val="24"/>
          <w:szCs w:val="24"/>
        </w:rPr>
      </w:pPr>
      <w:r>
        <w:rPr>
          <w:rFonts w:ascii="Times New Roman" w:hAnsi="Times New Roman" w:cs="Times New Roman"/>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30FD735B">
      <w:pPr>
        <w:spacing w:line="360" w:lineRule="auto"/>
        <w:jc w:val="both"/>
        <w:rPr>
          <w:rFonts w:ascii="Times New Roman" w:hAnsi="Times New Roman" w:cs="Times New Roman"/>
          <w:sz w:val="24"/>
          <w:szCs w:val="24"/>
        </w:rPr>
      </w:pPr>
      <w:r>
        <w:rPr>
          <w:rFonts w:ascii="Times New Roman" w:hAnsi="Times New Roman" w:cs="Times New Roman"/>
          <w:sz w:val="24"/>
          <w:szCs w:val="24"/>
        </w:rPr>
        <w:t>2、本表“供货方式”指：交钥匙方式——包括制造、运输、定点卸货、安装、调试和协助验收以及约定培训等。</w:t>
      </w:r>
    </w:p>
    <w:p w14:paraId="167C8FD7">
      <w:pPr>
        <w:spacing w:line="360" w:lineRule="auto"/>
        <w:jc w:val="both"/>
        <w:rPr>
          <w:rFonts w:ascii="Times New Roman" w:hAnsi="Times New Roman" w:cs="Times New Roman"/>
          <w:sz w:val="24"/>
          <w:szCs w:val="24"/>
        </w:rPr>
      </w:pPr>
      <w:r>
        <w:rPr>
          <w:rFonts w:ascii="Times New Roman" w:hAnsi="Times New Roman" w:cs="Times New Roman"/>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F218F0D">
      <w:pPr>
        <w:spacing w:line="360" w:lineRule="auto"/>
        <w:jc w:val="both"/>
        <w:rPr>
          <w:rFonts w:ascii="Times New Roman" w:hAnsi="Times New Roman" w:cs="Times New Roman"/>
          <w:sz w:val="24"/>
          <w:szCs w:val="24"/>
        </w:rPr>
      </w:pPr>
      <w:r>
        <w:rPr>
          <w:rFonts w:hint="eastAsia" w:ascii="宋体" w:hAnsi="宋体"/>
        </w:rPr>
        <w:t>4</w:t>
      </w:r>
      <w:r>
        <w:rPr>
          <w:rFonts w:ascii="Times New Roman" w:hAnsi="Times New Roman" w:cs="Times New Roman"/>
          <w:sz w:val="24"/>
          <w:szCs w:val="24"/>
        </w:rPr>
        <w:t>、采购货物特别说明</w:t>
      </w:r>
    </w:p>
    <w:p w14:paraId="3E42B30E">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招标人所列货物的名称和规格型号，如为某一供应商所特有，则该名称和规格型号可作参考，但要求投标人所提供的货物必须满足本技术标书实质性要求。</w:t>
      </w:r>
    </w:p>
    <w:p w14:paraId="55B3D48D">
      <w:pPr>
        <w:spacing w:line="360" w:lineRule="auto"/>
        <w:jc w:val="center"/>
        <w:rPr>
          <w:rFonts w:ascii="Times New Roman" w:hAnsi="Times New Roman" w:cs="Times New Roman"/>
          <w:b/>
          <w:sz w:val="28"/>
          <w:szCs w:val="24"/>
        </w:rPr>
      </w:pPr>
      <w:r>
        <w:rPr>
          <w:rFonts w:ascii="Times New Roman" w:hAnsi="Times New Roman" w:cs="Times New Roman"/>
          <w:b/>
          <w:sz w:val="28"/>
          <w:szCs w:val="24"/>
        </w:rPr>
        <w:t>第二章  技术要求</w:t>
      </w:r>
    </w:p>
    <w:p w14:paraId="61C57D7D">
      <w:pPr>
        <w:spacing w:line="360" w:lineRule="auto"/>
        <w:rPr>
          <w:rFonts w:ascii="Times New Roman" w:hAnsi="Times New Roman" w:cs="Times New Roman"/>
          <w:b/>
          <w:sz w:val="24"/>
          <w:szCs w:val="24"/>
        </w:rPr>
      </w:pPr>
      <w:r>
        <w:rPr>
          <w:rFonts w:ascii="Times New Roman" w:hAnsi="Times New Roman" w:cs="Times New Roman"/>
          <w:b/>
          <w:sz w:val="24"/>
          <w:szCs w:val="24"/>
        </w:rPr>
        <w:t>一、基本要求</w:t>
      </w:r>
    </w:p>
    <w:p w14:paraId="2F4FBE79">
      <w:pPr>
        <w:pStyle w:val="17"/>
      </w:pPr>
      <w:r>
        <w:rPr>
          <w:rFonts w:ascii="Times New Roman" w:hAnsi="Times New Roman" w:cs="Times New Roman"/>
          <w:sz w:val="24"/>
          <w:szCs w:val="24"/>
        </w:rPr>
        <w:t>1、本章技术要求，仅对功能、设计、结构、性能、安装和试验检验等方面，提出了最低和一般性的技术要求，并未对一切技术细节作出规定。</w:t>
      </w:r>
    </w:p>
    <w:p w14:paraId="01BA30AE">
      <w:pPr>
        <w:spacing w:line="360" w:lineRule="auto"/>
        <w:rPr>
          <w:rFonts w:ascii="Times New Roman" w:hAnsi="Times New Roman" w:cs="Times New Roman"/>
          <w:sz w:val="24"/>
          <w:szCs w:val="24"/>
        </w:rPr>
      </w:pPr>
      <w:r>
        <w:rPr>
          <w:rFonts w:ascii="Times New Roman" w:hAnsi="Times New Roman" w:cs="Times New Roman"/>
          <w:sz w:val="24"/>
          <w:szCs w:val="24"/>
        </w:rPr>
        <w:t>2、本技术要求所使用的标准、规范等，如与投标人所执行的标准、规范不一致时，应按高于本技术要求所列的标准、规范执行。</w:t>
      </w:r>
    </w:p>
    <w:p w14:paraId="66C2690C">
      <w:pPr>
        <w:spacing w:line="360" w:lineRule="auto"/>
        <w:rPr>
          <w:rFonts w:ascii="Times New Roman" w:hAnsi="Times New Roman" w:cs="Times New Roman"/>
          <w:sz w:val="24"/>
          <w:szCs w:val="24"/>
        </w:rPr>
      </w:pPr>
      <w:r>
        <w:rPr>
          <w:rFonts w:ascii="Times New Roman" w:hAnsi="Times New Roman" w:cs="Times New Roman"/>
          <w:sz w:val="24"/>
          <w:szCs w:val="24"/>
        </w:rPr>
        <w:t>3、投标人认为所供货物必需由招标人配备、解决或提供的其他要求，如设备基础隔振和减振</w:t>
      </w:r>
      <w:r>
        <w:rPr>
          <w:rFonts w:hint="eastAsia" w:ascii="Times New Roman" w:hAnsi="Times New Roman" w:cs="Times New Roman"/>
          <w:sz w:val="24"/>
          <w:szCs w:val="24"/>
        </w:rPr>
        <w:t>设</w:t>
      </w:r>
      <w:r>
        <w:rPr>
          <w:rFonts w:ascii="Times New Roman" w:hAnsi="Times New Roman" w:cs="Times New Roman"/>
          <w:sz w:val="24"/>
          <w:szCs w:val="24"/>
        </w:rPr>
        <w:t>施、软化水、洁净气源等，均应在投标档“技术偏离”中予以充分说明。</w:t>
      </w:r>
    </w:p>
    <w:p w14:paraId="277496A9">
      <w:pPr>
        <w:spacing w:line="360" w:lineRule="auto"/>
        <w:rPr>
          <w:rFonts w:ascii="Times New Roman" w:hAnsi="Times New Roman" w:cs="Times New Roman"/>
          <w:sz w:val="24"/>
          <w:szCs w:val="24"/>
        </w:rPr>
      </w:pPr>
      <w:r>
        <w:rPr>
          <w:rFonts w:ascii="Times New Roman" w:hAnsi="Times New Roman" w:cs="Times New Roman"/>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233B4A3C">
      <w:pPr>
        <w:spacing w:line="360" w:lineRule="auto"/>
        <w:rPr>
          <w:rFonts w:ascii="Times New Roman" w:hAnsi="Times New Roman" w:cs="Times New Roman"/>
          <w:sz w:val="24"/>
          <w:szCs w:val="24"/>
        </w:rPr>
      </w:pPr>
      <w:r>
        <w:rPr>
          <w:rFonts w:ascii="Times New Roman" w:hAnsi="Times New Roman" w:cs="Times New Roman"/>
          <w:sz w:val="24"/>
          <w:szCs w:val="24"/>
        </w:rPr>
        <w:t>5、无论是否有技术偏离，投标人均应在投标档“技术偏离”中明确作出有无说明。若有异议，不管是多么微小，投标人必须予以明确和详细的说明或澄清。</w:t>
      </w:r>
    </w:p>
    <w:p w14:paraId="23399D2D">
      <w:pPr>
        <w:spacing w:line="360" w:lineRule="auto"/>
        <w:rPr>
          <w:rFonts w:ascii="Times New Roman" w:hAnsi="Times New Roman" w:cs="Times New Roman"/>
          <w:sz w:val="24"/>
          <w:szCs w:val="24"/>
        </w:rPr>
      </w:pPr>
      <w:r>
        <w:rPr>
          <w:rFonts w:ascii="Times New Roman" w:hAnsi="Times New Roman" w:cs="Times New Roman"/>
          <w:sz w:val="24"/>
          <w:szCs w:val="24"/>
        </w:rPr>
        <w:t>6、为避免投标人优势在招标评审时漏项，质保期超出本技术标书要求的，应当在投标档“技术偏离”中特别注明。</w:t>
      </w:r>
    </w:p>
    <w:p w14:paraId="293DE625">
      <w:pPr>
        <w:spacing w:line="360" w:lineRule="auto"/>
        <w:rPr>
          <w:rFonts w:ascii="Times New Roman" w:hAnsi="Times New Roman" w:cs="Times New Roman"/>
          <w:sz w:val="24"/>
          <w:szCs w:val="24"/>
        </w:rPr>
      </w:pPr>
      <w:r>
        <w:rPr>
          <w:rFonts w:ascii="Times New Roman" w:hAnsi="Times New Roman" w:cs="Times New Roman"/>
          <w:sz w:val="24"/>
          <w:szCs w:val="24"/>
        </w:rPr>
        <w:t>7、投标档中</w:t>
      </w:r>
      <w:r>
        <w:rPr>
          <w:rFonts w:hint="eastAsia" w:ascii="Times New Roman" w:hAnsi="Times New Roman" w:cs="Times New Roman"/>
          <w:sz w:val="24"/>
          <w:szCs w:val="24"/>
        </w:rPr>
        <w:t>，</w:t>
      </w:r>
      <w:r>
        <w:rPr>
          <w:rFonts w:ascii="Times New Roman" w:hAnsi="Times New Roman" w:cs="Times New Roman"/>
          <w:sz w:val="24"/>
          <w:szCs w:val="24"/>
        </w:rPr>
        <w:t>针对“特别提示”条款所做的回应，将作为投标人能否中标的重要依据</w:t>
      </w:r>
      <w:r>
        <w:rPr>
          <w:rFonts w:hint="eastAsia" w:ascii="Times New Roman" w:hAnsi="Times New Roman" w:cs="Times New Roman"/>
          <w:sz w:val="24"/>
          <w:szCs w:val="24"/>
        </w:rPr>
        <w:t>之</w:t>
      </w:r>
      <w:r>
        <w:rPr>
          <w:rFonts w:ascii="Times New Roman" w:hAnsi="Times New Roman" w:cs="Times New Roman"/>
          <w:sz w:val="24"/>
          <w:szCs w:val="24"/>
        </w:rPr>
        <w:t>一。</w:t>
      </w:r>
    </w:p>
    <w:p w14:paraId="49C654A3">
      <w:pPr>
        <w:spacing w:line="360" w:lineRule="auto"/>
        <w:rPr>
          <w:rFonts w:ascii="Times New Roman" w:hAnsi="Times New Roman" w:cs="Times New Roman"/>
          <w:b/>
          <w:sz w:val="24"/>
          <w:szCs w:val="24"/>
        </w:rPr>
      </w:pPr>
      <w:r>
        <w:rPr>
          <w:rFonts w:ascii="Times New Roman" w:hAnsi="Times New Roman" w:cs="Times New Roman"/>
          <w:b/>
          <w:sz w:val="24"/>
          <w:szCs w:val="24"/>
        </w:rPr>
        <w:t>二、执行标准</w:t>
      </w:r>
    </w:p>
    <w:p w14:paraId="5EFC1FEA">
      <w:pPr>
        <w:spacing w:line="360" w:lineRule="auto"/>
        <w:rPr>
          <w:rFonts w:ascii="Times New Roman" w:hAnsi="Times New Roman" w:cs="Times New Roman"/>
          <w:sz w:val="24"/>
          <w:szCs w:val="24"/>
        </w:rPr>
      </w:pPr>
      <w:r>
        <w:rPr>
          <w:rFonts w:ascii="Times New Roman" w:hAnsi="Times New Roman" w:cs="Times New Roman"/>
          <w:sz w:val="24"/>
          <w:szCs w:val="24"/>
        </w:rPr>
        <w:t>1、投标人所供的货物，必须符合中国最新版的法律、法规和相关标准、规范的要求，符合项目所在地政府有关特殊要求。</w:t>
      </w:r>
    </w:p>
    <w:p w14:paraId="204E6B94">
      <w:pPr>
        <w:spacing w:line="360" w:lineRule="auto"/>
        <w:rPr>
          <w:rFonts w:ascii="Times New Roman" w:hAnsi="Times New Roman" w:cs="Times New Roman"/>
          <w:sz w:val="24"/>
          <w:szCs w:val="24"/>
        </w:rPr>
      </w:pPr>
      <w:r>
        <w:rPr>
          <w:rFonts w:ascii="Times New Roman" w:hAnsi="Times New Roman" w:cs="Times New Roman"/>
          <w:sz w:val="24"/>
          <w:szCs w:val="24"/>
        </w:rPr>
        <w:t>2、投标人所供货物涉及的专利权技术以及知识产权保护的其他技术等，应保证招标人不因此受到任何侵权指控以及实际损失。</w:t>
      </w:r>
    </w:p>
    <w:p w14:paraId="4BB069EC">
      <w:pPr>
        <w:spacing w:line="360" w:lineRule="auto"/>
        <w:rPr>
          <w:rFonts w:ascii="Times New Roman" w:hAnsi="Times New Roman" w:cs="Times New Roman"/>
          <w:sz w:val="24"/>
          <w:szCs w:val="24"/>
        </w:rPr>
      </w:pPr>
      <w:r>
        <w:rPr>
          <w:rFonts w:ascii="Times New Roman" w:hAnsi="Times New Roman" w:cs="Times New Roman"/>
          <w:sz w:val="24"/>
          <w:szCs w:val="24"/>
        </w:rPr>
        <w:t>3、投标人应保证所供货物的先进性、可靠性、经济性和实用性，并为全新货物（或设备）。</w:t>
      </w:r>
    </w:p>
    <w:p w14:paraId="1483242E">
      <w:pPr>
        <w:spacing w:line="360" w:lineRule="auto"/>
        <w:rPr>
          <w:rFonts w:ascii="Times New Roman" w:hAnsi="Times New Roman" w:cs="Times New Roman"/>
          <w:sz w:val="24"/>
          <w:szCs w:val="24"/>
        </w:rPr>
      </w:pPr>
      <w:r>
        <w:rPr>
          <w:rFonts w:ascii="Times New Roman" w:hAnsi="Times New Roman" w:cs="Times New Roman"/>
          <w:sz w:val="24"/>
          <w:szCs w:val="24"/>
        </w:rPr>
        <w:t>4、投标人应满足招标人提出的各项技术要求，必要时应当免费提供技术承诺或担保。</w:t>
      </w:r>
    </w:p>
    <w:p w14:paraId="282F5BB6">
      <w:pPr>
        <w:spacing w:line="360" w:lineRule="auto"/>
        <w:rPr>
          <w:rFonts w:ascii="Times New Roman" w:hAnsi="Times New Roman" w:cs="Times New Roman"/>
          <w:sz w:val="24"/>
          <w:szCs w:val="24"/>
        </w:rPr>
      </w:pPr>
      <w:r>
        <w:rPr>
          <w:rFonts w:ascii="Times New Roman" w:hAnsi="Times New Roman" w:cs="Times New Roman"/>
          <w:sz w:val="24"/>
          <w:szCs w:val="24"/>
        </w:rPr>
        <w:t>5、投标人应保证所供货物（或设备）为中国政府指定或规定的主管部门公布的非淘汰货物（或设备）。</w:t>
      </w:r>
    </w:p>
    <w:p w14:paraId="5DD40660">
      <w:pPr>
        <w:spacing w:line="360" w:lineRule="auto"/>
        <w:rPr>
          <w:rFonts w:ascii="Times New Roman" w:hAnsi="Times New Roman" w:cs="Times New Roman"/>
          <w:sz w:val="24"/>
          <w:szCs w:val="24"/>
        </w:rPr>
      </w:pPr>
      <w:r>
        <w:rPr>
          <w:rFonts w:ascii="Times New Roman" w:hAnsi="Times New Roman" w:cs="Times New Roman"/>
          <w:sz w:val="24"/>
          <w:szCs w:val="24"/>
        </w:rPr>
        <w:t>6、投标人应保证所供货物的完整性和成套性，能保证货物的正常运行、使用。</w:t>
      </w:r>
    </w:p>
    <w:p w14:paraId="58864894">
      <w:pPr>
        <w:spacing w:line="360" w:lineRule="auto"/>
        <w:rPr>
          <w:rFonts w:ascii="Times New Roman" w:hAnsi="Times New Roman" w:cs="Times New Roman"/>
          <w:sz w:val="24"/>
          <w:szCs w:val="24"/>
        </w:rPr>
      </w:pPr>
      <w:r>
        <w:rPr>
          <w:rFonts w:ascii="Times New Roman" w:hAnsi="Times New Roman" w:cs="Times New Roman"/>
          <w:sz w:val="24"/>
          <w:szCs w:val="24"/>
        </w:rPr>
        <w:t>7、投标人应对招标人采购的货物所涉及的技术、产能等信息负有保密义务，招标人拥有追究</w:t>
      </w:r>
      <w:r>
        <w:rPr>
          <w:rFonts w:hint="eastAsia" w:ascii="Times New Roman" w:hAnsi="Times New Roman" w:cs="Times New Roman"/>
          <w:sz w:val="24"/>
          <w:szCs w:val="24"/>
        </w:rPr>
        <w:t>投标</w:t>
      </w:r>
      <w:r>
        <w:rPr>
          <w:rFonts w:ascii="Times New Roman" w:hAnsi="Times New Roman" w:cs="Times New Roman"/>
          <w:sz w:val="24"/>
          <w:szCs w:val="24"/>
        </w:rPr>
        <w:t>人泄密责任的权利；招标人如有需要，投标人应无条件签署保密协议。</w:t>
      </w:r>
    </w:p>
    <w:p w14:paraId="1CC66D56">
      <w:pPr>
        <w:jc w:val="both"/>
        <w:rPr>
          <w:rFonts w:ascii="Times New Roman" w:hAnsi="Times New Roman" w:cs="Times New Roman"/>
          <w:sz w:val="24"/>
          <w:szCs w:val="24"/>
        </w:rPr>
      </w:pPr>
    </w:p>
    <w:p w14:paraId="19F498E5">
      <w:pPr>
        <w:rPr>
          <w:rFonts w:ascii="Times New Roman" w:hAnsi="Times New Roman" w:cs="Times New Roman"/>
          <w:b/>
          <w:color w:val="0070C0"/>
          <w:sz w:val="24"/>
          <w:szCs w:val="24"/>
          <w:highlight w:val="yellow"/>
        </w:rPr>
      </w:pPr>
      <w:r>
        <w:rPr>
          <w:rFonts w:ascii="Times New Roman" w:hAnsi="Times New Roman" w:cs="Times New Roman"/>
          <w:b/>
          <w:sz w:val="24"/>
          <w:szCs w:val="24"/>
        </w:rPr>
        <w:t>三、技术要求概况</w:t>
      </w:r>
    </w:p>
    <w:p w14:paraId="186D424F">
      <w:pPr>
        <w:spacing w:line="360" w:lineRule="auto"/>
        <w:rPr>
          <w:rFonts w:hint="eastAsia" w:ascii="Times New Roman" w:hAnsi="Times New Roman" w:cs="Times New Roman"/>
          <w:sz w:val="24"/>
          <w:szCs w:val="24"/>
          <w:lang w:val="en-US" w:eastAsia="zh-CN"/>
        </w:rPr>
      </w:pPr>
      <w:r>
        <w:rPr>
          <w:rFonts w:ascii="Times New Roman" w:hAnsi="Times New Roman" w:cs="Times New Roman"/>
          <w:sz w:val="24"/>
          <w:szCs w:val="24"/>
        </w:rPr>
        <w:t xml:space="preserve">3.1 </w:t>
      </w:r>
      <w:r>
        <w:rPr>
          <w:rFonts w:hint="eastAsia" w:ascii="Times New Roman" w:hAnsi="Times New Roman" w:cs="Times New Roman"/>
          <w:sz w:val="24"/>
          <w:szCs w:val="24"/>
          <w:lang w:val="en-US" w:eastAsia="zh-CN"/>
        </w:rPr>
        <w:t xml:space="preserve">  一级</w:t>
      </w:r>
      <w:r>
        <w:rPr>
          <w:rFonts w:hint="eastAsia" w:ascii="Times New Roman" w:hAnsi="Times New Roman" w:cs="Times New Roman"/>
          <w:sz w:val="24"/>
          <w:szCs w:val="24"/>
        </w:rPr>
        <w:t>冷却塔冷却</w:t>
      </w:r>
      <w:r>
        <w:rPr>
          <w:rFonts w:hint="eastAsia" w:ascii="Times New Roman" w:hAnsi="Times New Roman" w:cs="Times New Roman"/>
          <w:sz w:val="24"/>
          <w:szCs w:val="24"/>
          <w:lang w:val="en-US" w:eastAsia="zh-CN"/>
        </w:rPr>
        <w:t>后温度≤35℃，冷却前后温差≥5℃；</w:t>
      </w:r>
    </w:p>
    <w:p w14:paraId="1F3FD6B7">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二级</w:t>
      </w:r>
      <w:r>
        <w:rPr>
          <w:rFonts w:hint="eastAsia" w:ascii="Times New Roman" w:hAnsi="Times New Roman" w:cs="Times New Roman"/>
          <w:sz w:val="24"/>
          <w:szCs w:val="24"/>
        </w:rPr>
        <w:t>冷却塔冷却</w:t>
      </w:r>
      <w:r>
        <w:rPr>
          <w:rFonts w:hint="eastAsia" w:ascii="Times New Roman" w:hAnsi="Times New Roman" w:cs="Times New Roman"/>
          <w:sz w:val="24"/>
          <w:szCs w:val="24"/>
          <w:lang w:val="en-US" w:eastAsia="zh-CN"/>
        </w:rPr>
        <w:t>后温度≤32℃，冷却前后温差≥3℃</w:t>
      </w:r>
      <w:r>
        <w:rPr>
          <w:rFonts w:hint="eastAsia" w:ascii="Times New Roman" w:hAnsi="Times New Roman" w:cs="Times New Roman"/>
          <w:sz w:val="24"/>
          <w:szCs w:val="24"/>
        </w:rPr>
        <w:t>。</w:t>
      </w:r>
    </w:p>
    <w:p w14:paraId="2334365E">
      <w:pPr>
        <w:spacing w:line="360" w:lineRule="auto"/>
        <w:rPr>
          <w:rFonts w:ascii="Times New Roman" w:hAnsi="Times New Roman" w:cs="Times New Roman"/>
          <w:sz w:val="24"/>
          <w:szCs w:val="24"/>
        </w:rPr>
      </w:pPr>
      <w:r>
        <w:rPr>
          <w:rFonts w:ascii="Times New Roman" w:hAnsi="Times New Roman" w:cs="Times New Roman"/>
          <w:sz w:val="24"/>
          <w:szCs w:val="24"/>
        </w:rPr>
        <w:t>3.2</w:t>
      </w:r>
      <w:r>
        <w:rPr>
          <w:rFonts w:hint="eastAsia" w:ascii="Times New Roman" w:hAnsi="Times New Roman" w:cs="Times New Roman"/>
          <w:sz w:val="24"/>
          <w:szCs w:val="24"/>
        </w:rPr>
        <w:t>材质要求</w:t>
      </w:r>
    </w:p>
    <w:p w14:paraId="17DFD320">
      <w:pPr>
        <w:spacing w:line="360" w:lineRule="auto"/>
        <w:rPr>
          <w:rFonts w:ascii="Times New Roman" w:hAnsi="Times New Roman" w:cs="Times New Roman"/>
          <w:sz w:val="24"/>
          <w:szCs w:val="24"/>
        </w:rPr>
      </w:pPr>
      <w:r>
        <w:rPr>
          <w:rFonts w:ascii="Times New Roman" w:hAnsi="Times New Roman" w:cs="Times New Roman"/>
          <w:sz w:val="24"/>
          <w:szCs w:val="24"/>
        </w:rPr>
        <w:t xml:space="preserve">3.2.1 </w:t>
      </w:r>
      <w:r>
        <w:rPr>
          <w:rFonts w:hint="eastAsia" w:ascii="Times New Roman" w:hAnsi="Times New Roman" w:cs="Times New Roman"/>
          <w:sz w:val="24"/>
          <w:szCs w:val="24"/>
        </w:rPr>
        <w:t>冷却塔内部金属管道、钢支架采用Q235A热浸镀锌材质；</w:t>
      </w:r>
    </w:p>
    <w:p w14:paraId="60F8BAE0">
      <w:pPr>
        <w:spacing w:line="360" w:lineRule="auto"/>
        <w:rPr>
          <w:rFonts w:ascii="Times New Roman" w:hAnsi="Times New Roman" w:cs="Times New Roman"/>
          <w:sz w:val="24"/>
          <w:szCs w:val="24"/>
        </w:rPr>
      </w:pPr>
      <w:r>
        <w:rPr>
          <w:rFonts w:ascii="Times New Roman" w:hAnsi="Times New Roman" w:cs="Times New Roman"/>
          <w:sz w:val="24"/>
          <w:szCs w:val="24"/>
        </w:rPr>
        <w:t xml:space="preserve">3.2.2 </w:t>
      </w:r>
      <w:r>
        <w:rPr>
          <w:rFonts w:hint="eastAsia" w:ascii="Times New Roman" w:hAnsi="Times New Roman" w:cs="Times New Roman"/>
          <w:sz w:val="24"/>
          <w:szCs w:val="24"/>
        </w:rPr>
        <w:t>冷却塔外部管道采用Q235A热浸镀锌材质；</w:t>
      </w:r>
    </w:p>
    <w:p w14:paraId="6649EC28">
      <w:pPr>
        <w:spacing w:line="360" w:lineRule="auto"/>
        <w:rPr>
          <w:rFonts w:ascii="Times New Roman" w:hAnsi="Times New Roman" w:cs="Times New Roman"/>
          <w:sz w:val="24"/>
          <w:szCs w:val="24"/>
        </w:rPr>
      </w:pPr>
      <w:r>
        <w:rPr>
          <w:rFonts w:ascii="Times New Roman" w:hAnsi="Times New Roman" w:cs="Times New Roman"/>
          <w:sz w:val="24"/>
          <w:szCs w:val="24"/>
        </w:rPr>
        <w:t xml:space="preserve">3.2.3 </w:t>
      </w:r>
      <w:r>
        <w:rPr>
          <w:rFonts w:hint="eastAsia" w:ascii="Times New Roman" w:hAnsi="Times New Roman" w:cs="Times New Roman"/>
          <w:sz w:val="24"/>
          <w:szCs w:val="24"/>
        </w:rPr>
        <w:t>面板采用玻璃钢材质；填料使用马力高效型PVC 材质；进风百叶使用镀镁铝锌钢材质；</w:t>
      </w:r>
    </w:p>
    <w:p w14:paraId="3D80C487">
      <w:pPr>
        <w:spacing w:line="360" w:lineRule="auto"/>
        <w:rPr>
          <w:rFonts w:ascii="Times New Roman" w:hAnsi="Times New Roman" w:cs="Times New Roman"/>
          <w:sz w:val="24"/>
          <w:szCs w:val="24"/>
        </w:rPr>
      </w:pPr>
      <w:r>
        <w:rPr>
          <w:rFonts w:ascii="Times New Roman" w:hAnsi="Times New Roman" w:cs="Times New Roman"/>
          <w:sz w:val="24"/>
          <w:szCs w:val="24"/>
        </w:rPr>
        <w:t>3.2.4</w:t>
      </w:r>
      <w:r>
        <w:rPr>
          <w:rFonts w:hint="eastAsia" w:ascii="Times New Roman" w:hAnsi="Times New Roman" w:cs="Times New Roman"/>
          <w:sz w:val="24"/>
          <w:szCs w:val="24"/>
        </w:rPr>
        <w:t>风机采用全铝合金机翼型。</w:t>
      </w:r>
    </w:p>
    <w:p w14:paraId="3E7D68C3">
      <w:pPr>
        <w:rPr>
          <w:rFonts w:ascii="Times New Roman" w:hAnsi="Times New Roman" w:cs="Times New Roman"/>
          <w:sz w:val="24"/>
          <w:szCs w:val="24"/>
        </w:rPr>
      </w:pPr>
      <w:r>
        <w:rPr>
          <w:rFonts w:ascii="Times New Roman" w:hAnsi="Times New Roman" w:cs="Times New Roman"/>
          <w:sz w:val="24"/>
          <w:szCs w:val="24"/>
        </w:rPr>
        <w:t>3.3</w:t>
      </w:r>
      <w:r>
        <w:rPr>
          <w:rFonts w:hint="eastAsia" w:ascii="Times New Roman" w:hAnsi="Times New Roman" w:cs="Times New Roman"/>
          <w:sz w:val="24"/>
          <w:szCs w:val="24"/>
        </w:rPr>
        <w:t>电控系统</w:t>
      </w:r>
    </w:p>
    <w:p w14:paraId="11CEFC9D">
      <w:pPr>
        <w:spacing w:line="360" w:lineRule="auto"/>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采用4~</w:t>
      </w:r>
      <w:r>
        <w:rPr>
          <w:rFonts w:ascii="Times New Roman" w:hAnsi="Times New Roman" w:cs="Times New Roman"/>
          <w:sz w:val="24"/>
          <w:szCs w:val="24"/>
        </w:rPr>
        <w:t>6</w:t>
      </w:r>
      <w:r>
        <w:rPr>
          <w:rFonts w:hint="eastAsia" w:ascii="Times New Roman" w:hAnsi="Times New Roman" w:cs="Times New Roman"/>
          <w:sz w:val="24"/>
          <w:szCs w:val="24"/>
        </w:rPr>
        <w:t>台E</w:t>
      </w:r>
      <w:r>
        <w:rPr>
          <w:rFonts w:ascii="Times New Roman" w:hAnsi="Times New Roman" w:cs="Times New Roman"/>
          <w:sz w:val="24"/>
          <w:szCs w:val="24"/>
        </w:rPr>
        <w:t>C</w:t>
      </w:r>
      <w:r>
        <w:rPr>
          <w:rFonts w:hint="eastAsia" w:ascii="Times New Roman" w:hAnsi="Times New Roman" w:cs="Times New Roman"/>
          <w:sz w:val="24"/>
          <w:szCs w:val="24"/>
        </w:rPr>
        <w:t>风机矩阵式布置，基于实时参数（如出水温度、环境湿温度、流量）动态调整风机转速或启停。电气柜需包含P</w:t>
      </w:r>
      <w:r>
        <w:rPr>
          <w:rFonts w:ascii="Times New Roman" w:hAnsi="Times New Roman" w:cs="Times New Roman"/>
          <w:sz w:val="24"/>
          <w:szCs w:val="24"/>
        </w:rPr>
        <w:t>LC</w:t>
      </w:r>
      <w:r>
        <w:rPr>
          <w:rFonts w:hint="eastAsia" w:ascii="Times New Roman" w:hAnsi="Times New Roman" w:cs="Times New Roman"/>
          <w:sz w:val="24"/>
          <w:szCs w:val="24"/>
        </w:rPr>
        <w:t>或专用控制器、变频器、H</w:t>
      </w:r>
      <w:r>
        <w:rPr>
          <w:rFonts w:ascii="Times New Roman" w:hAnsi="Times New Roman" w:cs="Times New Roman"/>
          <w:sz w:val="24"/>
          <w:szCs w:val="24"/>
        </w:rPr>
        <w:t>MI</w:t>
      </w:r>
      <w:r>
        <w:rPr>
          <w:rFonts w:hint="eastAsia" w:ascii="Times New Roman" w:hAnsi="Times New Roman" w:cs="Times New Roman"/>
          <w:sz w:val="24"/>
          <w:szCs w:val="24"/>
        </w:rPr>
        <w:t>人机界面及相关控制元件。</w:t>
      </w:r>
    </w:p>
    <w:p w14:paraId="75154989">
      <w:pPr>
        <w:rPr>
          <w:rFonts w:ascii="Times New Roman" w:hAnsi="Times New Roman" w:cs="Times New Roman"/>
          <w:b/>
          <w:sz w:val="24"/>
          <w:szCs w:val="24"/>
        </w:rPr>
      </w:pPr>
      <w:r>
        <w:rPr>
          <w:rFonts w:ascii="Times New Roman" w:hAnsi="Times New Roman" w:cs="Times New Roman"/>
          <w:b/>
          <w:sz w:val="24"/>
          <w:szCs w:val="24"/>
        </w:rPr>
        <w:t>四、方案及设备主要技术规格</w:t>
      </w:r>
    </w:p>
    <w:p w14:paraId="2318F643">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.1 第一部分：工艺</w:t>
      </w:r>
      <w:r>
        <w:rPr>
          <w:rFonts w:hint="eastAsia" w:ascii="Times New Roman" w:hAnsi="Times New Roman" w:cs="Times New Roman"/>
          <w:sz w:val="24"/>
          <w:szCs w:val="24"/>
        </w:rPr>
        <w:t>要求</w:t>
      </w:r>
    </w:p>
    <w:p w14:paraId="3487ED19">
      <w:pPr>
        <w:ind w:firstLine="480" w:firstLineChars="200"/>
        <w:jc w:val="both"/>
        <w:rPr>
          <w:rFonts w:ascii="Times New Roman" w:hAnsi="Times New Roman" w:cs="Times New Roman"/>
          <w:sz w:val="24"/>
          <w:szCs w:val="24"/>
        </w:rPr>
      </w:pPr>
      <w:r>
        <w:rPr>
          <w:rFonts w:ascii="Times New Roman" w:hAnsi="Times New Roman" w:cs="Times New Roman"/>
          <w:sz w:val="24"/>
          <w:szCs w:val="24"/>
        </w:rPr>
        <w:t>项目不改变原有工艺布局，更新2</w:t>
      </w:r>
      <w:r>
        <w:rPr>
          <w:rFonts w:hint="eastAsia" w:ascii="Times New Roman" w:hAnsi="Times New Roman" w:cs="Times New Roman"/>
          <w:sz w:val="24"/>
          <w:szCs w:val="24"/>
        </w:rPr>
        <w:t>套冷却塔</w:t>
      </w:r>
      <w:r>
        <w:rPr>
          <w:rFonts w:ascii="Times New Roman" w:hAnsi="Times New Roman" w:cs="Times New Roman"/>
          <w:sz w:val="24"/>
          <w:szCs w:val="24"/>
        </w:rPr>
        <w:t>、管道</w:t>
      </w:r>
      <w:r>
        <w:rPr>
          <w:rFonts w:hint="eastAsia" w:ascii="Times New Roman" w:hAnsi="Times New Roman" w:cs="Times New Roman"/>
          <w:sz w:val="24"/>
          <w:szCs w:val="24"/>
        </w:rPr>
        <w:t>、电控系统及</w:t>
      </w:r>
      <w:r>
        <w:rPr>
          <w:rFonts w:ascii="Times New Roman" w:hAnsi="Times New Roman" w:cs="Times New Roman"/>
          <w:sz w:val="24"/>
          <w:szCs w:val="24"/>
        </w:rPr>
        <w:t>相关连接件。</w:t>
      </w:r>
    </w:p>
    <w:p w14:paraId="776DCCFA">
      <w:pPr>
        <w:jc w:val="both"/>
        <w:rPr>
          <w:rFonts w:ascii="Times New Roman" w:hAnsi="Times New Roman" w:cs="Times New Roman"/>
          <w:sz w:val="24"/>
          <w:szCs w:val="24"/>
        </w:rPr>
      </w:pPr>
      <w:r>
        <w:rPr>
          <w:rFonts w:ascii="Times New Roman" w:hAnsi="Times New Roman" w:cs="Times New Roman"/>
          <w:sz w:val="24"/>
          <w:szCs w:val="24"/>
        </w:rPr>
        <w:t xml:space="preserve">4.1.1 </w:t>
      </w:r>
      <w:r>
        <w:rPr>
          <w:rFonts w:hint="eastAsia" w:ascii="Times New Roman" w:hAnsi="Times New Roman" w:cs="Times New Roman"/>
          <w:sz w:val="24"/>
          <w:szCs w:val="24"/>
        </w:rPr>
        <w:t>试车台架循环水系统：更换1套一级逆流冷却塔及外接管道。处理水量：</w:t>
      </w:r>
      <w:r>
        <w:rPr>
          <w:rFonts w:ascii="Times New Roman" w:hAnsi="Times New Roman" w:cs="Times New Roman"/>
          <w:sz w:val="24"/>
          <w:szCs w:val="24"/>
        </w:rPr>
        <w:t>1000</w:t>
      </w:r>
      <w:r>
        <w:rPr>
          <w:rFonts w:hint="eastAsia" w:ascii="Times New Roman" w:hAnsi="Times New Roman" w:cs="Times New Roman"/>
          <w:sz w:val="24"/>
          <w:szCs w:val="24"/>
        </w:rPr>
        <w:t>T/H，</w:t>
      </w:r>
      <w:r>
        <w:rPr>
          <w:rFonts w:hint="eastAsia" w:ascii="Times New Roman" w:hAnsi="Times New Roman" w:cs="Times New Roman"/>
          <w:sz w:val="24"/>
          <w:szCs w:val="24"/>
          <w:lang w:val="en-US" w:eastAsia="zh-CN"/>
        </w:rPr>
        <w:t>一级</w:t>
      </w:r>
      <w:r>
        <w:rPr>
          <w:rFonts w:hint="eastAsia" w:ascii="Times New Roman" w:hAnsi="Times New Roman" w:cs="Times New Roman"/>
          <w:sz w:val="24"/>
          <w:szCs w:val="24"/>
        </w:rPr>
        <w:t>冷却塔冷却</w:t>
      </w:r>
      <w:r>
        <w:rPr>
          <w:rFonts w:hint="eastAsia" w:ascii="Times New Roman" w:hAnsi="Times New Roman" w:cs="Times New Roman"/>
          <w:sz w:val="24"/>
          <w:szCs w:val="24"/>
          <w:lang w:val="en-US" w:eastAsia="zh-CN"/>
        </w:rPr>
        <w:t>后温度≤35℃，</w:t>
      </w:r>
      <w:r>
        <w:rPr>
          <w:rFonts w:hint="eastAsia" w:ascii="Times New Roman" w:hAnsi="Times New Roman" w:cs="Times New Roman"/>
          <w:sz w:val="24"/>
          <w:szCs w:val="24"/>
        </w:rPr>
        <w:t>冷却</w:t>
      </w:r>
      <w:r>
        <w:rPr>
          <w:rFonts w:hint="eastAsia" w:ascii="Times New Roman" w:hAnsi="Times New Roman" w:cs="Times New Roman"/>
          <w:sz w:val="24"/>
          <w:szCs w:val="24"/>
          <w:lang w:val="en-US" w:eastAsia="zh-CN"/>
        </w:rPr>
        <w:t>前后温差≥5℃</w:t>
      </w:r>
      <w:r>
        <w:rPr>
          <w:rFonts w:hint="eastAsia" w:ascii="Times New Roman" w:hAnsi="Times New Roman" w:cs="Times New Roman"/>
          <w:sz w:val="24"/>
          <w:szCs w:val="24"/>
        </w:rPr>
        <w:t>。</w:t>
      </w:r>
    </w:p>
    <w:p w14:paraId="41D02C4A">
      <w:pPr>
        <w:jc w:val="both"/>
        <w:rPr>
          <w:rFonts w:ascii="Times New Roman" w:hAnsi="Times New Roman" w:cs="Times New Roman"/>
          <w:sz w:val="24"/>
          <w:szCs w:val="24"/>
        </w:rPr>
      </w:pPr>
      <w:r>
        <w:rPr>
          <w:rFonts w:ascii="Times New Roman" w:hAnsi="Times New Roman" w:cs="Times New Roman"/>
          <w:sz w:val="24"/>
          <w:szCs w:val="24"/>
        </w:rPr>
        <w:t xml:space="preserve">4.1.2 </w:t>
      </w:r>
      <w:r>
        <w:rPr>
          <w:rFonts w:hint="eastAsia" w:ascii="Times New Roman" w:hAnsi="Times New Roman" w:cs="Times New Roman"/>
          <w:sz w:val="24"/>
          <w:szCs w:val="24"/>
        </w:rPr>
        <w:t>试车台架循环水系统：更换</w:t>
      </w:r>
      <w:r>
        <w:rPr>
          <w:rFonts w:ascii="Times New Roman" w:hAnsi="Times New Roman" w:cs="Times New Roman"/>
          <w:sz w:val="24"/>
          <w:szCs w:val="24"/>
        </w:rPr>
        <w:t>1</w:t>
      </w:r>
      <w:r>
        <w:rPr>
          <w:rFonts w:hint="eastAsia" w:ascii="Times New Roman" w:hAnsi="Times New Roman" w:cs="Times New Roman"/>
          <w:sz w:val="24"/>
          <w:szCs w:val="24"/>
        </w:rPr>
        <w:t>套二级逆流冷却塔及外接管道。处理水量：</w:t>
      </w:r>
      <w:r>
        <w:rPr>
          <w:rFonts w:ascii="Times New Roman" w:hAnsi="Times New Roman" w:cs="Times New Roman"/>
          <w:sz w:val="24"/>
          <w:szCs w:val="24"/>
        </w:rPr>
        <w:t>800</w:t>
      </w:r>
      <w:r>
        <w:rPr>
          <w:rFonts w:hint="eastAsia" w:ascii="Times New Roman" w:hAnsi="Times New Roman" w:cs="Times New Roman"/>
          <w:sz w:val="24"/>
          <w:szCs w:val="24"/>
        </w:rPr>
        <w:t>T/H，</w:t>
      </w:r>
      <w:r>
        <w:rPr>
          <w:rFonts w:hint="eastAsia" w:ascii="Times New Roman" w:hAnsi="Times New Roman" w:cs="Times New Roman"/>
          <w:sz w:val="24"/>
          <w:szCs w:val="24"/>
          <w:lang w:val="en-US" w:eastAsia="zh-CN"/>
        </w:rPr>
        <w:t>二级</w:t>
      </w:r>
      <w:r>
        <w:rPr>
          <w:rFonts w:hint="eastAsia" w:ascii="Times New Roman" w:hAnsi="Times New Roman" w:cs="Times New Roman"/>
          <w:sz w:val="24"/>
          <w:szCs w:val="24"/>
        </w:rPr>
        <w:t>冷却塔冷却</w:t>
      </w:r>
      <w:r>
        <w:rPr>
          <w:rFonts w:hint="eastAsia" w:ascii="Times New Roman" w:hAnsi="Times New Roman" w:cs="Times New Roman"/>
          <w:sz w:val="24"/>
          <w:szCs w:val="24"/>
          <w:lang w:val="en-US" w:eastAsia="zh-CN"/>
        </w:rPr>
        <w:t>后温度≤32℃，</w:t>
      </w:r>
      <w:r>
        <w:rPr>
          <w:rFonts w:hint="eastAsia" w:ascii="Times New Roman" w:hAnsi="Times New Roman" w:cs="Times New Roman"/>
          <w:sz w:val="24"/>
          <w:szCs w:val="24"/>
        </w:rPr>
        <w:t>冷却</w:t>
      </w:r>
      <w:r>
        <w:rPr>
          <w:rFonts w:hint="eastAsia" w:ascii="Times New Roman" w:hAnsi="Times New Roman" w:cs="Times New Roman"/>
          <w:sz w:val="24"/>
          <w:szCs w:val="24"/>
          <w:lang w:val="en-US" w:eastAsia="zh-CN"/>
        </w:rPr>
        <w:t>前后温差≥3℃</w:t>
      </w:r>
      <w:r>
        <w:rPr>
          <w:rFonts w:hint="eastAsia" w:ascii="Times New Roman" w:hAnsi="Times New Roman" w:cs="Times New Roman"/>
          <w:sz w:val="24"/>
          <w:szCs w:val="24"/>
        </w:rPr>
        <w:t>。</w:t>
      </w:r>
    </w:p>
    <w:p w14:paraId="21385087">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.2 第二部分：</w:t>
      </w:r>
      <w:r>
        <w:rPr>
          <w:rFonts w:hint="eastAsia" w:ascii="Times New Roman" w:hAnsi="Times New Roman" w:cs="Times New Roman"/>
          <w:sz w:val="24"/>
          <w:szCs w:val="24"/>
        </w:rPr>
        <w:t>产品的</w:t>
      </w:r>
      <w:r>
        <w:rPr>
          <w:rFonts w:ascii="Times New Roman" w:hAnsi="Times New Roman" w:cs="Times New Roman"/>
          <w:sz w:val="24"/>
          <w:szCs w:val="24"/>
        </w:rPr>
        <w:t>技术参数</w:t>
      </w:r>
    </w:p>
    <w:p w14:paraId="44D4CD88">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更新冷却塔</w:t>
      </w:r>
      <w:r>
        <w:rPr>
          <w:rFonts w:ascii="Times New Roman" w:hAnsi="Times New Roman" w:cs="Times New Roman"/>
          <w:sz w:val="24"/>
          <w:szCs w:val="24"/>
        </w:rPr>
        <w:t>、管道</w:t>
      </w:r>
      <w:r>
        <w:rPr>
          <w:rFonts w:hint="eastAsia" w:ascii="Times New Roman" w:hAnsi="Times New Roman" w:cs="Times New Roman"/>
          <w:sz w:val="24"/>
          <w:szCs w:val="24"/>
        </w:rPr>
        <w:t>、电控系统及</w:t>
      </w:r>
      <w:r>
        <w:rPr>
          <w:rFonts w:ascii="Times New Roman" w:hAnsi="Times New Roman" w:cs="Times New Roman"/>
          <w:sz w:val="24"/>
          <w:szCs w:val="24"/>
        </w:rPr>
        <w:t>相关连接件</w:t>
      </w:r>
      <w:r>
        <w:rPr>
          <w:rFonts w:hint="eastAsia" w:ascii="Times New Roman" w:hAnsi="Times New Roman" w:cs="Times New Roman"/>
          <w:sz w:val="24"/>
          <w:szCs w:val="24"/>
        </w:rPr>
        <w:t>，具体要求如下：</w:t>
      </w:r>
    </w:p>
    <w:p w14:paraId="362A0F95">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.2.1 设备须有可靠的安全性，符合ISO安全标准、CE安全标准。</w:t>
      </w:r>
    </w:p>
    <w:p w14:paraId="1E0EE9C9">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.2.2 </w:t>
      </w:r>
      <w:r>
        <w:rPr>
          <w:rFonts w:hint="eastAsia" w:ascii="Times New Roman" w:hAnsi="Times New Roman" w:cs="Times New Roman"/>
          <w:sz w:val="24"/>
          <w:szCs w:val="24"/>
        </w:rPr>
        <w:t>本项目涉及的各类设备零部件，优先选用国标件，如使用非标零部件需</w:t>
      </w:r>
      <w:r>
        <w:rPr>
          <w:rFonts w:ascii="Times New Roman" w:hAnsi="Times New Roman" w:cs="Times New Roman"/>
          <w:sz w:val="24"/>
          <w:szCs w:val="24"/>
        </w:rPr>
        <w:t>在投标文件中予以标明。</w:t>
      </w:r>
    </w:p>
    <w:p w14:paraId="0F6A2404">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.2.3 </w:t>
      </w:r>
      <w:r>
        <w:rPr>
          <w:rFonts w:hint="eastAsia" w:ascii="Times New Roman" w:hAnsi="Times New Roman" w:cs="Times New Roman"/>
          <w:sz w:val="24"/>
          <w:szCs w:val="24"/>
        </w:rPr>
        <w:t>冷却塔材质要求</w:t>
      </w:r>
    </w:p>
    <w:p w14:paraId="00B27B70">
      <w:pPr>
        <w:ind w:firstLine="480" w:firstLineChars="200"/>
        <w:jc w:val="both"/>
        <w:rPr>
          <w:rFonts w:ascii="Times New Roman" w:hAnsi="Times New Roman" w:cs="Times New Roman"/>
          <w:sz w:val="24"/>
          <w:szCs w:val="24"/>
        </w:rPr>
      </w:pPr>
      <w:r>
        <w:rPr>
          <w:rFonts w:ascii="Times New Roman" w:hAnsi="Times New Roman" w:cs="Times New Roman"/>
          <w:sz w:val="24"/>
          <w:szCs w:val="24"/>
        </w:rPr>
        <w:t>1）冷却塔内部金属管道、钢支架采用Q235A热浸镀锌材质；</w:t>
      </w:r>
    </w:p>
    <w:p w14:paraId="6CD0E638">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）面板采用玻璃钢材质；</w:t>
      </w:r>
    </w:p>
    <w:p w14:paraId="5DAA10C4">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）填料使用</w:t>
      </w:r>
      <w:r>
        <w:rPr>
          <w:rFonts w:hint="eastAsia" w:ascii="Times New Roman" w:hAnsi="Times New Roman" w:cs="Times New Roman"/>
          <w:sz w:val="24"/>
          <w:szCs w:val="24"/>
        </w:rPr>
        <w:t>马力高效型</w:t>
      </w:r>
      <w:r>
        <w:rPr>
          <w:rFonts w:ascii="Times New Roman" w:hAnsi="Times New Roman" w:cs="Times New Roman"/>
          <w:sz w:val="24"/>
          <w:szCs w:val="24"/>
        </w:rPr>
        <w:t>PVC 材质；</w:t>
      </w:r>
    </w:p>
    <w:p w14:paraId="7FDB8E80">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）进风百叶使用镀镁铝锌钢材质。</w:t>
      </w:r>
    </w:p>
    <w:p w14:paraId="7AC83139">
      <w:pPr>
        <w:jc w:val="both"/>
        <w:rPr>
          <w:rFonts w:ascii="Times New Roman" w:hAnsi="Times New Roman" w:cs="Times New Roman"/>
          <w:sz w:val="24"/>
          <w:szCs w:val="24"/>
        </w:rPr>
      </w:pPr>
      <w:r>
        <w:rPr>
          <w:rFonts w:ascii="Times New Roman" w:hAnsi="Times New Roman" w:cs="Times New Roman"/>
          <w:sz w:val="24"/>
          <w:szCs w:val="24"/>
        </w:rPr>
        <w:t xml:space="preserve">4.2.4 </w:t>
      </w:r>
      <w:r>
        <w:rPr>
          <w:rFonts w:hint="eastAsia" w:ascii="Times New Roman" w:hAnsi="Times New Roman" w:cs="Times New Roman"/>
          <w:sz w:val="24"/>
          <w:szCs w:val="24"/>
        </w:rPr>
        <w:t>冷却塔管道的技术要求</w:t>
      </w:r>
    </w:p>
    <w:p w14:paraId="6DE9E62E">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1）冷却塔外接管：材质</w:t>
      </w:r>
      <w:r>
        <w:rPr>
          <w:rFonts w:ascii="Times New Roman" w:hAnsi="Times New Roman" w:cs="Times New Roman"/>
          <w:sz w:val="24"/>
          <w:szCs w:val="24"/>
        </w:rPr>
        <w:t>采用Q235A热浸镀锌材质；</w:t>
      </w:r>
      <w:r>
        <w:rPr>
          <w:rFonts w:hint="eastAsia" w:ascii="Times New Roman" w:hAnsi="Times New Roman" w:cs="Times New Roman"/>
          <w:sz w:val="24"/>
          <w:szCs w:val="24"/>
        </w:rPr>
        <w:t>管道直径：</w:t>
      </w:r>
      <w:r>
        <w:rPr>
          <w:rFonts w:ascii="Times New Roman" w:hAnsi="Times New Roman" w:cs="Times New Roman"/>
          <w:sz w:val="24"/>
          <w:szCs w:val="24"/>
        </w:rPr>
        <w:t>DN400</w:t>
      </w:r>
      <w:r>
        <w:rPr>
          <w:rFonts w:hint="eastAsia" w:ascii="Times New Roman" w:hAnsi="Times New Roman" w:cs="Times New Roman"/>
          <w:sz w:val="24"/>
          <w:szCs w:val="24"/>
        </w:rPr>
        <w:t>；</w:t>
      </w:r>
    </w:p>
    <w:p w14:paraId="4C034874">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2）分流管路需配套安装手动涡轮</w:t>
      </w:r>
      <w:r>
        <w:rPr>
          <w:rFonts w:hint="eastAsia" w:ascii="Times New Roman" w:hAnsi="Times New Roman" w:cs="Times New Roman"/>
          <w:sz w:val="24"/>
          <w:szCs w:val="24"/>
          <w:lang w:val="en-US" w:eastAsia="zh-CN"/>
        </w:rPr>
        <w:t>碟</w:t>
      </w:r>
      <w:r>
        <w:rPr>
          <w:rFonts w:hint="eastAsia" w:ascii="Times New Roman" w:hAnsi="Times New Roman" w:cs="Times New Roman"/>
          <w:sz w:val="24"/>
          <w:szCs w:val="24"/>
        </w:rPr>
        <w:t>阀，阀门上端安装挡雨棚</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挡雨棚材料为不锈钢材质，面积≥1㎡，安装位置需方便操作</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w:t>
      </w:r>
    </w:p>
    <w:p w14:paraId="18C6591E">
      <w:pPr>
        <w:jc w:val="both"/>
        <w:rPr>
          <w:rFonts w:ascii="Times New Roman" w:hAnsi="Times New Roman" w:cs="Times New Roman"/>
          <w:sz w:val="24"/>
          <w:szCs w:val="24"/>
        </w:rPr>
      </w:pPr>
      <w:r>
        <w:rPr>
          <w:rFonts w:ascii="Times New Roman" w:hAnsi="Times New Roman" w:cs="Times New Roman"/>
          <w:sz w:val="24"/>
          <w:szCs w:val="24"/>
        </w:rPr>
        <w:t xml:space="preserve">4.2.5 </w:t>
      </w:r>
      <w:r>
        <w:rPr>
          <w:rFonts w:hint="eastAsia" w:ascii="Times New Roman" w:hAnsi="Times New Roman" w:cs="Times New Roman"/>
          <w:sz w:val="24"/>
          <w:szCs w:val="24"/>
        </w:rPr>
        <w:t>电控系统要求</w:t>
      </w:r>
    </w:p>
    <w:p w14:paraId="13B0266B">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采用4~</w:t>
      </w:r>
      <w:r>
        <w:rPr>
          <w:rFonts w:ascii="Times New Roman" w:hAnsi="Times New Roman" w:cs="Times New Roman"/>
          <w:sz w:val="24"/>
          <w:szCs w:val="24"/>
        </w:rPr>
        <w:t>6</w:t>
      </w:r>
      <w:r>
        <w:rPr>
          <w:rFonts w:hint="eastAsia" w:ascii="Times New Roman" w:hAnsi="Times New Roman" w:cs="Times New Roman"/>
          <w:sz w:val="24"/>
          <w:szCs w:val="24"/>
        </w:rPr>
        <w:t>台E</w:t>
      </w:r>
      <w:r>
        <w:rPr>
          <w:rFonts w:ascii="Times New Roman" w:hAnsi="Times New Roman" w:cs="Times New Roman"/>
          <w:sz w:val="24"/>
          <w:szCs w:val="24"/>
        </w:rPr>
        <w:t>C</w:t>
      </w:r>
      <w:r>
        <w:rPr>
          <w:rFonts w:hint="eastAsia" w:ascii="Times New Roman" w:hAnsi="Times New Roman" w:cs="Times New Roman"/>
          <w:sz w:val="24"/>
          <w:szCs w:val="24"/>
        </w:rPr>
        <w:t>风机矩阵式布置，风机的品牌、型号、主要性能参数、位置布置，需在投标方案中注明；增加系统控制电气柜，基于实时参数（如出水温度、环境湿温度、流量）动态调整风机转速或启停。电气柜需包含P</w:t>
      </w:r>
      <w:r>
        <w:rPr>
          <w:rFonts w:ascii="Times New Roman" w:hAnsi="Times New Roman" w:cs="Times New Roman"/>
          <w:sz w:val="24"/>
          <w:szCs w:val="24"/>
        </w:rPr>
        <w:t>LC</w:t>
      </w:r>
      <w:r>
        <w:rPr>
          <w:rFonts w:hint="eastAsia" w:ascii="Times New Roman" w:hAnsi="Times New Roman" w:cs="Times New Roman"/>
          <w:sz w:val="24"/>
          <w:szCs w:val="24"/>
        </w:rPr>
        <w:t>或专用控制器、变频器、H</w:t>
      </w:r>
      <w:r>
        <w:rPr>
          <w:rFonts w:ascii="Times New Roman" w:hAnsi="Times New Roman" w:cs="Times New Roman"/>
          <w:sz w:val="24"/>
          <w:szCs w:val="24"/>
        </w:rPr>
        <w:t>MI</w:t>
      </w:r>
      <w:r>
        <w:rPr>
          <w:rFonts w:hint="eastAsia" w:ascii="Times New Roman" w:hAnsi="Times New Roman" w:cs="Times New Roman"/>
          <w:sz w:val="24"/>
          <w:szCs w:val="24"/>
        </w:rPr>
        <w:t>人机界面及相关控制元件，需使用西门子或同水平的国际知名品牌。软件部分涉及权限的需完全开放。</w:t>
      </w:r>
    </w:p>
    <w:p w14:paraId="79E668E5">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.2.6 </w:t>
      </w:r>
      <w:r>
        <w:rPr>
          <w:rFonts w:hint="eastAsia" w:ascii="Times New Roman" w:hAnsi="Times New Roman" w:cs="Times New Roman"/>
          <w:sz w:val="24"/>
          <w:szCs w:val="24"/>
        </w:rPr>
        <w:t>冷却塔风机参数要求</w:t>
      </w:r>
    </w:p>
    <w:p w14:paraId="61CBE402">
      <w:pPr>
        <w:ind w:firstLine="480" w:firstLineChars="200"/>
        <w:jc w:val="both"/>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）一级冷却塔E</w:t>
      </w:r>
      <w:r>
        <w:rPr>
          <w:rFonts w:ascii="Times New Roman" w:hAnsi="Times New Roman" w:cs="Times New Roman"/>
          <w:sz w:val="24"/>
          <w:szCs w:val="24"/>
        </w:rPr>
        <w:t>C</w:t>
      </w:r>
      <w:r>
        <w:rPr>
          <w:rFonts w:hint="eastAsia" w:ascii="Times New Roman" w:hAnsi="Times New Roman" w:cs="Times New Roman"/>
          <w:sz w:val="24"/>
          <w:szCs w:val="24"/>
        </w:rPr>
        <w:t>风机要求：全铝合金机翼型；风量≥</w:t>
      </w:r>
      <w:r>
        <w:rPr>
          <w:rFonts w:ascii="Times New Roman" w:hAnsi="Times New Roman" w:cs="Times New Roman"/>
          <w:sz w:val="24"/>
          <w:szCs w:val="24"/>
        </w:rPr>
        <w:t>300</w:t>
      </w:r>
      <w:r>
        <w:rPr>
          <w:rFonts w:hint="eastAsia" w:ascii="Times New Roman" w:hAnsi="Times New Roman" w:cs="Times New Roman"/>
          <w:sz w:val="24"/>
          <w:szCs w:val="24"/>
        </w:rPr>
        <w:t>000m</w:t>
      </w:r>
      <w:r>
        <w:rPr>
          <w:rFonts w:ascii="Times New Roman" w:hAnsi="Times New Roman" w:cs="Times New Roman"/>
          <w:sz w:val="24"/>
          <w:szCs w:val="24"/>
        </w:rPr>
        <w:t>³</w:t>
      </w:r>
      <w:r>
        <w:rPr>
          <w:rFonts w:hint="eastAsia" w:ascii="Times New Roman" w:hAnsi="Times New Roman" w:cs="Times New Roman"/>
          <w:sz w:val="24"/>
          <w:szCs w:val="24"/>
        </w:rPr>
        <w:t>/h。</w:t>
      </w:r>
    </w:p>
    <w:p w14:paraId="291F202F">
      <w:pPr>
        <w:ind w:firstLine="480" w:firstLineChars="200"/>
        <w:jc w:val="both"/>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二</w:t>
      </w:r>
      <w:r>
        <w:rPr>
          <w:rFonts w:hint="eastAsia" w:ascii="Times New Roman" w:hAnsi="Times New Roman" w:cs="Times New Roman"/>
          <w:sz w:val="24"/>
          <w:szCs w:val="24"/>
        </w:rPr>
        <w:t>级冷却塔E</w:t>
      </w:r>
      <w:r>
        <w:rPr>
          <w:rFonts w:ascii="Times New Roman" w:hAnsi="Times New Roman" w:cs="Times New Roman"/>
          <w:sz w:val="24"/>
          <w:szCs w:val="24"/>
        </w:rPr>
        <w:t>C</w:t>
      </w:r>
      <w:r>
        <w:rPr>
          <w:rFonts w:hint="eastAsia" w:ascii="Times New Roman" w:hAnsi="Times New Roman" w:cs="Times New Roman"/>
          <w:sz w:val="24"/>
          <w:szCs w:val="24"/>
        </w:rPr>
        <w:t>风机要求：全铝合金机翼型；风量≥</w:t>
      </w:r>
      <w:r>
        <w:rPr>
          <w:rFonts w:ascii="Times New Roman" w:hAnsi="Times New Roman" w:cs="Times New Roman"/>
          <w:sz w:val="24"/>
          <w:szCs w:val="24"/>
        </w:rPr>
        <w:t>250</w:t>
      </w:r>
      <w:r>
        <w:rPr>
          <w:rFonts w:hint="eastAsia" w:ascii="Times New Roman" w:hAnsi="Times New Roman" w:cs="Times New Roman"/>
          <w:sz w:val="24"/>
          <w:szCs w:val="24"/>
        </w:rPr>
        <w:t>000m</w:t>
      </w:r>
      <w:r>
        <w:rPr>
          <w:rFonts w:ascii="Times New Roman" w:hAnsi="Times New Roman" w:cs="Times New Roman"/>
          <w:sz w:val="24"/>
          <w:szCs w:val="24"/>
        </w:rPr>
        <w:t>³</w:t>
      </w:r>
      <w:r>
        <w:rPr>
          <w:rFonts w:hint="eastAsia" w:ascii="Times New Roman" w:hAnsi="Times New Roman" w:cs="Times New Roman"/>
          <w:sz w:val="24"/>
          <w:szCs w:val="24"/>
        </w:rPr>
        <w:t>/h。</w:t>
      </w:r>
    </w:p>
    <w:p w14:paraId="049B22BB">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.2.7</w:t>
      </w:r>
      <w:r>
        <w:rPr>
          <w:rFonts w:hint="eastAsia" w:ascii="Times New Roman" w:hAnsi="Times New Roman" w:cs="Times New Roman"/>
          <w:sz w:val="24"/>
          <w:szCs w:val="24"/>
        </w:rPr>
        <w:t>冷却塔上方设置检修平台、防护栏（高</w:t>
      </w:r>
      <w:r>
        <w:rPr>
          <w:rFonts w:ascii="Times New Roman" w:hAnsi="Times New Roman" w:cs="Times New Roman"/>
          <w:sz w:val="24"/>
          <w:szCs w:val="24"/>
        </w:rPr>
        <w:t>1.2M，底部外围安装高100mm踢脚板）、爬梯(含防护笼、防护门板加锁，5条加强竖条固定防护)，平台及爬梯粉刷黄色警示漆，便于人员检修。</w:t>
      </w:r>
    </w:p>
    <w:p w14:paraId="4F0F6402">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.3 第</w:t>
      </w:r>
      <w:r>
        <w:rPr>
          <w:rFonts w:hint="eastAsia" w:ascii="Times New Roman" w:hAnsi="Times New Roman" w:cs="Times New Roman"/>
          <w:sz w:val="24"/>
          <w:szCs w:val="24"/>
        </w:rPr>
        <w:t>三</w:t>
      </w:r>
      <w:r>
        <w:rPr>
          <w:rFonts w:ascii="Times New Roman" w:hAnsi="Times New Roman" w:cs="Times New Roman"/>
          <w:sz w:val="24"/>
          <w:szCs w:val="24"/>
        </w:rPr>
        <w:t>部分：</w:t>
      </w:r>
      <w:r>
        <w:rPr>
          <w:rFonts w:hint="eastAsia" w:ascii="Times New Roman" w:hAnsi="Times New Roman" w:cs="Times New Roman"/>
          <w:sz w:val="24"/>
          <w:szCs w:val="24"/>
        </w:rPr>
        <w:t>其他</w:t>
      </w:r>
      <w:r>
        <w:rPr>
          <w:rFonts w:ascii="Times New Roman" w:hAnsi="Times New Roman" w:cs="Times New Roman"/>
          <w:sz w:val="24"/>
          <w:szCs w:val="24"/>
        </w:rPr>
        <w:t>技术参数</w:t>
      </w:r>
    </w:p>
    <w:p w14:paraId="18E9824A">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.3.1 </w:t>
      </w:r>
      <w:r>
        <w:rPr>
          <w:rFonts w:hint="eastAsia" w:ascii="Times New Roman" w:hAnsi="Times New Roman" w:cs="Times New Roman"/>
          <w:sz w:val="24"/>
          <w:szCs w:val="24"/>
        </w:rPr>
        <w:t>本项目的拆除、安装作业均由投标方负责，因本项目包含登高作业、动火作业、吊装作业等工作内容，作业人员需满足作业要求，对拆除后的废料及作业垃圾由拟投标方回收清理。</w:t>
      </w:r>
    </w:p>
    <w:p w14:paraId="05F608B5">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.3.2 </w:t>
      </w:r>
      <w:r>
        <w:rPr>
          <w:rFonts w:hint="eastAsia" w:ascii="Times New Roman" w:hAnsi="Times New Roman" w:cs="Times New Roman"/>
          <w:sz w:val="24"/>
          <w:szCs w:val="24"/>
        </w:rPr>
        <w:t>冷却塔外部管道油漆防锈面在涂漆前均进行除锈打磨等表面处理，在表面无杂质后再上油漆，油漆漆膜均匀、不堆积、漏涂、没有皱纹、气泡、掺杂混色等颜色按重汽集团《Q</w:t>
      </w:r>
      <w:r>
        <w:rPr>
          <w:rFonts w:ascii="Times New Roman" w:hAnsi="Times New Roman" w:cs="Times New Roman"/>
          <w:sz w:val="24"/>
          <w:szCs w:val="24"/>
        </w:rPr>
        <w:t>-ZZ 30070</w:t>
      </w:r>
      <w:r>
        <w:rPr>
          <w:rFonts w:hint="eastAsia" w:ascii="Times New Roman" w:hAnsi="Times New Roman" w:cs="Times New Roman"/>
          <w:sz w:val="24"/>
          <w:szCs w:val="24"/>
        </w:rPr>
        <w:t>设备设施颜色标识》标准执行。</w:t>
      </w:r>
    </w:p>
    <w:p w14:paraId="7FD5B394">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.3.3 冷却塔噪声包括冷却塔的风机和传动装置及喷淋水等所产生的综合噪声，备运转时连续噪声≤80dB(A) (距设备各装置1m位置测量)。噪声的测定方法按 GB7190.2-1997 执行。</w:t>
      </w:r>
    </w:p>
    <w:p w14:paraId="50C1FBC3">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.3.4 </w:t>
      </w:r>
      <w:r>
        <w:rPr>
          <w:rFonts w:hint="eastAsia" w:ascii="Times New Roman" w:hAnsi="Times New Roman" w:cs="Times New Roman"/>
          <w:sz w:val="24"/>
          <w:szCs w:val="24"/>
        </w:rPr>
        <w:t>设备的计量单位采用公制的中国标准或国际标准；不采用英制和已淘汰的单位制。</w:t>
      </w:r>
    </w:p>
    <w:p w14:paraId="51A13B3A">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.3.5 </w:t>
      </w:r>
      <w:r>
        <w:rPr>
          <w:rFonts w:hint="eastAsia" w:ascii="Times New Roman" w:hAnsi="Times New Roman" w:cs="Times New Roman"/>
          <w:sz w:val="24"/>
          <w:szCs w:val="24"/>
        </w:rPr>
        <w:t>因此项目为原有设备更新改造，投标方必须到现场了解设备功能，使用状况、现场作业环境，并与招标方进行技术交流，确保可以满足招标方的使用要求。</w:t>
      </w:r>
    </w:p>
    <w:p w14:paraId="2830A011">
      <w:pPr>
        <w:rPr>
          <w:rFonts w:ascii="Times New Roman" w:hAnsi="Times New Roman" w:cs="Times New Roman"/>
          <w:sz w:val="24"/>
          <w:szCs w:val="24"/>
        </w:rPr>
      </w:pPr>
      <w:r>
        <w:rPr>
          <w:rFonts w:ascii="Times New Roman" w:hAnsi="Times New Roman" w:cs="Times New Roman"/>
          <w:sz w:val="24"/>
          <w:szCs w:val="24"/>
        </w:rPr>
        <w:t>第四部分：随机技术文档</w:t>
      </w:r>
    </w:p>
    <w:p w14:paraId="02F7C082">
      <w:pPr>
        <w:rPr>
          <w:rFonts w:ascii="Times New Roman" w:hAnsi="Times New Roman" w:cs="Times New Roman"/>
          <w:sz w:val="24"/>
          <w:szCs w:val="24"/>
        </w:rPr>
      </w:pPr>
      <w:r>
        <w:rPr>
          <w:rFonts w:ascii="Times New Roman" w:hAnsi="Times New Roman" w:cs="Times New Roman"/>
          <w:sz w:val="24"/>
          <w:szCs w:val="24"/>
        </w:rPr>
        <w:t>随机技术文件包含，设备</w:t>
      </w:r>
      <w:r>
        <w:rPr>
          <w:rFonts w:hint="eastAsia" w:ascii="Times New Roman" w:hAnsi="Times New Roman" w:cs="Times New Roman"/>
          <w:sz w:val="24"/>
          <w:szCs w:val="24"/>
        </w:rPr>
        <w:t>技术资料（含软件），设备</w:t>
      </w:r>
      <w:r>
        <w:rPr>
          <w:rFonts w:ascii="Times New Roman" w:hAnsi="Times New Roman" w:cs="Times New Roman"/>
          <w:sz w:val="24"/>
          <w:szCs w:val="24"/>
        </w:rPr>
        <w:t>使用说明书，合格证，保修卡</w:t>
      </w:r>
      <w:r>
        <w:rPr>
          <w:rFonts w:hint="eastAsia" w:ascii="Times New Roman" w:hAnsi="Times New Roman" w:cs="Times New Roman"/>
          <w:sz w:val="24"/>
          <w:szCs w:val="24"/>
        </w:rPr>
        <w:t>。</w:t>
      </w:r>
    </w:p>
    <w:p w14:paraId="3EF67480">
      <w:pPr>
        <w:jc w:val="center"/>
        <w:rPr>
          <w:rFonts w:ascii="Times New Roman" w:hAnsi="Times New Roman" w:cs="Times New Roman"/>
          <w:b/>
          <w:sz w:val="28"/>
          <w:szCs w:val="24"/>
        </w:rPr>
      </w:pPr>
      <w:r>
        <w:rPr>
          <w:rFonts w:ascii="Times New Roman" w:hAnsi="Times New Roman" w:cs="Times New Roman"/>
          <w:b/>
          <w:sz w:val="28"/>
          <w:szCs w:val="24"/>
        </w:rPr>
        <w:t>第三章  供货范围及供货方式</w:t>
      </w:r>
    </w:p>
    <w:p w14:paraId="0156C7F5">
      <w:pPr>
        <w:rPr>
          <w:rFonts w:ascii="Times New Roman" w:hAnsi="Times New Roman" w:cs="Times New Roman"/>
          <w:b/>
          <w:sz w:val="24"/>
          <w:szCs w:val="24"/>
        </w:rPr>
      </w:pPr>
      <w:r>
        <w:rPr>
          <w:rFonts w:ascii="Times New Roman" w:hAnsi="Times New Roman" w:cs="Times New Roman"/>
          <w:b/>
          <w:sz w:val="24"/>
          <w:szCs w:val="24"/>
        </w:rPr>
        <w:t>第一节  供货范围</w:t>
      </w:r>
    </w:p>
    <w:p w14:paraId="1AFE8137">
      <w:pPr>
        <w:rPr>
          <w:rFonts w:ascii="Times New Roman" w:hAnsi="Times New Roman" w:cs="Times New Roman"/>
          <w:sz w:val="24"/>
          <w:szCs w:val="24"/>
        </w:rPr>
      </w:pPr>
      <w:r>
        <w:rPr>
          <w:rFonts w:ascii="Times New Roman" w:hAnsi="Times New Roman" w:cs="Times New Roman"/>
          <w:b/>
          <w:sz w:val="24"/>
          <w:szCs w:val="24"/>
        </w:rPr>
        <w:t>一、供货范围</w:t>
      </w:r>
      <w:r>
        <w:rPr>
          <w:rFonts w:ascii="Times New Roman" w:hAnsi="Times New Roman" w:cs="Times New Roman"/>
          <w:sz w:val="24"/>
          <w:szCs w:val="24"/>
        </w:rPr>
        <w:t>（按照组成项目主要构成一览表的所有最小单元逐一列示，要涵盖培训等内容）</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4"/>
        <w:gridCol w:w="1643"/>
        <w:gridCol w:w="5550"/>
        <w:gridCol w:w="658"/>
        <w:gridCol w:w="658"/>
      </w:tblGrid>
      <w:tr w14:paraId="4A83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55959694">
            <w:pPr>
              <w:jc w:val="center"/>
              <w:rPr>
                <w:rFonts w:ascii="Times New Roman" w:hAnsi="Times New Roman" w:cs="Times New Roman"/>
                <w:sz w:val="24"/>
                <w:szCs w:val="24"/>
              </w:rPr>
            </w:pPr>
            <w:r>
              <w:rPr>
                <w:rFonts w:ascii="Times New Roman" w:hAnsi="Times New Roman" w:cs="Times New Roman"/>
                <w:sz w:val="24"/>
                <w:szCs w:val="24"/>
              </w:rPr>
              <w:t>序号</w:t>
            </w:r>
          </w:p>
        </w:tc>
        <w:tc>
          <w:tcPr>
            <w:tcW w:w="901" w:type="pct"/>
            <w:vAlign w:val="center"/>
          </w:tcPr>
          <w:p w14:paraId="7F0C88CE">
            <w:pPr>
              <w:jc w:val="center"/>
              <w:rPr>
                <w:rFonts w:ascii="Times New Roman" w:hAnsi="Times New Roman" w:cs="Times New Roman"/>
                <w:sz w:val="24"/>
                <w:szCs w:val="24"/>
              </w:rPr>
            </w:pPr>
            <w:r>
              <w:rPr>
                <w:rFonts w:ascii="Times New Roman" w:hAnsi="Times New Roman" w:cs="Times New Roman"/>
                <w:sz w:val="24"/>
                <w:szCs w:val="24"/>
              </w:rPr>
              <w:t>名称</w:t>
            </w:r>
          </w:p>
        </w:tc>
        <w:tc>
          <w:tcPr>
            <w:tcW w:w="3046" w:type="pct"/>
            <w:vAlign w:val="center"/>
          </w:tcPr>
          <w:p w14:paraId="55076E54">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val="en-US" w:eastAsia="zh-CN"/>
              </w:rPr>
              <w:t>主要构成</w:t>
            </w:r>
          </w:p>
        </w:tc>
        <w:tc>
          <w:tcPr>
            <w:tcW w:w="361" w:type="pct"/>
            <w:vAlign w:val="center"/>
          </w:tcPr>
          <w:p w14:paraId="24A4804F">
            <w:pPr>
              <w:jc w:val="center"/>
              <w:rPr>
                <w:rFonts w:ascii="Times New Roman" w:hAnsi="Times New Roman" w:cs="Times New Roman"/>
                <w:sz w:val="24"/>
                <w:szCs w:val="24"/>
              </w:rPr>
            </w:pPr>
            <w:r>
              <w:rPr>
                <w:rFonts w:ascii="Times New Roman" w:hAnsi="Times New Roman" w:cs="Times New Roman"/>
                <w:sz w:val="24"/>
                <w:szCs w:val="24"/>
              </w:rPr>
              <w:t>数量</w:t>
            </w:r>
          </w:p>
        </w:tc>
        <w:tc>
          <w:tcPr>
            <w:tcW w:w="361" w:type="pct"/>
            <w:vAlign w:val="center"/>
          </w:tcPr>
          <w:p w14:paraId="4C4B18DA">
            <w:pPr>
              <w:jc w:val="center"/>
              <w:rPr>
                <w:rFonts w:ascii="Times New Roman" w:hAnsi="Times New Roman" w:cs="Times New Roman"/>
                <w:sz w:val="24"/>
                <w:szCs w:val="24"/>
              </w:rPr>
            </w:pPr>
            <w:r>
              <w:rPr>
                <w:rFonts w:hint="eastAsia" w:ascii="Times New Roman" w:hAnsi="Times New Roman" w:cs="Times New Roman"/>
                <w:sz w:val="24"/>
                <w:szCs w:val="24"/>
              </w:rPr>
              <w:t>单位</w:t>
            </w:r>
          </w:p>
        </w:tc>
      </w:tr>
      <w:tr w14:paraId="178D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67CC88AD">
            <w:pPr>
              <w:jc w:val="center"/>
              <w:rPr>
                <w:rFonts w:ascii="Times New Roman" w:hAnsi="Times New Roman" w:cs="Times New Roman"/>
                <w:sz w:val="24"/>
                <w:szCs w:val="24"/>
              </w:rPr>
            </w:pPr>
            <w:r>
              <w:rPr>
                <w:rFonts w:ascii="Times New Roman" w:hAnsi="Times New Roman" w:cs="Times New Roman"/>
                <w:sz w:val="24"/>
                <w:szCs w:val="24"/>
              </w:rPr>
              <w:t>1</w:t>
            </w:r>
          </w:p>
        </w:tc>
        <w:tc>
          <w:tcPr>
            <w:tcW w:w="901" w:type="pct"/>
            <w:vAlign w:val="center"/>
          </w:tcPr>
          <w:p w14:paraId="22A5C9FE">
            <w:pPr>
              <w:rPr>
                <w:rFonts w:ascii="Times New Roman" w:hAnsi="Times New Roman" w:cs="Times New Roman"/>
                <w:sz w:val="24"/>
                <w:szCs w:val="24"/>
              </w:rPr>
            </w:pPr>
            <w:r>
              <w:rPr>
                <w:rFonts w:hint="eastAsia" w:ascii="Times New Roman" w:hAnsi="Times New Roman" w:cs="Times New Roman"/>
                <w:sz w:val="24"/>
                <w:szCs w:val="24"/>
              </w:rPr>
              <w:t>一级逆流冷却塔</w:t>
            </w:r>
            <w:r>
              <w:rPr>
                <w:rFonts w:ascii="Times New Roman" w:hAnsi="Times New Roman" w:cs="Times New Roman"/>
                <w:sz w:val="24"/>
                <w:szCs w:val="24"/>
              </w:rPr>
              <w:t>-1000T/h</w:t>
            </w:r>
          </w:p>
        </w:tc>
        <w:tc>
          <w:tcPr>
            <w:tcW w:w="3046" w:type="pct"/>
            <w:vAlign w:val="center"/>
          </w:tcPr>
          <w:p w14:paraId="599ACF44">
            <w:pPr>
              <w:rPr>
                <w:rFonts w:ascii="Times New Roman" w:hAnsi="Times New Roman" w:cs="Times New Roman"/>
                <w:sz w:val="24"/>
                <w:szCs w:val="24"/>
              </w:rPr>
            </w:pPr>
            <w:r>
              <w:rPr>
                <w:rFonts w:hint="eastAsia" w:ascii="Times New Roman" w:hAnsi="Times New Roman" w:cs="Times New Roman"/>
                <w:sz w:val="24"/>
                <w:szCs w:val="24"/>
              </w:rPr>
              <w:t>风筒、EC风机、电机、风罩、传动支架、塔顶平台板、扶梯、扶栏、配水系统、喷嘴、收水器、淋水填料、粘接剂、侧板、钢支架、进风窗、底盘、集水坑</w:t>
            </w:r>
          </w:p>
        </w:tc>
        <w:tc>
          <w:tcPr>
            <w:tcW w:w="361" w:type="pct"/>
            <w:vAlign w:val="center"/>
          </w:tcPr>
          <w:p w14:paraId="0B304A4E">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68E81C50">
            <w:pPr>
              <w:rPr>
                <w:rFonts w:ascii="Times New Roman" w:hAnsi="Times New Roman" w:cs="Times New Roman"/>
                <w:sz w:val="24"/>
                <w:szCs w:val="24"/>
              </w:rPr>
            </w:pPr>
            <w:r>
              <w:rPr>
                <w:rFonts w:hint="eastAsia" w:ascii="Times New Roman" w:hAnsi="Times New Roman" w:cs="Times New Roman"/>
                <w:sz w:val="24"/>
                <w:szCs w:val="24"/>
              </w:rPr>
              <w:t>套</w:t>
            </w:r>
          </w:p>
        </w:tc>
      </w:tr>
      <w:tr w14:paraId="16D5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CA653B0">
            <w:pPr>
              <w:jc w:val="center"/>
              <w:rPr>
                <w:rFonts w:ascii="Times New Roman" w:hAnsi="Times New Roman" w:cs="Times New Roman"/>
                <w:sz w:val="24"/>
                <w:szCs w:val="24"/>
              </w:rPr>
            </w:pPr>
            <w:r>
              <w:rPr>
                <w:rFonts w:ascii="Times New Roman" w:hAnsi="Times New Roman" w:cs="Times New Roman"/>
                <w:sz w:val="24"/>
                <w:szCs w:val="24"/>
              </w:rPr>
              <w:t>2</w:t>
            </w:r>
          </w:p>
        </w:tc>
        <w:tc>
          <w:tcPr>
            <w:tcW w:w="901" w:type="pct"/>
            <w:vAlign w:val="center"/>
          </w:tcPr>
          <w:p w14:paraId="1229C394">
            <w:pPr>
              <w:rPr>
                <w:rFonts w:ascii="Times New Roman" w:hAnsi="Times New Roman" w:cs="Times New Roman"/>
                <w:sz w:val="24"/>
                <w:szCs w:val="24"/>
              </w:rPr>
            </w:pPr>
            <w:r>
              <w:rPr>
                <w:rFonts w:hint="eastAsia" w:ascii="Times New Roman" w:hAnsi="Times New Roman" w:cs="Times New Roman"/>
                <w:sz w:val="24"/>
                <w:szCs w:val="24"/>
              </w:rPr>
              <w:t>二级逆流冷却塔</w:t>
            </w:r>
            <w:r>
              <w:rPr>
                <w:rFonts w:ascii="Times New Roman" w:hAnsi="Times New Roman" w:cs="Times New Roman"/>
                <w:sz w:val="24"/>
                <w:szCs w:val="24"/>
              </w:rPr>
              <w:t>-800T/h</w:t>
            </w:r>
          </w:p>
        </w:tc>
        <w:tc>
          <w:tcPr>
            <w:tcW w:w="3046" w:type="pct"/>
            <w:vAlign w:val="center"/>
          </w:tcPr>
          <w:p w14:paraId="015E9357">
            <w:pPr>
              <w:rPr>
                <w:rFonts w:ascii="Times New Roman" w:hAnsi="Times New Roman" w:cs="Times New Roman"/>
                <w:sz w:val="24"/>
                <w:szCs w:val="24"/>
              </w:rPr>
            </w:pPr>
            <w:r>
              <w:rPr>
                <w:rFonts w:hint="eastAsia" w:ascii="Times New Roman" w:hAnsi="Times New Roman" w:cs="Times New Roman"/>
                <w:sz w:val="24"/>
                <w:szCs w:val="24"/>
              </w:rPr>
              <w:t>风筒、EC风机、电机、风罩、传动支架、塔顶平台板、扶梯、扶栏、配水系统、喷嘴、收水器、淋水填料、粘接剂、侧板、钢支架、进风窗、底盘、集水坑</w:t>
            </w:r>
          </w:p>
        </w:tc>
        <w:tc>
          <w:tcPr>
            <w:tcW w:w="361" w:type="pct"/>
            <w:vAlign w:val="center"/>
          </w:tcPr>
          <w:p w14:paraId="42573E67">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5FFDBC2C">
            <w:pPr>
              <w:rPr>
                <w:rFonts w:ascii="Times New Roman" w:hAnsi="Times New Roman" w:cs="Times New Roman"/>
                <w:sz w:val="24"/>
                <w:szCs w:val="24"/>
              </w:rPr>
            </w:pPr>
            <w:r>
              <w:rPr>
                <w:rFonts w:hint="eastAsia" w:ascii="Times New Roman" w:hAnsi="Times New Roman" w:cs="Times New Roman"/>
                <w:sz w:val="24"/>
                <w:szCs w:val="24"/>
              </w:rPr>
              <w:t>套</w:t>
            </w:r>
          </w:p>
        </w:tc>
      </w:tr>
      <w:tr w14:paraId="3703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311E34F8">
            <w:pPr>
              <w:jc w:val="center"/>
              <w:rPr>
                <w:rFonts w:ascii="Times New Roman" w:hAnsi="Times New Roman" w:cs="Times New Roman"/>
                <w:sz w:val="24"/>
                <w:szCs w:val="24"/>
              </w:rPr>
            </w:pPr>
            <w:r>
              <w:rPr>
                <w:rFonts w:ascii="Times New Roman" w:hAnsi="Times New Roman" w:cs="Times New Roman"/>
                <w:sz w:val="24"/>
                <w:szCs w:val="24"/>
              </w:rPr>
              <w:t>3</w:t>
            </w:r>
          </w:p>
        </w:tc>
        <w:tc>
          <w:tcPr>
            <w:tcW w:w="901" w:type="pct"/>
            <w:vAlign w:val="center"/>
          </w:tcPr>
          <w:p w14:paraId="7E3D6AFF">
            <w:pPr>
              <w:rPr>
                <w:rFonts w:ascii="Times New Roman" w:hAnsi="Times New Roman" w:cs="Times New Roman"/>
                <w:sz w:val="24"/>
                <w:szCs w:val="24"/>
              </w:rPr>
            </w:pPr>
            <w:r>
              <w:rPr>
                <w:rFonts w:hint="eastAsia" w:ascii="Times New Roman" w:hAnsi="Times New Roman" w:cs="Times New Roman"/>
                <w:sz w:val="24"/>
                <w:szCs w:val="24"/>
              </w:rPr>
              <w:t>冷却塔管道</w:t>
            </w:r>
          </w:p>
        </w:tc>
        <w:tc>
          <w:tcPr>
            <w:tcW w:w="3046" w:type="pct"/>
            <w:vAlign w:val="center"/>
          </w:tcPr>
          <w:p w14:paraId="12ECA0DD">
            <w:pPr>
              <w:rPr>
                <w:rFonts w:ascii="Times New Roman" w:hAnsi="Times New Roman" w:cs="Times New Roman"/>
                <w:sz w:val="24"/>
                <w:szCs w:val="24"/>
              </w:rPr>
            </w:pPr>
            <w:r>
              <w:rPr>
                <w:rFonts w:hint="eastAsia" w:ascii="Times New Roman" w:hAnsi="Times New Roman" w:cs="Times New Roman"/>
                <w:sz w:val="24"/>
                <w:szCs w:val="24"/>
              </w:rPr>
              <w:t>试车循环水一二级冷却塔配套管路</w:t>
            </w:r>
          </w:p>
        </w:tc>
        <w:tc>
          <w:tcPr>
            <w:tcW w:w="361" w:type="pct"/>
            <w:vAlign w:val="center"/>
          </w:tcPr>
          <w:p w14:paraId="3C3AD40C">
            <w:pPr>
              <w:rPr>
                <w:rFonts w:ascii="Times New Roman" w:hAnsi="Times New Roman" w:cs="Times New Roman"/>
                <w:sz w:val="24"/>
                <w:szCs w:val="24"/>
              </w:rPr>
            </w:pPr>
            <w:r>
              <w:rPr>
                <w:rFonts w:ascii="Times New Roman" w:hAnsi="Times New Roman" w:cs="Times New Roman"/>
                <w:sz w:val="24"/>
                <w:szCs w:val="24"/>
              </w:rPr>
              <w:t>2</w:t>
            </w:r>
          </w:p>
        </w:tc>
        <w:tc>
          <w:tcPr>
            <w:tcW w:w="361" w:type="pct"/>
            <w:vAlign w:val="center"/>
          </w:tcPr>
          <w:p w14:paraId="2683CADC">
            <w:pPr>
              <w:rPr>
                <w:rFonts w:ascii="Times New Roman" w:hAnsi="Times New Roman" w:cs="Times New Roman"/>
                <w:sz w:val="24"/>
                <w:szCs w:val="24"/>
              </w:rPr>
            </w:pPr>
            <w:r>
              <w:rPr>
                <w:rFonts w:hint="eastAsia" w:ascii="Times New Roman" w:hAnsi="Times New Roman" w:cs="Times New Roman"/>
                <w:sz w:val="24"/>
                <w:szCs w:val="24"/>
              </w:rPr>
              <w:t>套</w:t>
            </w:r>
          </w:p>
        </w:tc>
      </w:tr>
      <w:tr w14:paraId="1806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57C582E1">
            <w:pPr>
              <w:jc w:val="center"/>
              <w:rPr>
                <w:rFonts w:ascii="Times New Roman" w:hAnsi="Times New Roman" w:cs="Times New Roman"/>
                <w:sz w:val="24"/>
                <w:szCs w:val="24"/>
              </w:rPr>
            </w:pPr>
            <w:r>
              <w:rPr>
                <w:rFonts w:ascii="Times New Roman" w:hAnsi="Times New Roman" w:cs="Times New Roman"/>
                <w:sz w:val="24"/>
                <w:szCs w:val="24"/>
              </w:rPr>
              <w:t>4</w:t>
            </w:r>
          </w:p>
        </w:tc>
        <w:tc>
          <w:tcPr>
            <w:tcW w:w="901" w:type="pct"/>
            <w:vAlign w:val="center"/>
          </w:tcPr>
          <w:p w14:paraId="5FA485DC">
            <w:pPr>
              <w:rPr>
                <w:rFonts w:ascii="Times New Roman" w:hAnsi="Times New Roman" w:cs="Times New Roman"/>
                <w:sz w:val="24"/>
                <w:szCs w:val="24"/>
              </w:rPr>
            </w:pPr>
            <w:r>
              <w:rPr>
                <w:rFonts w:hint="eastAsia" w:ascii="Times New Roman" w:hAnsi="Times New Roman" w:cs="Times New Roman"/>
                <w:sz w:val="24"/>
                <w:szCs w:val="24"/>
              </w:rPr>
              <w:t>电控系统</w:t>
            </w:r>
          </w:p>
        </w:tc>
        <w:tc>
          <w:tcPr>
            <w:tcW w:w="3046" w:type="pct"/>
            <w:vAlign w:val="center"/>
          </w:tcPr>
          <w:p w14:paraId="226DBF2F">
            <w:pPr>
              <w:rPr>
                <w:rFonts w:ascii="Times New Roman" w:hAnsi="Times New Roman" w:cs="Times New Roman"/>
                <w:sz w:val="24"/>
                <w:szCs w:val="24"/>
              </w:rPr>
            </w:pPr>
            <w:r>
              <w:rPr>
                <w:rFonts w:hint="eastAsia" w:ascii="Times New Roman" w:hAnsi="Times New Roman" w:cs="Times New Roman"/>
                <w:sz w:val="24"/>
                <w:szCs w:val="24"/>
              </w:rPr>
              <w:t>断路器、接触器、模拟量输入输出模块、变频器、控制器、H</w:t>
            </w:r>
            <w:r>
              <w:rPr>
                <w:rFonts w:ascii="Times New Roman" w:hAnsi="Times New Roman" w:cs="Times New Roman"/>
                <w:sz w:val="24"/>
                <w:szCs w:val="24"/>
              </w:rPr>
              <w:t>MI</w:t>
            </w:r>
            <w:r>
              <w:rPr>
                <w:rFonts w:hint="eastAsia" w:ascii="Times New Roman" w:hAnsi="Times New Roman" w:cs="Times New Roman"/>
                <w:sz w:val="24"/>
                <w:szCs w:val="24"/>
              </w:rPr>
              <w:t>、电控柜、电缆线、桥架</w:t>
            </w:r>
          </w:p>
        </w:tc>
        <w:tc>
          <w:tcPr>
            <w:tcW w:w="361" w:type="pct"/>
            <w:vAlign w:val="center"/>
          </w:tcPr>
          <w:p w14:paraId="0CD9617E">
            <w:pPr>
              <w:rPr>
                <w:rFonts w:ascii="Times New Roman" w:hAnsi="Times New Roman" w:cs="Times New Roman"/>
                <w:sz w:val="24"/>
                <w:szCs w:val="24"/>
              </w:rPr>
            </w:pPr>
            <w:r>
              <w:rPr>
                <w:rFonts w:hint="eastAsia" w:ascii="Times New Roman" w:hAnsi="Times New Roman" w:cs="Times New Roman"/>
                <w:sz w:val="24"/>
                <w:szCs w:val="24"/>
              </w:rPr>
              <w:t>3</w:t>
            </w:r>
          </w:p>
        </w:tc>
        <w:tc>
          <w:tcPr>
            <w:tcW w:w="361" w:type="pct"/>
            <w:vAlign w:val="center"/>
          </w:tcPr>
          <w:p w14:paraId="0FAC8A2F">
            <w:pPr>
              <w:rPr>
                <w:rFonts w:ascii="Times New Roman" w:hAnsi="Times New Roman" w:cs="Times New Roman"/>
                <w:sz w:val="24"/>
                <w:szCs w:val="24"/>
              </w:rPr>
            </w:pPr>
            <w:r>
              <w:rPr>
                <w:rFonts w:hint="eastAsia" w:ascii="Times New Roman" w:hAnsi="Times New Roman" w:cs="Times New Roman"/>
                <w:sz w:val="24"/>
                <w:szCs w:val="24"/>
              </w:rPr>
              <w:t>套</w:t>
            </w:r>
          </w:p>
        </w:tc>
      </w:tr>
      <w:tr w14:paraId="0A9A990B">
        <w:tblPrEx>
          <w:tblCellMar>
            <w:top w:w="0" w:type="dxa"/>
            <w:left w:w="23" w:type="dxa"/>
            <w:bottom w:w="0" w:type="dxa"/>
            <w:right w:w="23" w:type="dxa"/>
          </w:tblCellMar>
        </w:tblPrEx>
        <w:trPr>
          <w:jc w:val="center"/>
        </w:trPr>
        <w:tc>
          <w:tcPr>
            <w:tcW w:w="331" w:type="pct"/>
            <w:vAlign w:val="center"/>
          </w:tcPr>
          <w:p w14:paraId="717956E6">
            <w:pPr>
              <w:jc w:val="center"/>
              <w:rPr>
                <w:rFonts w:ascii="Times New Roman" w:hAnsi="Times New Roman" w:cs="Times New Roman"/>
                <w:sz w:val="24"/>
                <w:szCs w:val="24"/>
              </w:rPr>
            </w:pPr>
            <w:r>
              <w:rPr>
                <w:rFonts w:ascii="Times New Roman" w:hAnsi="Times New Roman" w:cs="Times New Roman"/>
                <w:sz w:val="24"/>
                <w:szCs w:val="24"/>
              </w:rPr>
              <w:t>5</w:t>
            </w:r>
          </w:p>
        </w:tc>
        <w:tc>
          <w:tcPr>
            <w:tcW w:w="901" w:type="pct"/>
            <w:vAlign w:val="center"/>
          </w:tcPr>
          <w:p w14:paraId="51252263">
            <w:pPr>
              <w:rPr>
                <w:rFonts w:ascii="Times New Roman" w:hAnsi="Times New Roman" w:cs="Times New Roman"/>
                <w:sz w:val="24"/>
                <w:szCs w:val="24"/>
              </w:rPr>
            </w:pPr>
            <w:r>
              <w:rPr>
                <w:rFonts w:hint="eastAsia" w:ascii="Times New Roman" w:hAnsi="Times New Roman" w:cs="Times New Roman"/>
                <w:sz w:val="24"/>
                <w:szCs w:val="24"/>
              </w:rPr>
              <w:t>运输、</w:t>
            </w:r>
            <w:r>
              <w:rPr>
                <w:rFonts w:ascii="Times New Roman" w:hAnsi="Times New Roman" w:cs="Times New Roman"/>
                <w:sz w:val="24"/>
                <w:szCs w:val="24"/>
              </w:rPr>
              <w:t>安装、调试</w:t>
            </w:r>
          </w:p>
        </w:tc>
        <w:tc>
          <w:tcPr>
            <w:tcW w:w="3046" w:type="pct"/>
            <w:vAlign w:val="center"/>
          </w:tcPr>
          <w:p w14:paraId="6BB5E973">
            <w:pPr>
              <w:rPr>
                <w:rFonts w:ascii="Times New Roman" w:hAnsi="Times New Roman" w:cs="Times New Roman"/>
                <w:sz w:val="24"/>
                <w:szCs w:val="24"/>
              </w:rPr>
            </w:pPr>
            <w:r>
              <w:rPr>
                <w:rFonts w:ascii="Times New Roman" w:hAnsi="Times New Roman" w:cs="Times New Roman"/>
                <w:sz w:val="24"/>
                <w:szCs w:val="24"/>
              </w:rPr>
              <w:t>卖方负责</w:t>
            </w:r>
            <w:r>
              <w:rPr>
                <w:rFonts w:hint="eastAsia" w:ascii="Times New Roman" w:hAnsi="Times New Roman" w:cs="Times New Roman"/>
                <w:sz w:val="24"/>
                <w:szCs w:val="24"/>
              </w:rPr>
              <w:t>设备的运输、</w:t>
            </w:r>
            <w:r>
              <w:rPr>
                <w:rFonts w:ascii="Times New Roman" w:hAnsi="Times New Roman" w:cs="Times New Roman"/>
                <w:sz w:val="24"/>
                <w:szCs w:val="24"/>
              </w:rPr>
              <w:t>安装、调试工作</w:t>
            </w:r>
          </w:p>
        </w:tc>
        <w:tc>
          <w:tcPr>
            <w:tcW w:w="361" w:type="pct"/>
            <w:vAlign w:val="center"/>
          </w:tcPr>
          <w:p w14:paraId="6E0E3A5A">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2DA250A2">
            <w:r>
              <w:rPr>
                <w:rFonts w:hint="eastAsia" w:ascii="Times New Roman" w:hAnsi="Times New Roman" w:cs="Times New Roman"/>
                <w:sz w:val="24"/>
                <w:szCs w:val="24"/>
              </w:rPr>
              <w:t>项</w:t>
            </w:r>
          </w:p>
        </w:tc>
      </w:tr>
      <w:tr w14:paraId="53EF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8" w:hRule="atLeast"/>
          <w:jc w:val="center"/>
        </w:trPr>
        <w:tc>
          <w:tcPr>
            <w:tcW w:w="331" w:type="pct"/>
            <w:vAlign w:val="center"/>
          </w:tcPr>
          <w:p w14:paraId="31B83F54">
            <w:pPr>
              <w:jc w:val="center"/>
              <w:rPr>
                <w:rFonts w:ascii="Times New Roman" w:hAnsi="Times New Roman" w:cs="Times New Roman"/>
                <w:sz w:val="24"/>
                <w:szCs w:val="24"/>
              </w:rPr>
            </w:pPr>
            <w:r>
              <w:rPr>
                <w:rFonts w:ascii="Times New Roman" w:hAnsi="Times New Roman" w:cs="Times New Roman"/>
                <w:sz w:val="24"/>
                <w:szCs w:val="24"/>
              </w:rPr>
              <w:t>6</w:t>
            </w:r>
          </w:p>
        </w:tc>
        <w:tc>
          <w:tcPr>
            <w:tcW w:w="901" w:type="pct"/>
            <w:vAlign w:val="center"/>
          </w:tcPr>
          <w:p w14:paraId="11D52623">
            <w:pPr>
              <w:rPr>
                <w:rFonts w:ascii="Times New Roman" w:hAnsi="Times New Roman" w:cs="Times New Roman"/>
                <w:sz w:val="24"/>
                <w:szCs w:val="24"/>
              </w:rPr>
            </w:pPr>
            <w:r>
              <w:rPr>
                <w:rFonts w:ascii="Times New Roman" w:hAnsi="Times New Roman" w:cs="Times New Roman"/>
                <w:sz w:val="24"/>
                <w:szCs w:val="24"/>
              </w:rPr>
              <w:t>培训</w:t>
            </w:r>
          </w:p>
        </w:tc>
        <w:tc>
          <w:tcPr>
            <w:tcW w:w="3046" w:type="pct"/>
            <w:vAlign w:val="center"/>
          </w:tcPr>
          <w:p w14:paraId="57F51985">
            <w:pPr>
              <w:rPr>
                <w:rFonts w:ascii="Times New Roman" w:hAnsi="Times New Roman" w:cs="Times New Roman"/>
                <w:sz w:val="24"/>
                <w:szCs w:val="24"/>
              </w:rPr>
            </w:pPr>
            <w:r>
              <w:rPr>
                <w:rFonts w:ascii="Times New Roman" w:hAnsi="Times New Roman" w:cs="Times New Roman"/>
                <w:sz w:val="24"/>
                <w:szCs w:val="24"/>
              </w:rPr>
              <w:t>负责对买方操作、维修人员进行培训</w:t>
            </w:r>
          </w:p>
        </w:tc>
        <w:tc>
          <w:tcPr>
            <w:tcW w:w="361" w:type="pct"/>
            <w:vAlign w:val="center"/>
          </w:tcPr>
          <w:p w14:paraId="5F2E2512">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0B29C50E">
            <w:r>
              <w:rPr>
                <w:rFonts w:hint="eastAsia" w:ascii="Times New Roman" w:hAnsi="Times New Roman" w:cs="Times New Roman"/>
                <w:sz w:val="24"/>
                <w:szCs w:val="24"/>
              </w:rPr>
              <w:t>项</w:t>
            </w:r>
          </w:p>
        </w:tc>
      </w:tr>
      <w:tr w14:paraId="285B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41" w:hRule="atLeast"/>
          <w:jc w:val="center"/>
        </w:trPr>
        <w:tc>
          <w:tcPr>
            <w:tcW w:w="331" w:type="pct"/>
            <w:vAlign w:val="center"/>
          </w:tcPr>
          <w:p w14:paraId="0F418139">
            <w:pPr>
              <w:jc w:val="center"/>
              <w:rPr>
                <w:rFonts w:ascii="Times New Roman" w:hAnsi="Times New Roman" w:cs="Times New Roman"/>
                <w:sz w:val="24"/>
                <w:szCs w:val="24"/>
              </w:rPr>
            </w:pPr>
            <w:r>
              <w:rPr>
                <w:rFonts w:ascii="Times New Roman" w:hAnsi="Times New Roman" w:cs="Times New Roman"/>
                <w:sz w:val="24"/>
                <w:szCs w:val="24"/>
              </w:rPr>
              <w:t>7</w:t>
            </w:r>
          </w:p>
        </w:tc>
        <w:tc>
          <w:tcPr>
            <w:tcW w:w="901" w:type="pct"/>
            <w:vAlign w:val="center"/>
          </w:tcPr>
          <w:p w14:paraId="4A928A9E">
            <w:pPr>
              <w:rPr>
                <w:rFonts w:ascii="Times New Roman" w:hAnsi="Times New Roman" w:cs="Times New Roman"/>
                <w:sz w:val="24"/>
                <w:szCs w:val="24"/>
              </w:rPr>
            </w:pPr>
            <w:r>
              <w:rPr>
                <w:rFonts w:hint="eastAsia" w:ascii="Times New Roman" w:hAnsi="Times New Roman" w:cs="Times New Roman"/>
                <w:sz w:val="24"/>
                <w:szCs w:val="24"/>
              </w:rPr>
              <w:t>质保、售后</w:t>
            </w:r>
          </w:p>
        </w:tc>
        <w:tc>
          <w:tcPr>
            <w:tcW w:w="3046" w:type="pct"/>
            <w:vAlign w:val="center"/>
          </w:tcPr>
          <w:p w14:paraId="5815B7B1">
            <w:pPr>
              <w:rPr>
                <w:rFonts w:ascii="Times New Roman" w:hAnsi="Times New Roman" w:cs="Times New Roman"/>
                <w:sz w:val="24"/>
                <w:szCs w:val="24"/>
              </w:rPr>
            </w:pPr>
            <w:r>
              <w:rPr>
                <w:rFonts w:hint="eastAsia" w:ascii="Times New Roman" w:hAnsi="Times New Roman" w:cs="Times New Roman"/>
                <w:sz w:val="24"/>
                <w:szCs w:val="24"/>
              </w:rPr>
              <w:t>按本招标文件第四章执行</w:t>
            </w:r>
          </w:p>
        </w:tc>
        <w:tc>
          <w:tcPr>
            <w:tcW w:w="361" w:type="pct"/>
            <w:vAlign w:val="center"/>
          </w:tcPr>
          <w:p w14:paraId="0C78B47B">
            <w:pPr>
              <w:spacing w:line="360" w:lineRule="auto"/>
              <w:rPr>
                <w:rFonts w:ascii="Times New Roman" w:hAnsi="Times New Roman" w:cs="Times New Roman"/>
                <w:sz w:val="24"/>
                <w:szCs w:val="24"/>
              </w:rPr>
            </w:pPr>
            <w:r>
              <w:rPr>
                <w:rFonts w:hint="eastAsia" w:ascii="Times New Roman" w:hAnsi="Times New Roman" w:cs="Times New Roman"/>
                <w:sz w:val="24"/>
                <w:szCs w:val="24"/>
              </w:rPr>
              <w:t>1</w:t>
            </w:r>
          </w:p>
        </w:tc>
        <w:tc>
          <w:tcPr>
            <w:tcW w:w="361" w:type="pct"/>
            <w:vAlign w:val="center"/>
          </w:tcPr>
          <w:p w14:paraId="74C4464B">
            <w:pPr>
              <w:spacing w:line="360" w:lineRule="auto"/>
              <w:rPr>
                <w:rFonts w:ascii="Times New Roman" w:hAnsi="Times New Roman" w:cs="Times New Roman"/>
                <w:sz w:val="24"/>
                <w:szCs w:val="24"/>
              </w:rPr>
            </w:pPr>
            <w:r>
              <w:rPr>
                <w:rFonts w:hint="eastAsia" w:ascii="Times New Roman" w:hAnsi="Times New Roman" w:cs="Times New Roman"/>
                <w:sz w:val="24"/>
                <w:szCs w:val="24"/>
              </w:rPr>
              <w:t>项</w:t>
            </w:r>
          </w:p>
        </w:tc>
      </w:tr>
    </w:tbl>
    <w:p w14:paraId="015C6687">
      <w:pPr>
        <w:rPr>
          <w:rFonts w:ascii="Times New Roman" w:hAnsi="Times New Roman" w:cs="Times New Roman"/>
          <w:b/>
          <w:sz w:val="24"/>
          <w:szCs w:val="24"/>
        </w:rPr>
      </w:pPr>
      <w:r>
        <w:rPr>
          <w:rFonts w:ascii="Times New Roman" w:hAnsi="Times New Roman" w:cs="Times New Roman"/>
          <w:b/>
          <w:sz w:val="24"/>
          <w:szCs w:val="24"/>
        </w:rPr>
        <w:t>二、一般界定</w:t>
      </w:r>
    </w:p>
    <w:p w14:paraId="49D1D245">
      <w:pPr>
        <w:rPr>
          <w:rFonts w:ascii="Times New Roman" w:hAnsi="Times New Roman" w:cs="Times New Roman"/>
          <w:sz w:val="24"/>
          <w:szCs w:val="24"/>
        </w:rPr>
      </w:pPr>
      <w:r>
        <w:rPr>
          <w:rFonts w:ascii="Times New Roman" w:hAnsi="Times New Roman" w:cs="Times New Roman"/>
          <w:sz w:val="24"/>
          <w:szCs w:val="24"/>
        </w:rPr>
        <w:t>1、供货范围包括本技术标书“采购货物概况” 所列及所要求的货物。</w:t>
      </w:r>
    </w:p>
    <w:p w14:paraId="0FF04F9F">
      <w:pPr>
        <w:rPr>
          <w:rFonts w:ascii="Times New Roman" w:hAnsi="Times New Roman" w:cs="Times New Roman"/>
          <w:sz w:val="24"/>
          <w:szCs w:val="24"/>
        </w:rPr>
      </w:pPr>
      <w:r>
        <w:rPr>
          <w:rFonts w:ascii="Times New Roman" w:hAnsi="Times New Roman" w:cs="Times New Roman"/>
          <w:sz w:val="24"/>
          <w:szCs w:val="24"/>
        </w:rPr>
        <w:t>2、供货范围包括为保证货物（或生产线）正常安装、调试和验收完成及以前所必需的整套配件、附件及材料、油料、控制软件及程序或指令等。</w:t>
      </w:r>
    </w:p>
    <w:p w14:paraId="51833FF1">
      <w:pPr>
        <w:rPr>
          <w:rFonts w:ascii="Times New Roman" w:hAnsi="Times New Roman" w:cs="Times New Roman"/>
          <w:sz w:val="24"/>
          <w:szCs w:val="24"/>
        </w:rPr>
      </w:pPr>
      <w:r>
        <w:rPr>
          <w:rFonts w:ascii="Times New Roman" w:hAnsi="Times New Roman" w:cs="Times New Roman"/>
          <w:sz w:val="24"/>
          <w:szCs w:val="24"/>
        </w:rPr>
        <w:t>如果终验收完成后，投标方有需要收回的配件、附件、材料、油料等，应当在投标档的技术偏离条款中，予以详细说明；否则视同包括在供货范围之内。</w:t>
      </w:r>
    </w:p>
    <w:p w14:paraId="534B1928">
      <w:pPr>
        <w:rPr>
          <w:rFonts w:ascii="Times New Roman" w:hAnsi="Times New Roman" w:cs="Times New Roman"/>
          <w:sz w:val="24"/>
          <w:szCs w:val="24"/>
        </w:rPr>
      </w:pPr>
      <w:r>
        <w:rPr>
          <w:rFonts w:ascii="Times New Roman" w:hAnsi="Times New Roman" w:cs="Times New Roman"/>
          <w:sz w:val="24"/>
          <w:szCs w:val="24"/>
        </w:rPr>
        <w:t>3、供货范围包括货物（或生产线）维护维修所必需的专用工具。</w:t>
      </w:r>
    </w:p>
    <w:p w14:paraId="3E02EE6F">
      <w:pPr>
        <w:rPr>
          <w:rFonts w:ascii="Times New Roman" w:hAnsi="Times New Roman" w:cs="Times New Roman"/>
          <w:sz w:val="24"/>
          <w:szCs w:val="24"/>
        </w:rPr>
      </w:pPr>
      <w:r>
        <w:rPr>
          <w:rFonts w:ascii="Times New Roman" w:hAnsi="Times New Roman" w:cs="Times New Roman"/>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56294085">
      <w:pPr>
        <w:rPr>
          <w:rFonts w:ascii="Times New Roman" w:hAnsi="Times New Roman" w:cs="Times New Roman"/>
          <w:sz w:val="24"/>
          <w:szCs w:val="24"/>
        </w:rPr>
      </w:pPr>
      <w:r>
        <w:rPr>
          <w:rFonts w:ascii="Times New Roman" w:hAnsi="Times New Roman" w:cs="Times New Roman"/>
          <w:sz w:val="24"/>
          <w:szCs w:val="24"/>
        </w:rPr>
        <w:t>如投标方难以提供或无优势提供以及属于选用配置的，则应当在投标档的技术偏离条款中，予以详细说明并注明投标报价未包含该部分的货值。</w:t>
      </w:r>
    </w:p>
    <w:p w14:paraId="06C30A1D">
      <w:pPr>
        <w:rPr>
          <w:rFonts w:ascii="Times New Roman" w:hAnsi="Times New Roman" w:cs="Times New Roman"/>
          <w:sz w:val="24"/>
          <w:szCs w:val="24"/>
        </w:rPr>
      </w:pPr>
      <w:r>
        <w:rPr>
          <w:rFonts w:ascii="Times New Roman" w:hAnsi="Times New Roman" w:cs="Times New Roman"/>
          <w:sz w:val="24"/>
          <w:szCs w:val="24"/>
        </w:rPr>
        <w:t>5、供货范围包括为保证货物（或生产线）自身正常运行所必需的、满足使用地点环境条件的通风、冷却、降温等必需设施。</w:t>
      </w:r>
    </w:p>
    <w:p w14:paraId="7255BB9B">
      <w:pPr>
        <w:rPr>
          <w:rFonts w:ascii="Times New Roman" w:hAnsi="Times New Roman" w:cs="Times New Roman"/>
          <w:sz w:val="24"/>
          <w:szCs w:val="24"/>
        </w:rPr>
      </w:pPr>
      <w:r>
        <w:rPr>
          <w:rFonts w:ascii="Times New Roman" w:hAnsi="Times New Roman" w:cs="Times New Roman"/>
          <w:sz w:val="24"/>
          <w:szCs w:val="24"/>
        </w:rPr>
        <w:t>6、以“交钥匙”方式采购的货物，在满足技术标书本节上述要求之外，供货范围还包括如下界定（货物）：</w:t>
      </w:r>
    </w:p>
    <w:p w14:paraId="63B139C2">
      <w:pPr>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 xml:space="preserve">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69DE21A6">
      <w:pPr>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 xml:space="preserve"> 供货范围包括货物（或生产线）正常运行所必需的全套连线设备、材料等。如货物端联接法兰外端面之内的、电气系统界面压线板（插座等）之内的设备、材料、联接螺栓、垫片等。</w:t>
      </w:r>
    </w:p>
    <w:p w14:paraId="4E100AB9">
      <w:pPr>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 xml:space="preserve"> 供货范围包括货物（或生产线）正常运行、使用所需要的过桥、护栏、防护网、盖板等辅助设施。</w:t>
      </w:r>
    </w:p>
    <w:p w14:paraId="664B0376">
      <w:pPr>
        <w:rPr>
          <w:rFonts w:ascii="Times New Roman" w:hAnsi="Times New Roman" w:cs="Times New Roman"/>
          <w:color w:val="000000"/>
          <w:sz w:val="24"/>
          <w:szCs w:val="24"/>
        </w:rPr>
      </w:pPr>
      <w:r>
        <w:rPr>
          <w:rFonts w:hint="eastAsia" w:ascii="宋体" w:hAnsi="宋体" w:eastAsia="宋体" w:cs="宋体"/>
          <w:sz w:val="24"/>
          <w:szCs w:val="24"/>
        </w:rPr>
        <w:t>④</w:t>
      </w:r>
      <w:r>
        <w:rPr>
          <w:rFonts w:ascii="Times New Roman" w:hAnsi="Times New Roman" w:cs="Times New Roman"/>
          <w:sz w:val="24"/>
          <w:szCs w:val="24"/>
        </w:rPr>
        <w:t xml:space="preserve">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ascii="Times New Roman" w:hAnsi="Times New Roman" w:cs="Times New Roman"/>
          <w:color w:val="000000"/>
          <w:sz w:val="24"/>
          <w:szCs w:val="24"/>
        </w:rPr>
        <w:t>。</w:t>
      </w:r>
    </w:p>
    <w:p w14:paraId="3E933608">
      <w:pPr>
        <w:rPr>
          <w:rFonts w:ascii="Times New Roman" w:hAnsi="Times New Roman" w:cs="Times New Roman"/>
          <w:b/>
          <w:sz w:val="24"/>
          <w:szCs w:val="24"/>
        </w:rPr>
      </w:pPr>
      <w:r>
        <w:rPr>
          <w:rFonts w:ascii="Times New Roman" w:hAnsi="Times New Roman" w:cs="Times New Roman"/>
          <w:b/>
          <w:sz w:val="24"/>
          <w:szCs w:val="24"/>
        </w:rPr>
        <w:t>三、备品备件、易损件和专用耗材供货范围</w:t>
      </w:r>
    </w:p>
    <w:p w14:paraId="34BCF4BB">
      <w:pPr>
        <w:rPr>
          <w:rFonts w:ascii="Times New Roman" w:hAnsi="Times New Roman" w:cs="Times New Roman"/>
          <w:sz w:val="24"/>
          <w:szCs w:val="24"/>
        </w:rPr>
      </w:pPr>
      <w:r>
        <w:rPr>
          <w:rFonts w:ascii="Times New Roman" w:hAnsi="Times New Roman" w:cs="Times New Roman"/>
          <w:sz w:val="24"/>
          <w:szCs w:val="24"/>
        </w:rPr>
        <w:t>1、招标方招标档所指备品备件、易损件和专用耗材，是招标方为保证设备质保期之后正常运行一年所自备自用的备品备件、易损件和专用耗材；</w:t>
      </w:r>
    </w:p>
    <w:p w14:paraId="23F7F398">
      <w:pPr>
        <w:rPr>
          <w:rFonts w:ascii="Times New Roman" w:hAnsi="Times New Roman" w:cs="Times New Roman"/>
          <w:sz w:val="24"/>
          <w:szCs w:val="24"/>
        </w:rPr>
      </w:pPr>
      <w:r>
        <w:rPr>
          <w:rFonts w:ascii="Times New Roman" w:hAnsi="Times New Roman" w:cs="Times New Roman"/>
          <w:sz w:val="24"/>
          <w:szCs w:val="24"/>
        </w:rPr>
        <w:t>2、投标方应提供设备维修所必需的专用工具，并附详细清单（包括名称、型号、规格、单位、数量、生产厂家、单价、总价等条目）；</w:t>
      </w:r>
    </w:p>
    <w:p w14:paraId="623075BB">
      <w:pPr>
        <w:rPr>
          <w:rFonts w:ascii="Times New Roman" w:hAnsi="Times New Roman" w:cs="Times New Roman"/>
          <w:sz w:val="24"/>
          <w:szCs w:val="24"/>
        </w:rPr>
      </w:pPr>
      <w:r>
        <w:rPr>
          <w:rFonts w:ascii="Times New Roman" w:hAnsi="Times New Roman" w:cs="Times New Roman"/>
          <w:sz w:val="24"/>
          <w:szCs w:val="24"/>
        </w:rPr>
        <w:t>3、投标方应提供易损件和专用耗材的制造图纸及其技术要求等资料；</w:t>
      </w:r>
    </w:p>
    <w:p w14:paraId="06ECDB17">
      <w:pPr>
        <w:rPr>
          <w:rFonts w:ascii="Times New Roman" w:hAnsi="Times New Roman" w:cs="Times New Roman"/>
          <w:sz w:val="24"/>
          <w:szCs w:val="24"/>
        </w:rPr>
      </w:pPr>
      <w:r>
        <w:rPr>
          <w:rFonts w:ascii="Times New Roman" w:hAnsi="Times New Roman" w:cs="Times New Roman"/>
          <w:sz w:val="24"/>
          <w:szCs w:val="24"/>
        </w:rPr>
        <w:t>4、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p>
    <w:p w14:paraId="2A80A07F">
      <w:pPr>
        <w:rPr>
          <w:rFonts w:ascii="Times New Roman" w:hAnsi="Times New Roman" w:cs="Times New Roman"/>
          <w:sz w:val="24"/>
          <w:szCs w:val="24"/>
        </w:rPr>
      </w:pPr>
      <w:r>
        <w:rPr>
          <w:rFonts w:ascii="Times New Roman" w:hAnsi="Times New Roman" w:cs="Times New Roman"/>
          <w:sz w:val="24"/>
          <w:szCs w:val="24"/>
        </w:rPr>
        <w:t>5</w:t>
      </w:r>
      <w:r>
        <w:rPr>
          <w:rFonts w:hint="eastAsia" w:ascii="Times New Roman" w:hAnsi="Times New Roman" w:cs="Times New Roman"/>
          <w:sz w:val="24"/>
          <w:szCs w:val="24"/>
        </w:rPr>
        <w:t>、</w:t>
      </w:r>
      <w:r>
        <w:rPr>
          <w:rFonts w:ascii="Times New Roman" w:hAnsi="Times New Roman" w:cs="Times New Roman"/>
          <w:sz w:val="24"/>
          <w:szCs w:val="24"/>
        </w:rPr>
        <w:t>备品备件、易损件和专用耗材，其费用应分类单列，并计入投标总报价之内。</w:t>
      </w:r>
    </w:p>
    <w:p w14:paraId="3BDEA1F0">
      <w:pPr>
        <w:rPr>
          <w:rFonts w:ascii="Times New Roman" w:hAnsi="Times New Roman" w:cs="Times New Roman"/>
          <w:b/>
          <w:sz w:val="24"/>
          <w:szCs w:val="24"/>
        </w:rPr>
      </w:pPr>
      <w:r>
        <w:rPr>
          <w:rFonts w:ascii="Times New Roman" w:hAnsi="Times New Roman" w:cs="Times New Roman"/>
          <w:b/>
          <w:sz w:val="24"/>
          <w:szCs w:val="24"/>
        </w:rPr>
        <w:t>四、技术资料供货范围</w:t>
      </w:r>
    </w:p>
    <w:p w14:paraId="14AB7DE9">
      <w:pPr>
        <w:rPr>
          <w:rFonts w:ascii="Times New Roman" w:hAnsi="Times New Roman" w:cs="Times New Roman"/>
          <w:sz w:val="24"/>
          <w:szCs w:val="24"/>
        </w:rPr>
      </w:pPr>
      <w:r>
        <w:rPr>
          <w:rFonts w:ascii="Times New Roman" w:hAnsi="Times New Roman" w:cs="Times New Roman"/>
          <w:sz w:val="24"/>
          <w:szCs w:val="24"/>
        </w:rPr>
        <w:t>1、在终验收前，提供确定的维修所需要且招标方可以自行采购的外购件、外协件、电气元件及主要原材料的供货厂家明细表。</w:t>
      </w:r>
    </w:p>
    <w:p w14:paraId="03DA6EFA">
      <w:pPr>
        <w:rPr>
          <w:rFonts w:ascii="Times New Roman" w:hAnsi="Times New Roman" w:cs="Times New Roman"/>
          <w:sz w:val="24"/>
          <w:szCs w:val="24"/>
        </w:rPr>
      </w:pPr>
      <w:r>
        <w:rPr>
          <w:rFonts w:ascii="Times New Roman" w:hAnsi="Times New Roman" w:cs="Times New Roman"/>
          <w:sz w:val="24"/>
          <w:szCs w:val="24"/>
        </w:rPr>
        <w:t>2、在终验收后、终验收后的第一笔货款支付日之前，提供包括货物的备品备件、易损件和专用耗材的图纸及技术参数、技术要求等资料。</w:t>
      </w:r>
    </w:p>
    <w:p w14:paraId="7AEBA06B">
      <w:pPr>
        <w:rPr>
          <w:rFonts w:ascii="Times New Roman" w:hAnsi="Times New Roman" w:cs="Times New Roman"/>
          <w:sz w:val="24"/>
          <w:szCs w:val="24"/>
        </w:rPr>
      </w:pPr>
      <w:r>
        <w:rPr>
          <w:rFonts w:ascii="Times New Roman" w:hAnsi="Times New Roman" w:cs="Times New Roman"/>
          <w:sz w:val="24"/>
          <w:szCs w:val="24"/>
        </w:rPr>
        <w:t>3、在终验收后、终验收后的第一笔货款支付日之前，提供关于采购货物的使用说明书、合格证等技术资料。</w:t>
      </w:r>
    </w:p>
    <w:p w14:paraId="73E9CA1D">
      <w:pPr>
        <w:rPr>
          <w:rFonts w:ascii="Times New Roman" w:hAnsi="Times New Roman" w:cs="Times New Roman"/>
          <w:sz w:val="24"/>
          <w:szCs w:val="24"/>
        </w:rPr>
      </w:pPr>
      <w:r>
        <w:rPr>
          <w:rFonts w:ascii="Times New Roman" w:hAnsi="Times New Roman" w:cs="Times New Roman"/>
          <w:sz w:val="24"/>
          <w:szCs w:val="24"/>
        </w:rPr>
        <w:t>4、在终验收后、终验收后的第一笔货款支付日之前，提供关于采购货物（或生产线）的电气资料（包括</w:t>
      </w:r>
      <w:r>
        <w:rPr>
          <w:rFonts w:hint="eastAsia" w:ascii="Times New Roman" w:hAnsi="Times New Roman" w:cs="Times New Roman"/>
          <w:sz w:val="24"/>
          <w:szCs w:val="24"/>
        </w:rPr>
        <w:t>软件、程序、</w:t>
      </w:r>
      <w:r>
        <w:rPr>
          <w:rFonts w:ascii="Times New Roman" w:hAnsi="Times New Roman" w:cs="Times New Roman"/>
          <w:sz w:val="24"/>
          <w:szCs w:val="24"/>
        </w:rPr>
        <w:t>接线图、原理图、布线图、梯形图等）。</w:t>
      </w:r>
    </w:p>
    <w:p w14:paraId="000FF0C7">
      <w:pPr>
        <w:rPr>
          <w:rFonts w:ascii="Times New Roman" w:hAnsi="Times New Roman" w:cs="Times New Roman"/>
          <w:sz w:val="24"/>
          <w:szCs w:val="24"/>
        </w:rPr>
      </w:pPr>
      <w:r>
        <w:rPr>
          <w:rFonts w:ascii="Times New Roman" w:hAnsi="Times New Roman" w:cs="Times New Roman"/>
          <w:sz w:val="24"/>
          <w:szCs w:val="24"/>
        </w:rPr>
        <w:t>5、本条款所列的技术资料、图片等，投标方应各</w:t>
      </w:r>
      <w:r>
        <w:rPr>
          <w:rFonts w:ascii="Times New Roman" w:hAnsi="Times New Roman" w:cs="Times New Roman"/>
          <w:color w:val="000000"/>
          <w:sz w:val="24"/>
          <w:szCs w:val="24"/>
        </w:rPr>
        <w:t>提供2套，其中1套</w:t>
      </w:r>
      <w:r>
        <w:rPr>
          <w:rFonts w:ascii="Times New Roman" w:hAnsi="Times New Roman" w:cs="Times New Roman"/>
          <w:sz w:val="24"/>
          <w:szCs w:val="24"/>
        </w:rPr>
        <w:t>为电子版光盘；每份技术档应装有目录清单，电子版及纸板内容编排一致，方便查阅。</w:t>
      </w:r>
    </w:p>
    <w:p w14:paraId="4CE84855">
      <w:pPr>
        <w:rPr>
          <w:rFonts w:ascii="Times New Roman" w:hAnsi="Times New Roman" w:cs="Times New Roman"/>
          <w:color w:val="000000"/>
          <w:sz w:val="24"/>
          <w:szCs w:val="24"/>
        </w:rPr>
      </w:pPr>
      <w:r>
        <w:rPr>
          <w:rFonts w:ascii="Times New Roman" w:hAnsi="Times New Roman" w:cs="Times New Roman"/>
          <w:sz w:val="24"/>
          <w:szCs w:val="24"/>
        </w:rPr>
        <w:t>6、本条款所列要求，如招标方认为投标方提供的资料不能满足要求时，有权要求投标方免费补充或增加。</w:t>
      </w:r>
    </w:p>
    <w:p w14:paraId="75FED81B">
      <w:pPr>
        <w:rPr>
          <w:rFonts w:ascii="Times New Roman" w:hAnsi="Times New Roman" w:cs="Times New Roman"/>
          <w:b/>
          <w:sz w:val="24"/>
          <w:szCs w:val="24"/>
        </w:rPr>
      </w:pPr>
      <w:r>
        <w:rPr>
          <w:rFonts w:ascii="Times New Roman" w:hAnsi="Times New Roman" w:cs="Times New Roman"/>
          <w:b/>
          <w:sz w:val="24"/>
          <w:szCs w:val="24"/>
        </w:rPr>
        <w:t>五、供货范围特别提示</w:t>
      </w:r>
    </w:p>
    <w:p w14:paraId="047EF40C">
      <w:pPr>
        <w:rPr>
          <w:rFonts w:ascii="Times New Roman" w:hAnsi="Times New Roman" w:cs="Times New Roman"/>
          <w:sz w:val="24"/>
          <w:szCs w:val="24"/>
        </w:rPr>
      </w:pPr>
      <w:r>
        <w:rPr>
          <w:rFonts w:ascii="Times New Roman" w:hAnsi="Times New Roman" w:cs="Times New Roman"/>
          <w:sz w:val="24"/>
          <w:szCs w:val="24"/>
        </w:rPr>
        <w:t>如果投标方认为本节所列的供货范围难以满足，则仍需要按照本要求提供，但该部分货物应当在投标报价中单独列明货物名称及质量、货值。</w:t>
      </w:r>
    </w:p>
    <w:p w14:paraId="08D9EC0B">
      <w:pPr>
        <w:rPr>
          <w:rFonts w:ascii="Times New Roman" w:hAnsi="Times New Roman" w:cs="Times New Roman"/>
          <w:b/>
          <w:sz w:val="24"/>
          <w:szCs w:val="24"/>
        </w:rPr>
      </w:pPr>
      <w:r>
        <w:rPr>
          <w:rFonts w:ascii="Times New Roman" w:hAnsi="Times New Roman" w:cs="Times New Roman"/>
          <w:b/>
          <w:sz w:val="24"/>
          <w:szCs w:val="24"/>
        </w:rPr>
        <w:t>第二节  供货方式</w:t>
      </w:r>
    </w:p>
    <w:p w14:paraId="021AFAB9">
      <w:pPr>
        <w:rPr>
          <w:rFonts w:ascii="Times New Roman" w:hAnsi="Times New Roman" w:cs="Times New Roman"/>
          <w:b/>
          <w:sz w:val="24"/>
          <w:szCs w:val="24"/>
        </w:rPr>
      </w:pPr>
      <w:r>
        <w:rPr>
          <w:rFonts w:ascii="Times New Roman" w:hAnsi="Times New Roman" w:cs="Times New Roman"/>
          <w:b/>
          <w:sz w:val="24"/>
          <w:szCs w:val="24"/>
        </w:rPr>
        <w:t>一、供货方式</w:t>
      </w:r>
    </w:p>
    <w:p w14:paraId="310C27AA">
      <w:pPr>
        <w:rPr>
          <w:rFonts w:ascii="Times New Roman" w:hAnsi="Times New Roman" w:cs="Times New Roman"/>
          <w:sz w:val="24"/>
          <w:szCs w:val="24"/>
        </w:rPr>
      </w:pPr>
      <w:r>
        <w:rPr>
          <w:rFonts w:ascii="Times New Roman" w:hAnsi="Times New Roman" w:cs="Times New Roman"/>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10F89E94">
      <w:pPr>
        <w:rPr>
          <w:rFonts w:ascii="Times New Roman" w:hAnsi="Times New Roman" w:cs="Times New Roman"/>
          <w:b/>
          <w:sz w:val="24"/>
          <w:szCs w:val="24"/>
        </w:rPr>
      </w:pPr>
      <w:r>
        <w:rPr>
          <w:rFonts w:ascii="Times New Roman" w:hAnsi="Times New Roman" w:cs="Times New Roman"/>
          <w:b/>
          <w:sz w:val="24"/>
          <w:szCs w:val="24"/>
        </w:rPr>
        <w:t>二、供货地点</w:t>
      </w:r>
    </w:p>
    <w:p w14:paraId="11E71492">
      <w:pPr>
        <w:rPr>
          <w:rFonts w:ascii="Times New Roman" w:hAnsi="Times New Roman" w:cs="Times New Roman"/>
          <w:sz w:val="24"/>
          <w:szCs w:val="24"/>
        </w:rPr>
      </w:pPr>
      <w:r>
        <w:rPr>
          <w:rFonts w:ascii="Times New Roman" w:hAnsi="Times New Roman" w:cs="Times New Roman"/>
          <w:sz w:val="24"/>
          <w:szCs w:val="24"/>
        </w:rPr>
        <w:t>中国重汽集团杭州发动机有限公司。</w:t>
      </w:r>
    </w:p>
    <w:p w14:paraId="35D108D3">
      <w:pPr>
        <w:rPr>
          <w:rFonts w:ascii="Times New Roman" w:hAnsi="Times New Roman" w:cs="Times New Roman"/>
          <w:b/>
          <w:sz w:val="24"/>
          <w:szCs w:val="24"/>
        </w:rPr>
      </w:pPr>
      <w:r>
        <w:rPr>
          <w:rFonts w:ascii="Times New Roman" w:hAnsi="Times New Roman" w:cs="Times New Roman"/>
          <w:b/>
          <w:sz w:val="24"/>
          <w:szCs w:val="24"/>
        </w:rPr>
        <w:t>三、供货时间</w:t>
      </w:r>
    </w:p>
    <w:p w14:paraId="642C45C3">
      <w:pPr>
        <w:rPr>
          <w:rFonts w:ascii="Times New Roman" w:hAnsi="Times New Roman" w:cs="Times New Roman"/>
          <w:sz w:val="24"/>
          <w:szCs w:val="24"/>
        </w:rPr>
      </w:pPr>
      <w:r>
        <w:rPr>
          <w:rFonts w:ascii="Times New Roman" w:hAnsi="Times New Roman" w:cs="Times New Roman"/>
          <w:sz w:val="24"/>
          <w:szCs w:val="24"/>
        </w:rPr>
        <w:t>自合同签定生效之日起，</w:t>
      </w:r>
      <w:r>
        <w:rPr>
          <w:rFonts w:ascii="Times New Roman" w:hAnsi="Times New Roman" w:cs="Times New Roman"/>
          <w:color w:val="FF0000"/>
          <w:sz w:val="24"/>
          <w:szCs w:val="24"/>
          <w:u w:val="single"/>
        </w:rPr>
        <w:t xml:space="preserve"> 45</w:t>
      </w:r>
      <w:r>
        <w:rPr>
          <w:rFonts w:ascii="Times New Roman" w:hAnsi="Times New Roman" w:cs="Times New Roman"/>
          <w:sz w:val="24"/>
          <w:szCs w:val="24"/>
        </w:rPr>
        <w:t>个日历日之内交货至供货地点。</w:t>
      </w:r>
    </w:p>
    <w:p w14:paraId="34A5D765">
      <w:pPr>
        <w:rPr>
          <w:rFonts w:ascii="Times New Roman" w:hAnsi="Times New Roman" w:cs="Times New Roman"/>
          <w:sz w:val="24"/>
          <w:szCs w:val="24"/>
        </w:rPr>
      </w:pPr>
      <w:r>
        <w:rPr>
          <w:rFonts w:ascii="Times New Roman" w:hAnsi="Times New Roman" w:cs="Times New Roman"/>
          <w:sz w:val="24"/>
          <w:szCs w:val="24"/>
        </w:rPr>
        <w:t>接续</w:t>
      </w:r>
      <w:r>
        <w:rPr>
          <w:rFonts w:hint="eastAsia" w:ascii="Times New Roman" w:hAnsi="Times New Roman" w:cs="Times New Roman"/>
          <w:color w:val="FF0000"/>
          <w:sz w:val="24"/>
          <w:szCs w:val="24"/>
          <w:u w:val="single"/>
        </w:rPr>
        <w:t xml:space="preserve"> </w:t>
      </w:r>
      <w:r>
        <w:rPr>
          <w:rFonts w:ascii="Times New Roman" w:hAnsi="Times New Roman" w:cs="Times New Roman"/>
          <w:color w:val="FF0000"/>
          <w:sz w:val="24"/>
          <w:szCs w:val="24"/>
          <w:u w:val="single"/>
        </w:rPr>
        <w:t xml:space="preserve">30 </w:t>
      </w:r>
      <w:r>
        <w:rPr>
          <w:rFonts w:ascii="Times New Roman" w:hAnsi="Times New Roman" w:cs="Times New Roman"/>
          <w:sz w:val="24"/>
          <w:szCs w:val="24"/>
        </w:rPr>
        <w:t xml:space="preserve"> 个日历日之内安装调试完毕。</w:t>
      </w:r>
    </w:p>
    <w:p w14:paraId="63DC0248">
      <w:pPr>
        <w:rPr>
          <w:rFonts w:ascii="Times New Roman" w:hAnsi="Times New Roman" w:cs="Times New Roman"/>
          <w:sz w:val="24"/>
          <w:szCs w:val="24"/>
        </w:rPr>
      </w:pPr>
      <w:r>
        <w:rPr>
          <w:rFonts w:ascii="Times New Roman" w:hAnsi="Times New Roman" w:cs="Times New Roman"/>
          <w:sz w:val="24"/>
          <w:szCs w:val="24"/>
        </w:rPr>
        <w:t>接续</w:t>
      </w:r>
      <w:r>
        <w:rPr>
          <w:rFonts w:ascii="Times New Roman" w:hAnsi="Times New Roman" w:cs="Times New Roman"/>
          <w:color w:val="FF0000"/>
          <w:sz w:val="24"/>
          <w:szCs w:val="24"/>
          <w:u w:val="single"/>
        </w:rPr>
        <w:t xml:space="preserve"> 15</w:t>
      </w:r>
      <w:r>
        <w:rPr>
          <w:rFonts w:ascii="Times New Roman" w:hAnsi="Times New Roman" w:cs="Times New Roman"/>
          <w:sz w:val="24"/>
          <w:szCs w:val="24"/>
        </w:rPr>
        <w:t>个日历日之内完成终验收。</w:t>
      </w:r>
    </w:p>
    <w:p w14:paraId="2D8BC462">
      <w:pPr>
        <w:rPr>
          <w:rFonts w:ascii="Times New Roman" w:hAnsi="Times New Roman" w:cs="Times New Roman"/>
          <w:sz w:val="24"/>
          <w:szCs w:val="24"/>
        </w:rPr>
      </w:pPr>
      <w:r>
        <w:rPr>
          <w:rFonts w:ascii="Times New Roman" w:hAnsi="Times New Roman" w:cs="Times New Roman"/>
          <w:sz w:val="24"/>
          <w:szCs w:val="24"/>
        </w:rPr>
        <w:t>安装调试工期超过规定时间的，投标人应当随标书提供详细的工期计划。</w:t>
      </w:r>
    </w:p>
    <w:p w14:paraId="2F061C39">
      <w:pPr>
        <w:rPr>
          <w:rFonts w:ascii="Times New Roman" w:hAnsi="Times New Roman" w:cs="Times New Roman"/>
          <w:b/>
          <w:sz w:val="24"/>
          <w:szCs w:val="24"/>
        </w:rPr>
      </w:pPr>
      <w:r>
        <w:rPr>
          <w:rFonts w:ascii="Times New Roman" w:hAnsi="Times New Roman" w:cs="Times New Roman"/>
          <w:b/>
          <w:sz w:val="24"/>
          <w:szCs w:val="24"/>
        </w:rPr>
        <w:t>四、包装</w:t>
      </w:r>
    </w:p>
    <w:p w14:paraId="2EC1ADFC">
      <w:pPr>
        <w:rPr>
          <w:rFonts w:ascii="Times New Roman" w:hAnsi="Times New Roman" w:cs="Times New Roman"/>
          <w:sz w:val="24"/>
          <w:szCs w:val="24"/>
        </w:rPr>
      </w:pPr>
      <w:r>
        <w:rPr>
          <w:rFonts w:ascii="Times New Roman" w:hAnsi="Times New Roman" w:cs="Times New Roman"/>
          <w:sz w:val="24"/>
          <w:szCs w:val="24"/>
        </w:rPr>
        <w:t>1、所提供货物（或设备）的包装，应遵照国家标准和有关包装、包皮的技术条件，或按照最好的商业惯例进行包装。</w:t>
      </w:r>
    </w:p>
    <w:p w14:paraId="201D3D37">
      <w:pPr>
        <w:rPr>
          <w:rFonts w:ascii="Times New Roman" w:hAnsi="Times New Roman" w:cs="Times New Roman"/>
          <w:sz w:val="24"/>
          <w:szCs w:val="24"/>
        </w:rPr>
      </w:pPr>
      <w:r>
        <w:rPr>
          <w:rFonts w:ascii="Times New Roman" w:hAnsi="Times New Roman"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14:paraId="55A00A06">
      <w:pPr>
        <w:rPr>
          <w:rFonts w:ascii="Times New Roman" w:hAnsi="Times New Roman" w:cs="Times New Roman"/>
          <w:sz w:val="24"/>
          <w:szCs w:val="24"/>
        </w:rPr>
      </w:pPr>
      <w:r>
        <w:rPr>
          <w:rFonts w:ascii="Times New Roman" w:hAnsi="Times New Roman" w:cs="Times New Roman"/>
          <w:sz w:val="24"/>
          <w:szCs w:val="24"/>
        </w:rPr>
        <w:t>3、所提供货物（或设备）的包装，应能防止其一般性被窃或受外力破坏；一般不得采用有大缝隙的板条包装。</w:t>
      </w:r>
    </w:p>
    <w:p w14:paraId="179FBAB8">
      <w:pPr>
        <w:rPr>
          <w:rFonts w:ascii="Times New Roman" w:hAnsi="Times New Roman" w:cs="Times New Roman"/>
          <w:sz w:val="24"/>
          <w:szCs w:val="24"/>
        </w:rPr>
      </w:pPr>
      <w:r>
        <w:rPr>
          <w:rFonts w:ascii="Times New Roman" w:hAnsi="Times New Roman" w:cs="Times New Roman"/>
          <w:sz w:val="24"/>
          <w:szCs w:val="24"/>
        </w:rPr>
        <w:t>4、应对包装件做必要的加固和固定，以防止运输可能造成的损坏。</w:t>
      </w:r>
    </w:p>
    <w:p w14:paraId="36337601">
      <w:pPr>
        <w:rPr>
          <w:rFonts w:ascii="Times New Roman" w:hAnsi="Times New Roman" w:cs="Times New Roman"/>
          <w:sz w:val="24"/>
          <w:szCs w:val="24"/>
        </w:rPr>
      </w:pPr>
      <w:r>
        <w:rPr>
          <w:rFonts w:ascii="Times New Roman" w:hAnsi="Times New Roman" w:cs="Times New Roman"/>
          <w:sz w:val="24"/>
          <w:szCs w:val="24"/>
        </w:rPr>
        <w:t>5、每个包装件应有装箱单，并至少标明名称、型号规格、数量、净重和毛重、投标方（或供货商）名称和制造日期等相关内容。</w:t>
      </w:r>
    </w:p>
    <w:p w14:paraId="1F1EE3D1">
      <w:pPr>
        <w:rPr>
          <w:rFonts w:ascii="Times New Roman" w:hAnsi="Times New Roman" w:cs="Times New Roman"/>
          <w:sz w:val="24"/>
          <w:szCs w:val="24"/>
        </w:rPr>
      </w:pPr>
      <w:r>
        <w:rPr>
          <w:rFonts w:ascii="Times New Roman" w:hAnsi="Times New Roman" w:cs="Times New Roman"/>
          <w:sz w:val="24"/>
          <w:szCs w:val="24"/>
        </w:rPr>
        <w:t>6、每个包装箱应有明显标志，并具有中文书写的合同号、装运标志、发货和到货地点名称、发货人和收货人名称、货物名称和项目号、箱号和外型尺寸等内容。</w:t>
      </w:r>
    </w:p>
    <w:p w14:paraId="685CB096">
      <w:pPr>
        <w:rPr>
          <w:rFonts w:ascii="Times New Roman" w:hAnsi="Times New Roman" w:cs="Times New Roman"/>
          <w:sz w:val="24"/>
          <w:szCs w:val="24"/>
        </w:rPr>
      </w:pPr>
      <w:r>
        <w:rPr>
          <w:rFonts w:ascii="Times New Roman" w:hAnsi="Times New Roman" w:cs="Times New Roman"/>
          <w:sz w:val="24"/>
          <w:szCs w:val="24"/>
        </w:rPr>
        <w:t>7、应按照不同的装运要求在包装箱上标明“小心轻放”、“箭头向上”、“防潮”、“防磁”、“不准平放”等标志，以及其他适用的国标通用标志。</w:t>
      </w:r>
    </w:p>
    <w:p w14:paraId="7185F155">
      <w:pPr>
        <w:rPr>
          <w:rFonts w:ascii="Times New Roman" w:hAnsi="Times New Roman" w:cs="Times New Roman"/>
          <w:sz w:val="24"/>
          <w:szCs w:val="24"/>
        </w:rPr>
      </w:pPr>
      <w:r>
        <w:rPr>
          <w:rFonts w:ascii="Times New Roman" w:hAnsi="Times New Roman" w:cs="Times New Roman"/>
          <w:sz w:val="24"/>
          <w:szCs w:val="24"/>
        </w:rPr>
        <w:t>8、包装箱应连续编号，不应出现重复编号。</w:t>
      </w:r>
    </w:p>
    <w:p w14:paraId="688B8401">
      <w:pPr>
        <w:rPr>
          <w:rFonts w:ascii="Times New Roman" w:hAnsi="Times New Roman" w:cs="Times New Roman"/>
          <w:sz w:val="24"/>
          <w:szCs w:val="24"/>
        </w:rPr>
      </w:pPr>
      <w:r>
        <w:rPr>
          <w:rFonts w:ascii="Times New Roman" w:hAnsi="Times New Roman" w:cs="Times New Roman"/>
          <w:sz w:val="24"/>
          <w:szCs w:val="24"/>
        </w:rPr>
        <w:t>9、在不受到外界破坏情况下，包装应保证自交货日起一年内货物（或设备）完好无损。</w:t>
      </w:r>
    </w:p>
    <w:p w14:paraId="38640660">
      <w:pPr>
        <w:rPr>
          <w:rFonts w:ascii="Times New Roman" w:hAnsi="Times New Roman" w:cs="Times New Roman"/>
          <w:b/>
          <w:sz w:val="24"/>
          <w:szCs w:val="24"/>
        </w:rPr>
      </w:pPr>
      <w:r>
        <w:rPr>
          <w:rFonts w:ascii="Times New Roman" w:hAnsi="Times New Roman" w:cs="Times New Roman"/>
          <w:b/>
          <w:sz w:val="24"/>
          <w:szCs w:val="24"/>
        </w:rPr>
        <w:t>五、运输</w:t>
      </w:r>
    </w:p>
    <w:p w14:paraId="6B0B2D09">
      <w:pPr>
        <w:rPr>
          <w:rFonts w:ascii="Times New Roman" w:hAnsi="Times New Roman" w:cs="Times New Roman"/>
          <w:sz w:val="24"/>
          <w:szCs w:val="24"/>
        </w:rPr>
      </w:pPr>
      <w:r>
        <w:rPr>
          <w:rFonts w:ascii="Times New Roman" w:hAnsi="Times New Roman" w:cs="Times New Roman"/>
          <w:sz w:val="24"/>
          <w:szCs w:val="24"/>
        </w:rPr>
        <w:t>1、应负责将货物（或设备）运到目的地，并必须做到货物（或设备）在任何运输过程中不受损坏和遗失。</w:t>
      </w:r>
    </w:p>
    <w:p w14:paraId="70D38F79">
      <w:pPr>
        <w:rPr>
          <w:rFonts w:ascii="Times New Roman" w:hAnsi="Times New Roman" w:cs="Times New Roman"/>
          <w:sz w:val="24"/>
          <w:szCs w:val="24"/>
        </w:rPr>
      </w:pPr>
      <w:r>
        <w:rPr>
          <w:rFonts w:ascii="Times New Roman" w:hAnsi="Times New Roman" w:cs="Times New Roman"/>
          <w:sz w:val="24"/>
          <w:szCs w:val="24"/>
        </w:rPr>
        <w:t>2、一般情况下，经由铁路、公路运输的包装件尺寸和重量不应超过国家所规定的尺寸限制。特殊情况应予以说明。</w:t>
      </w:r>
    </w:p>
    <w:p w14:paraId="57D170B6">
      <w:pPr>
        <w:rPr>
          <w:rFonts w:ascii="Times New Roman" w:hAnsi="Times New Roman" w:cs="Times New Roman"/>
          <w:sz w:val="24"/>
          <w:szCs w:val="24"/>
        </w:rPr>
      </w:pPr>
      <w:r>
        <w:rPr>
          <w:rFonts w:ascii="Times New Roman" w:hAnsi="Times New Roman" w:cs="Times New Roman"/>
          <w:sz w:val="24"/>
          <w:szCs w:val="24"/>
        </w:rPr>
        <w:t>3、在每批货物（或设备）发出后，应立即通知买方；通知中应指明：合同号、货运单号、件数、重量和货物（或设备）发出日期等相关内容。</w:t>
      </w:r>
    </w:p>
    <w:p w14:paraId="3BDE340E">
      <w:pPr>
        <w:rPr>
          <w:rFonts w:ascii="Times New Roman" w:hAnsi="Times New Roman" w:cs="Times New Roman"/>
          <w:sz w:val="24"/>
          <w:szCs w:val="24"/>
        </w:rPr>
      </w:pPr>
      <w:r>
        <w:rPr>
          <w:rFonts w:ascii="Times New Roman" w:hAnsi="Times New Roman" w:cs="Times New Roman"/>
          <w:sz w:val="24"/>
          <w:szCs w:val="24"/>
        </w:rPr>
        <w:t>4、货物（或设备）运抵交货地点后，应负责货物（或设备）的卸货、搬运、保管等事宜；或按照合同约定。</w:t>
      </w:r>
    </w:p>
    <w:p w14:paraId="64C1443A">
      <w:pPr>
        <w:jc w:val="center"/>
        <w:rPr>
          <w:rFonts w:ascii="Times New Roman" w:hAnsi="Times New Roman" w:cs="Times New Roman"/>
          <w:b/>
          <w:sz w:val="28"/>
          <w:szCs w:val="24"/>
        </w:rPr>
      </w:pPr>
      <w:r>
        <w:rPr>
          <w:rFonts w:ascii="Times New Roman" w:hAnsi="Times New Roman" w:cs="Times New Roman"/>
          <w:b/>
          <w:sz w:val="28"/>
          <w:szCs w:val="24"/>
        </w:rPr>
        <w:t>第四章  质保期及售后服务</w:t>
      </w:r>
    </w:p>
    <w:p w14:paraId="10820CFA">
      <w:pPr>
        <w:rPr>
          <w:rFonts w:ascii="Times New Roman" w:hAnsi="Times New Roman" w:cs="Times New Roman"/>
          <w:b/>
          <w:sz w:val="24"/>
          <w:szCs w:val="24"/>
        </w:rPr>
      </w:pPr>
      <w:r>
        <w:rPr>
          <w:rFonts w:ascii="Times New Roman" w:hAnsi="Times New Roman" w:cs="Times New Roman"/>
          <w:b/>
          <w:sz w:val="24"/>
          <w:szCs w:val="24"/>
        </w:rPr>
        <w:t>一、质保期及质保要求</w:t>
      </w:r>
    </w:p>
    <w:p w14:paraId="4EEF1A00">
      <w:pPr>
        <w:rPr>
          <w:rFonts w:ascii="Times New Roman" w:hAnsi="Times New Roman" w:cs="Times New Roman"/>
          <w:sz w:val="24"/>
          <w:szCs w:val="24"/>
        </w:rPr>
      </w:pPr>
      <w:r>
        <w:rPr>
          <w:rFonts w:ascii="Times New Roman" w:hAnsi="Times New Roman" w:cs="Times New Roman"/>
          <w:sz w:val="24"/>
          <w:szCs w:val="24"/>
        </w:rPr>
        <w:t>1、全部供货范围内的设备、材料、零配件和工器具等，除合同特别约定外，其质保期均自终验收签字生效之日起</w:t>
      </w:r>
      <w:r>
        <w:rPr>
          <w:rFonts w:ascii="Times New Roman" w:hAnsi="Times New Roman" w:cs="Times New Roman"/>
          <w:sz w:val="24"/>
          <w:szCs w:val="24"/>
          <w:u w:val="single"/>
        </w:rPr>
        <w:t xml:space="preserve"> 12 </w:t>
      </w:r>
      <w:r>
        <w:rPr>
          <w:rFonts w:ascii="Times New Roman" w:hAnsi="Times New Roman" w:cs="Times New Roman"/>
          <w:sz w:val="24"/>
          <w:szCs w:val="24"/>
        </w:rPr>
        <w:t>个月。</w:t>
      </w:r>
    </w:p>
    <w:p w14:paraId="698DD809">
      <w:pPr>
        <w:rPr>
          <w:rFonts w:ascii="Times New Roman" w:hAnsi="Times New Roman" w:cs="Times New Roman"/>
          <w:sz w:val="24"/>
          <w:szCs w:val="24"/>
        </w:rPr>
      </w:pPr>
      <w:r>
        <w:rPr>
          <w:rFonts w:ascii="Times New Roman" w:hAnsi="Times New Roman" w:cs="Times New Roman"/>
          <w:sz w:val="24"/>
          <w:szCs w:val="24"/>
        </w:rPr>
        <w:t>投标货物或涉及的关键总成和零件，如果有更长时间质保期，允许更改并说明，此将有利于投标方。设计使用寿命短于质保期的易损件除外，但属于易损件的，应当有明确说明。</w:t>
      </w:r>
    </w:p>
    <w:p w14:paraId="2A24F881">
      <w:pPr>
        <w:rPr>
          <w:rFonts w:ascii="Times New Roman" w:hAnsi="Times New Roman" w:cs="Times New Roman"/>
          <w:sz w:val="24"/>
          <w:szCs w:val="24"/>
        </w:rPr>
      </w:pPr>
      <w:r>
        <w:rPr>
          <w:rFonts w:ascii="Times New Roman" w:hAnsi="Times New Roman"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1412036B">
      <w:pPr>
        <w:rPr>
          <w:rFonts w:ascii="Times New Roman" w:hAnsi="Times New Roman" w:cs="Times New Roman"/>
          <w:sz w:val="24"/>
          <w:szCs w:val="24"/>
        </w:rPr>
      </w:pPr>
      <w:r>
        <w:rPr>
          <w:rFonts w:ascii="Times New Roman" w:hAnsi="Times New Roman" w:cs="Times New Roman"/>
          <w:sz w:val="24"/>
          <w:szCs w:val="24"/>
        </w:rPr>
        <w:t>3、质保期内免费提供零部件和及时有效的服务。质保期内因货物本身缺陷造成的各种故障，卖方应负责免费维修和服务。</w:t>
      </w:r>
    </w:p>
    <w:p w14:paraId="247A633F">
      <w:pPr>
        <w:rPr>
          <w:rFonts w:ascii="Times New Roman" w:hAnsi="Times New Roman" w:cs="Times New Roman"/>
          <w:sz w:val="24"/>
          <w:szCs w:val="24"/>
        </w:rPr>
      </w:pPr>
      <w:r>
        <w:rPr>
          <w:rFonts w:ascii="Times New Roman" w:hAnsi="Times New Roman" w:cs="Times New Roman"/>
          <w:sz w:val="24"/>
          <w:szCs w:val="24"/>
        </w:rPr>
        <w:t>4、质保期终止之日起一年内重复出现的质保期之内出现的故障，仍属质保范围而且应当免费。</w:t>
      </w:r>
    </w:p>
    <w:p w14:paraId="03796241">
      <w:pPr>
        <w:rPr>
          <w:rFonts w:ascii="Times New Roman" w:hAnsi="Times New Roman" w:cs="Times New Roman"/>
          <w:b/>
          <w:sz w:val="24"/>
          <w:szCs w:val="24"/>
        </w:rPr>
      </w:pPr>
      <w:r>
        <w:rPr>
          <w:rFonts w:ascii="Times New Roman" w:hAnsi="Times New Roman" w:cs="Times New Roman"/>
          <w:b/>
          <w:sz w:val="24"/>
          <w:szCs w:val="24"/>
        </w:rPr>
        <w:t>二、技术及培训服务</w:t>
      </w:r>
    </w:p>
    <w:p w14:paraId="43106096">
      <w:pPr>
        <w:rPr>
          <w:rFonts w:ascii="Times New Roman" w:hAnsi="Times New Roman" w:cs="Times New Roman"/>
          <w:sz w:val="24"/>
          <w:szCs w:val="24"/>
        </w:rPr>
      </w:pPr>
      <w:r>
        <w:rPr>
          <w:rFonts w:ascii="Times New Roman" w:hAnsi="Times New Roman" w:cs="Times New Roman"/>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Times New Roman" w:hAnsi="Times New Roman" w:cs="Times New Roman"/>
          <w:sz w:val="24"/>
          <w:szCs w:val="24"/>
          <w:u w:val="single"/>
        </w:rPr>
        <w:t xml:space="preserve"> </w:t>
      </w:r>
      <w:r>
        <w:rPr>
          <w:rFonts w:ascii="Times New Roman" w:hAnsi="Times New Roman" w:cs="Times New Roman"/>
          <w:sz w:val="24"/>
          <w:szCs w:val="24"/>
          <w:u w:val="single"/>
        </w:rPr>
        <w:t>3</w:t>
      </w:r>
      <w:r>
        <w:rPr>
          <w:rFonts w:ascii="Times New Roman" w:hAnsi="Times New Roman" w:cs="Times New Roman"/>
          <w:sz w:val="24"/>
          <w:szCs w:val="24"/>
        </w:rPr>
        <w:t>个工作日。</w:t>
      </w:r>
    </w:p>
    <w:p w14:paraId="3F3B8256">
      <w:pPr>
        <w:rPr>
          <w:rFonts w:ascii="Times New Roman" w:hAnsi="Times New Roman" w:cs="Times New Roman"/>
          <w:sz w:val="24"/>
          <w:szCs w:val="24"/>
        </w:rPr>
      </w:pPr>
      <w:r>
        <w:rPr>
          <w:rFonts w:ascii="Times New Roman" w:hAnsi="Times New Roman" w:cs="Times New Roman"/>
          <w:sz w:val="24"/>
          <w:szCs w:val="24"/>
        </w:rPr>
        <w:t>2、应免费提供一定数量的培训资料。</w:t>
      </w:r>
    </w:p>
    <w:p w14:paraId="77BFE8A8">
      <w:pPr>
        <w:rPr>
          <w:rFonts w:ascii="Times New Roman" w:hAnsi="Times New Roman" w:cs="Times New Roman"/>
          <w:sz w:val="24"/>
          <w:szCs w:val="24"/>
        </w:rPr>
      </w:pPr>
      <w:r>
        <w:rPr>
          <w:rFonts w:ascii="Times New Roman" w:hAnsi="Times New Roman" w:cs="Times New Roman"/>
          <w:sz w:val="24"/>
          <w:szCs w:val="24"/>
        </w:rPr>
        <w:t>3、应按要求免费积极协助和提供买方以及买方所委托的工程设计单位有关人员所需要的、与货物有关的工程设计资料、技术咨询等。</w:t>
      </w:r>
    </w:p>
    <w:p w14:paraId="01085D49">
      <w:pPr>
        <w:rPr>
          <w:rFonts w:ascii="Times New Roman" w:hAnsi="Times New Roman" w:cs="Times New Roman"/>
          <w:sz w:val="24"/>
          <w:szCs w:val="24"/>
        </w:rPr>
      </w:pPr>
      <w:r>
        <w:rPr>
          <w:rFonts w:ascii="Times New Roman" w:hAnsi="Times New Roman" w:cs="Times New Roman"/>
          <w:sz w:val="24"/>
          <w:szCs w:val="24"/>
        </w:rPr>
        <w:t>4、若卖方提供货物涉及到外购外协货物、而且该货物的技术质量等较为关键时，卖方应能保证得到配套厂家的技术支持，并免费为买方提供技术服务。</w:t>
      </w:r>
    </w:p>
    <w:p w14:paraId="69E9EFAB">
      <w:pPr>
        <w:rPr>
          <w:rFonts w:ascii="Times New Roman" w:hAnsi="Times New Roman" w:cs="Times New Roman"/>
          <w:sz w:val="24"/>
          <w:szCs w:val="24"/>
        </w:rPr>
      </w:pPr>
      <w:r>
        <w:rPr>
          <w:rFonts w:ascii="Times New Roman" w:hAnsi="Times New Roman" w:cs="Times New Roman"/>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125FAA9">
      <w:pPr>
        <w:rPr>
          <w:rFonts w:ascii="Times New Roman" w:hAnsi="Times New Roman" w:cs="Times New Roman"/>
          <w:b/>
          <w:sz w:val="24"/>
          <w:szCs w:val="24"/>
        </w:rPr>
      </w:pPr>
      <w:r>
        <w:rPr>
          <w:rFonts w:ascii="Times New Roman" w:hAnsi="Times New Roman" w:cs="Times New Roman"/>
          <w:b/>
          <w:sz w:val="24"/>
          <w:szCs w:val="24"/>
        </w:rPr>
        <w:t>三、安装调试及验收服务</w:t>
      </w:r>
    </w:p>
    <w:p w14:paraId="1DFA60B3">
      <w:pPr>
        <w:rPr>
          <w:rFonts w:ascii="Times New Roman" w:hAnsi="Times New Roman" w:cs="Times New Roman"/>
          <w:sz w:val="24"/>
          <w:szCs w:val="24"/>
        </w:rPr>
      </w:pPr>
      <w:r>
        <w:rPr>
          <w:rFonts w:ascii="Times New Roman" w:hAnsi="Times New Roman" w:cs="Times New Roman"/>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158F0D3F">
      <w:pPr>
        <w:rPr>
          <w:rFonts w:ascii="Times New Roman" w:hAnsi="Times New Roman" w:cs="Times New Roman"/>
          <w:sz w:val="24"/>
          <w:szCs w:val="24"/>
        </w:rPr>
      </w:pPr>
      <w:r>
        <w:rPr>
          <w:rFonts w:ascii="Times New Roman" w:hAnsi="Times New Roman" w:cs="Times New Roman"/>
          <w:sz w:val="24"/>
          <w:szCs w:val="24"/>
        </w:rPr>
        <w:t>2、若卖方提供的货物涉及到外购外协货物、而且该货物的技术质量等较为关键时，应保证能得到供应商的技术支持，并免费为买方提供安装使用现场的指导与培训。</w:t>
      </w:r>
    </w:p>
    <w:p w14:paraId="57D3B9F3">
      <w:pPr>
        <w:rPr>
          <w:rFonts w:ascii="Times New Roman" w:hAnsi="Times New Roman" w:cs="Times New Roman"/>
          <w:sz w:val="24"/>
          <w:szCs w:val="24"/>
        </w:rPr>
      </w:pPr>
      <w:r>
        <w:rPr>
          <w:rFonts w:ascii="Times New Roman" w:hAnsi="Times New Roman" w:cs="Times New Roman"/>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8E4B994">
      <w:pPr>
        <w:rPr>
          <w:rFonts w:ascii="Times New Roman" w:hAnsi="Times New Roman" w:cs="Times New Roman"/>
          <w:sz w:val="24"/>
          <w:szCs w:val="24"/>
        </w:rPr>
      </w:pPr>
      <w:r>
        <w:rPr>
          <w:rFonts w:ascii="Times New Roman" w:hAnsi="Times New Roman" w:cs="Times New Roman"/>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1754A3AA">
      <w:pPr>
        <w:rPr>
          <w:rFonts w:ascii="Times New Roman" w:hAnsi="Times New Roman" w:cs="Times New Roman"/>
          <w:sz w:val="24"/>
          <w:szCs w:val="24"/>
        </w:rPr>
      </w:pPr>
      <w:r>
        <w:rPr>
          <w:rFonts w:ascii="Times New Roman" w:hAnsi="Times New Roman" w:cs="Times New Roman"/>
          <w:sz w:val="24"/>
          <w:szCs w:val="24"/>
        </w:rPr>
        <w:t>5、卖方应当向买方提供货物试验、验收的有关标准、规范和方法，同时提供货物涉及并使用的软件合法性证明。</w:t>
      </w:r>
    </w:p>
    <w:p w14:paraId="0A28F8E2">
      <w:pPr>
        <w:rPr>
          <w:rFonts w:ascii="Times New Roman" w:hAnsi="Times New Roman" w:cs="Times New Roman"/>
          <w:sz w:val="24"/>
          <w:szCs w:val="24"/>
        </w:rPr>
      </w:pPr>
      <w:r>
        <w:rPr>
          <w:rFonts w:ascii="Times New Roman" w:hAnsi="Times New Roman" w:cs="Times New Roman"/>
          <w:sz w:val="24"/>
          <w:szCs w:val="24"/>
        </w:rPr>
        <w:t>6、服务缺陷视同货物缺陷和履约延期。</w:t>
      </w:r>
    </w:p>
    <w:p w14:paraId="736DABAA">
      <w:pPr>
        <w:rPr>
          <w:rFonts w:ascii="Times New Roman" w:hAnsi="Times New Roman" w:cs="Times New Roman"/>
          <w:b/>
          <w:sz w:val="24"/>
          <w:szCs w:val="24"/>
        </w:rPr>
      </w:pPr>
      <w:r>
        <w:rPr>
          <w:rFonts w:ascii="Times New Roman" w:hAnsi="Times New Roman" w:cs="Times New Roman"/>
          <w:b/>
          <w:sz w:val="24"/>
          <w:szCs w:val="24"/>
        </w:rPr>
        <w:t>四、售后服务</w:t>
      </w:r>
    </w:p>
    <w:p w14:paraId="740945BA">
      <w:pPr>
        <w:rPr>
          <w:rFonts w:ascii="Times New Roman" w:hAnsi="Times New Roman" w:cs="Times New Roman"/>
          <w:sz w:val="24"/>
          <w:szCs w:val="24"/>
        </w:rPr>
      </w:pPr>
      <w:r>
        <w:rPr>
          <w:rFonts w:ascii="Times New Roman" w:hAnsi="Times New Roman" w:cs="Times New Roman"/>
          <w:sz w:val="24"/>
          <w:szCs w:val="24"/>
        </w:rPr>
        <w:t>1、卖方提供的货物涉及的所有售后服务均由卖方负责。如果发生问题并且收到通知，卖方应当在2小时内予以答复。</w:t>
      </w:r>
    </w:p>
    <w:p w14:paraId="2275A7B9">
      <w:pPr>
        <w:rPr>
          <w:rFonts w:ascii="Times New Roman" w:hAnsi="Times New Roman" w:cs="Times New Roman"/>
          <w:sz w:val="24"/>
          <w:szCs w:val="24"/>
        </w:rPr>
      </w:pPr>
      <w:r>
        <w:rPr>
          <w:rFonts w:ascii="Times New Roman" w:hAnsi="Times New Roman" w:cs="Times New Roman"/>
          <w:sz w:val="24"/>
          <w:szCs w:val="24"/>
        </w:rPr>
        <w:t>2、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p>
    <w:p w14:paraId="133D9992">
      <w:pPr>
        <w:rPr>
          <w:rFonts w:ascii="Times New Roman" w:hAnsi="Times New Roman" w:cs="Times New Roman"/>
          <w:sz w:val="24"/>
          <w:szCs w:val="24"/>
        </w:rPr>
      </w:pPr>
      <w:r>
        <w:rPr>
          <w:rFonts w:ascii="Times New Roman" w:hAnsi="Times New Roman" w:cs="Times New Roman"/>
          <w:sz w:val="24"/>
          <w:szCs w:val="24"/>
        </w:rPr>
        <w:t>3、卖方派往买方使用现场的人员，应具有较高的业务素质；现场解决问题时，不得无故拖延或推迟，应为买方提供最佳的服务。</w:t>
      </w:r>
    </w:p>
    <w:p w14:paraId="14F9E21D">
      <w:pPr>
        <w:rPr>
          <w:rFonts w:ascii="Times New Roman" w:hAnsi="Times New Roman" w:cs="Times New Roman"/>
          <w:b/>
          <w:sz w:val="24"/>
          <w:szCs w:val="24"/>
        </w:rPr>
      </w:pPr>
      <w:r>
        <w:rPr>
          <w:rFonts w:ascii="Times New Roman" w:hAnsi="Times New Roman" w:cs="Times New Roman"/>
          <w:b/>
          <w:sz w:val="24"/>
          <w:szCs w:val="24"/>
        </w:rPr>
        <w:t>五、其他服务</w:t>
      </w:r>
    </w:p>
    <w:p w14:paraId="5DA2CB7E">
      <w:pPr>
        <w:rPr>
          <w:rFonts w:ascii="Times New Roman" w:hAnsi="Times New Roman" w:cs="Times New Roman"/>
          <w:sz w:val="24"/>
          <w:szCs w:val="24"/>
        </w:rPr>
      </w:pPr>
      <w:r>
        <w:rPr>
          <w:rFonts w:ascii="Times New Roman" w:hAnsi="Times New Roman" w:cs="Times New Roman"/>
          <w:sz w:val="24"/>
          <w:szCs w:val="24"/>
        </w:rPr>
        <w:t>1、若卖方所提供货物有需要进口的，卖方一般应自行、自费办理；必要时，买卖双方共同办理。</w:t>
      </w:r>
    </w:p>
    <w:p w14:paraId="3342E5B1">
      <w:pPr>
        <w:rPr>
          <w:rFonts w:ascii="Times New Roman" w:hAnsi="Times New Roman" w:cs="Times New Roman"/>
          <w:sz w:val="24"/>
          <w:szCs w:val="24"/>
        </w:rPr>
      </w:pPr>
      <w:r>
        <w:rPr>
          <w:rFonts w:ascii="Times New Roman" w:hAnsi="Times New Roman" w:cs="Times New Roman"/>
          <w:sz w:val="24"/>
          <w:szCs w:val="24"/>
        </w:rPr>
        <w:t>2、除招标档、投标档、答疑档、技术协议、合同等约定之外，卖方应免费负责必要的或强制性的货物的检验、试验、化验等直接费用。</w:t>
      </w:r>
    </w:p>
    <w:p w14:paraId="6068C481">
      <w:pPr>
        <w:rPr>
          <w:rFonts w:ascii="Times New Roman" w:hAnsi="Times New Roman" w:eastAsia="黑体" w:cs="Times New Roman"/>
          <w:bCs/>
          <w:sz w:val="24"/>
          <w:szCs w:val="24"/>
        </w:rPr>
      </w:pPr>
      <w:r>
        <w:rPr>
          <w:rFonts w:ascii="Times New Roman" w:hAnsi="Times New Roman" w:cs="Times New Roman"/>
          <w:sz w:val="24"/>
          <w:szCs w:val="24"/>
        </w:rPr>
        <w:t>3、本章节条款所列“免费”，并非指定不可收费，而是指招标档、投标档、答疑档、技术交流档、技术协议书和合同等范围之外，投标方不可另行收取的费用</w:t>
      </w:r>
      <w:r>
        <w:rPr>
          <w:rFonts w:hint="eastAsia" w:ascii="Times New Roman" w:hAnsi="Times New Roman" w:cs="Times New Roman"/>
          <w:sz w:val="24"/>
          <w:szCs w:val="24"/>
        </w:rPr>
        <w:t>。</w:t>
      </w:r>
    </w:p>
    <w:p w14:paraId="0D9BCEFD">
      <w:pPr>
        <w:jc w:val="center"/>
        <w:rPr>
          <w:rFonts w:ascii="Times New Roman" w:hAnsi="Times New Roman" w:cs="Times New Roman"/>
          <w:sz w:val="24"/>
          <w:szCs w:val="24"/>
        </w:rPr>
      </w:pPr>
      <w:r>
        <w:rPr>
          <w:rFonts w:ascii="Times New Roman" w:hAnsi="Times New Roman" w:cs="Times New Roman"/>
          <w:b/>
          <w:sz w:val="28"/>
          <w:szCs w:val="24"/>
        </w:rPr>
        <w:t>第五章  预验收和终验收</w:t>
      </w:r>
    </w:p>
    <w:p w14:paraId="47545281">
      <w:pPr>
        <w:rPr>
          <w:rFonts w:ascii="Times New Roman" w:hAnsi="Times New Roman" w:cs="Times New Roman"/>
          <w:b/>
          <w:sz w:val="24"/>
          <w:szCs w:val="24"/>
        </w:rPr>
      </w:pPr>
      <w:r>
        <w:rPr>
          <w:rFonts w:ascii="Times New Roman" w:hAnsi="Times New Roman" w:cs="Times New Roman"/>
          <w:b/>
          <w:sz w:val="24"/>
          <w:szCs w:val="24"/>
        </w:rPr>
        <w:t>一、验收依据和验收标准</w:t>
      </w:r>
    </w:p>
    <w:p w14:paraId="00EC2375">
      <w:pPr>
        <w:rPr>
          <w:rFonts w:ascii="Times New Roman" w:hAnsi="Times New Roman" w:cs="Times New Roman"/>
          <w:sz w:val="24"/>
          <w:szCs w:val="24"/>
        </w:rPr>
      </w:pPr>
      <w:r>
        <w:rPr>
          <w:rFonts w:ascii="Times New Roman" w:hAnsi="Times New Roman" w:cs="Times New Roman"/>
          <w:sz w:val="24"/>
          <w:szCs w:val="24"/>
        </w:rPr>
        <w:t>1、验收标准一般以技术协议书和合同规定验收。无论技术协议书和合同，是否全部并准确列明验收所涉及的相关标准，均作为验收标准之一。</w:t>
      </w:r>
    </w:p>
    <w:p w14:paraId="2576366C">
      <w:pPr>
        <w:rPr>
          <w:rFonts w:ascii="Times New Roman" w:hAnsi="Times New Roman" w:cs="Times New Roman"/>
          <w:sz w:val="24"/>
          <w:szCs w:val="24"/>
        </w:rPr>
      </w:pPr>
      <w:r>
        <w:rPr>
          <w:rFonts w:ascii="Times New Roman" w:hAnsi="Times New Roman" w:cs="Times New Roman"/>
          <w:sz w:val="24"/>
          <w:szCs w:val="24"/>
        </w:rPr>
        <w:t>2、如果验收过程中，发现招标档、投标档、答疑档、技术交流档等与技术协议书、合同存在差异，原则上以涉及条款中对买方最有利条款为验收依据。</w:t>
      </w:r>
    </w:p>
    <w:p w14:paraId="48C13760">
      <w:pPr>
        <w:rPr>
          <w:rFonts w:ascii="Times New Roman" w:hAnsi="Times New Roman" w:cs="Times New Roman"/>
          <w:b/>
          <w:sz w:val="24"/>
          <w:szCs w:val="24"/>
        </w:rPr>
      </w:pPr>
      <w:r>
        <w:rPr>
          <w:rFonts w:ascii="Times New Roman" w:hAnsi="Times New Roman" w:cs="Times New Roman"/>
          <w:b/>
          <w:sz w:val="24"/>
          <w:szCs w:val="24"/>
        </w:rPr>
        <w:t>二、检验</w:t>
      </w:r>
    </w:p>
    <w:p w14:paraId="2F133BAE">
      <w:pPr>
        <w:jc w:val="both"/>
        <w:rPr>
          <w:rFonts w:ascii="Times New Roman" w:hAnsi="Times New Roman" w:cs="Times New Roman"/>
          <w:sz w:val="24"/>
          <w:szCs w:val="24"/>
        </w:rPr>
      </w:pPr>
      <w:r>
        <w:rPr>
          <w:rFonts w:ascii="Times New Roman" w:hAnsi="Times New Roman" w:cs="Times New Roman"/>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5D22CE1F">
      <w:pPr>
        <w:jc w:val="both"/>
        <w:rPr>
          <w:rFonts w:ascii="Times New Roman" w:hAnsi="Times New Roman" w:cs="Times New Roman"/>
          <w:sz w:val="24"/>
          <w:szCs w:val="24"/>
        </w:rPr>
      </w:pPr>
      <w:r>
        <w:rPr>
          <w:rFonts w:ascii="Times New Roman" w:hAnsi="Times New Roman" w:cs="Times New Roman"/>
          <w:sz w:val="24"/>
          <w:szCs w:val="24"/>
        </w:rPr>
        <w:t>1、国产货物的检验一般由买卖双方共同进行或按照合同要求进行。</w:t>
      </w:r>
    </w:p>
    <w:p w14:paraId="78FFA804">
      <w:pPr>
        <w:jc w:val="both"/>
        <w:rPr>
          <w:rFonts w:ascii="Times New Roman" w:hAnsi="Times New Roman" w:cs="Times New Roman"/>
          <w:sz w:val="24"/>
          <w:szCs w:val="24"/>
        </w:rPr>
      </w:pPr>
      <w:r>
        <w:rPr>
          <w:rFonts w:ascii="Times New Roman" w:hAnsi="Times New Roman" w:cs="Times New Roman"/>
          <w:sz w:val="24"/>
          <w:szCs w:val="24"/>
        </w:rPr>
        <w:t>2、进口货物的检验，卖方需要按照下述要求进行：</w:t>
      </w:r>
    </w:p>
    <w:p w14:paraId="0C8ADFDE">
      <w:pPr>
        <w:jc w:val="both"/>
        <w:rPr>
          <w:rFonts w:ascii="Times New Roman" w:hAnsi="Times New Roman" w:cs="Times New Roman"/>
          <w:sz w:val="24"/>
          <w:szCs w:val="24"/>
        </w:rPr>
      </w:pPr>
      <w:r>
        <w:rPr>
          <w:rFonts w:ascii="Times New Roman" w:hAnsi="Times New Roman" w:cs="Times New Roman"/>
          <w:sz w:val="24"/>
          <w:szCs w:val="24"/>
        </w:rPr>
        <w:t>2.1  进口货物发货前，应对货物的质量、型号、规格、性能和数量/重量作精密、全面的检验，并出具证明书，证明所供货物符合合同规定。</w:t>
      </w:r>
    </w:p>
    <w:p w14:paraId="7A6E4A25">
      <w:pPr>
        <w:jc w:val="both"/>
        <w:rPr>
          <w:rFonts w:ascii="Times New Roman" w:hAnsi="Times New Roman" w:cs="Times New Roman"/>
          <w:sz w:val="24"/>
          <w:szCs w:val="24"/>
        </w:rPr>
      </w:pPr>
      <w:r>
        <w:rPr>
          <w:rFonts w:ascii="Times New Roman" w:hAnsi="Times New Roman" w:cs="Times New Roman"/>
          <w:sz w:val="24"/>
          <w:szCs w:val="24"/>
        </w:rPr>
        <w:t>2.2  应依据合同规定的要求，提供买卖双方达成一致的货物的验收标准和装箱单，作为买方检验的依据。</w:t>
      </w:r>
    </w:p>
    <w:p w14:paraId="3652774D">
      <w:pPr>
        <w:jc w:val="both"/>
        <w:rPr>
          <w:rFonts w:ascii="Times New Roman" w:hAnsi="Times New Roman" w:cs="Times New Roman"/>
          <w:sz w:val="24"/>
          <w:szCs w:val="24"/>
        </w:rPr>
      </w:pPr>
      <w:r>
        <w:rPr>
          <w:rFonts w:ascii="Times New Roman" w:hAnsi="Times New Roman" w:cs="Times New Roman"/>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175C537">
      <w:pPr>
        <w:rPr>
          <w:rFonts w:ascii="Times New Roman" w:hAnsi="Times New Roman" w:cs="Times New Roman"/>
          <w:b/>
          <w:sz w:val="24"/>
          <w:szCs w:val="24"/>
        </w:rPr>
      </w:pPr>
      <w:r>
        <w:rPr>
          <w:rFonts w:ascii="Times New Roman" w:hAnsi="Times New Roman" w:cs="Times New Roman"/>
          <w:b/>
          <w:sz w:val="24"/>
          <w:szCs w:val="24"/>
        </w:rPr>
        <w:t>三、验收基本条件</w:t>
      </w:r>
    </w:p>
    <w:p w14:paraId="4A594C2C">
      <w:pPr>
        <w:rPr>
          <w:rFonts w:ascii="Times New Roman" w:hAnsi="Times New Roman" w:cs="Times New Roman"/>
          <w:sz w:val="24"/>
          <w:szCs w:val="24"/>
        </w:rPr>
      </w:pPr>
      <w:r>
        <w:rPr>
          <w:rFonts w:ascii="Times New Roman" w:hAnsi="Times New Roman" w:cs="Times New Roman"/>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73AAA99">
      <w:pPr>
        <w:rPr>
          <w:rFonts w:ascii="Times New Roman" w:hAnsi="Times New Roman" w:cs="Times New Roman"/>
          <w:sz w:val="24"/>
          <w:szCs w:val="24"/>
        </w:rPr>
      </w:pPr>
      <w:r>
        <w:rPr>
          <w:rFonts w:ascii="Times New Roman" w:hAnsi="Times New Roman" w:cs="Times New Roman"/>
          <w:sz w:val="24"/>
          <w:szCs w:val="24"/>
        </w:rPr>
        <w:t>买卖双方按照合同约定执行了合同，同时货物完成了试运行并经检验合格，则具备验收条件。</w:t>
      </w:r>
    </w:p>
    <w:p w14:paraId="12671DA5">
      <w:pPr>
        <w:rPr>
          <w:rFonts w:ascii="Times New Roman" w:hAnsi="Times New Roman" w:cs="Times New Roman"/>
          <w:sz w:val="24"/>
          <w:szCs w:val="24"/>
        </w:rPr>
      </w:pPr>
      <w:r>
        <w:rPr>
          <w:rFonts w:ascii="Times New Roman" w:hAnsi="Times New Roman" w:cs="Times New Roman"/>
          <w:sz w:val="24"/>
          <w:szCs w:val="24"/>
        </w:rPr>
        <w:t>1、预验收一般条件</w:t>
      </w:r>
    </w:p>
    <w:p w14:paraId="16D3CCCF">
      <w:pPr>
        <w:rPr>
          <w:rFonts w:ascii="Times New Roman" w:hAnsi="Times New Roman" w:cs="Times New Roman"/>
          <w:sz w:val="24"/>
          <w:szCs w:val="24"/>
        </w:rPr>
      </w:pPr>
      <w:r>
        <w:rPr>
          <w:rFonts w:ascii="Times New Roman" w:hAnsi="Times New Roman" w:cs="Times New Roman"/>
          <w:sz w:val="24"/>
          <w:szCs w:val="24"/>
        </w:rPr>
        <w:t>1.1  卖方已经按照“供货范围”要求提供了预验收资料，并且资料齐全、完整和有效。</w:t>
      </w:r>
    </w:p>
    <w:p w14:paraId="061A91A2">
      <w:pPr>
        <w:rPr>
          <w:rFonts w:ascii="Times New Roman" w:hAnsi="Times New Roman" w:cs="Times New Roman"/>
          <w:sz w:val="24"/>
          <w:szCs w:val="24"/>
        </w:rPr>
      </w:pPr>
      <w:r>
        <w:rPr>
          <w:rFonts w:ascii="Times New Roman" w:hAnsi="Times New Roman" w:cs="Times New Roman"/>
          <w:sz w:val="24"/>
          <w:szCs w:val="24"/>
        </w:rPr>
        <w:t>1.2  货物应完整且所有的零部件应该安装牢固，外观无损伤，所有的焊缝饱满、无残渣等缺陷。</w:t>
      </w:r>
    </w:p>
    <w:p w14:paraId="64638CB0">
      <w:pPr>
        <w:rPr>
          <w:rFonts w:ascii="Times New Roman" w:hAnsi="Times New Roman" w:cs="Times New Roman"/>
          <w:sz w:val="24"/>
          <w:szCs w:val="24"/>
        </w:rPr>
      </w:pPr>
      <w:r>
        <w:rPr>
          <w:rFonts w:ascii="Times New Roman" w:hAnsi="Times New Roman" w:cs="Times New Roman"/>
          <w:sz w:val="24"/>
          <w:szCs w:val="24"/>
        </w:rPr>
        <w:t>1.3  一般情况下，所有的管路和线缆等，接头应完全正确、可靠地联接；应排列有序（正确、牢固、整齐），有必要的防护，无皱褶、收缩和裂缝等不良现象。</w:t>
      </w:r>
    </w:p>
    <w:p w14:paraId="12B8D479">
      <w:pPr>
        <w:rPr>
          <w:rFonts w:ascii="Times New Roman" w:hAnsi="Times New Roman" w:cs="Times New Roman"/>
          <w:sz w:val="24"/>
          <w:szCs w:val="24"/>
        </w:rPr>
      </w:pPr>
      <w:r>
        <w:rPr>
          <w:rFonts w:ascii="Times New Roman" w:hAnsi="Times New Roman" w:cs="Times New Roman"/>
          <w:sz w:val="24"/>
          <w:szCs w:val="24"/>
        </w:rPr>
        <w:t>1.4  使用的压力容器、电气等应具备合格证（如果有压力容器）。</w:t>
      </w:r>
    </w:p>
    <w:p w14:paraId="1848AB05">
      <w:pPr>
        <w:rPr>
          <w:rFonts w:ascii="Times New Roman" w:hAnsi="Times New Roman" w:cs="Times New Roman"/>
          <w:sz w:val="24"/>
          <w:szCs w:val="24"/>
        </w:rPr>
      </w:pPr>
      <w:r>
        <w:rPr>
          <w:rFonts w:ascii="Times New Roman" w:hAnsi="Times New Roman" w:cs="Times New Roman"/>
          <w:sz w:val="24"/>
          <w:szCs w:val="24"/>
        </w:rPr>
        <w:t>1.5  货物的油漆质量应饱满、有光泽，无掉漆、无色差、无“桔皮”等不良现象（特殊标志除外）。</w:t>
      </w:r>
    </w:p>
    <w:p w14:paraId="5C5254D2">
      <w:pPr>
        <w:rPr>
          <w:rFonts w:ascii="Times New Roman" w:hAnsi="Times New Roman" w:cs="Times New Roman"/>
          <w:sz w:val="24"/>
          <w:szCs w:val="24"/>
        </w:rPr>
      </w:pPr>
      <w:r>
        <w:rPr>
          <w:rFonts w:ascii="Times New Roman" w:hAnsi="Times New Roman" w:cs="Times New Roman"/>
          <w:sz w:val="24"/>
          <w:szCs w:val="24"/>
        </w:rPr>
        <w:t>1.6  货物标牌完整、清晰、明确。</w:t>
      </w:r>
    </w:p>
    <w:p w14:paraId="6CD13B04">
      <w:pPr>
        <w:rPr>
          <w:rFonts w:ascii="Times New Roman" w:hAnsi="Times New Roman" w:cs="Times New Roman"/>
          <w:sz w:val="24"/>
          <w:szCs w:val="24"/>
        </w:rPr>
      </w:pPr>
      <w:r>
        <w:rPr>
          <w:rFonts w:ascii="Times New Roman" w:hAnsi="Times New Roman" w:cs="Times New Roman"/>
          <w:sz w:val="24"/>
          <w:szCs w:val="24"/>
        </w:rPr>
        <w:t>1.7  货物的安全要求符合中国最新的相关法律、法规、标准和规范以及合同要求。</w:t>
      </w:r>
    </w:p>
    <w:p w14:paraId="64ABB58B">
      <w:pPr>
        <w:rPr>
          <w:rFonts w:ascii="Times New Roman" w:hAnsi="Times New Roman" w:cs="Times New Roman"/>
          <w:sz w:val="24"/>
          <w:szCs w:val="24"/>
        </w:rPr>
      </w:pPr>
      <w:r>
        <w:rPr>
          <w:rFonts w:ascii="Times New Roman" w:hAnsi="Times New Roman" w:cs="Times New Roman"/>
          <w:sz w:val="24"/>
          <w:szCs w:val="24"/>
        </w:rPr>
        <w:t>1.8  设备（或材料）应运行灵活、稳定、可靠、安全，无异常声音和非正常振动，设备不允许出现漏水、漏液、漏气（汽）、漏电。</w:t>
      </w:r>
    </w:p>
    <w:p w14:paraId="2365E00B">
      <w:pPr>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预验收基本要求</w:t>
      </w:r>
    </w:p>
    <w:p w14:paraId="45140CA1">
      <w:pPr>
        <w:rPr>
          <w:rFonts w:ascii="Times New Roman" w:hAnsi="Times New Roman" w:cs="Times New Roman"/>
          <w:sz w:val="24"/>
          <w:szCs w:val="24"/>
        </w:rPr>
      </w:pPr>
      <w:r>
        <w:rPr>
          <w:rFonts w:ascii="Times New Roman" w:hAnsi="Times New Roman" w:cs="Times New Roman"/>
          <w:sz w:val="24"/>
          <w:szCs w:val="24"/>
        </w:rPr>
        <w:t>2.1  设备构成、备件齐全</w:t>
      </w:r>
    </w:p>
    <w:p w14:paraId="1B4C7767">
      <w:pPr>
        <w:rPr>
          <w:rFonts w:ascii="Times New Roman" w:hAnsi="Times New Roman" w:cs="Times New Roman"/>
          <w:sz w:val="24"/>
          <w:szCs w:val="24"/>
        </w:rPr>
      </w:pPr>
      <w:r>
        <w:rPr>
          <w:rFonts w:ascii="Times New Roman" w:hAnsi="Times New Roman" w:cs="Times New Roman"/>
          <w:sz w:val="24"/>
          <w:szCs w:val="24"/>
        </w:rPr>
        <w:t>2.2  设备技术原理符合标书要求</w:t>
      </w:r>
    </w:p>
    <w:p w14:paraId="4B689A56">
      <w:pPr>
        <w:rPr>
          <w:rFonts w:ascii="Times New Roman" w:hAnsi="Times New Roman" w:cs="Times New Roman"/>
          <w:sz w:val="24"/>
          <w:szCs w:val="24"/>
        </w:rPr>
      </w:pPr>
      <w:r>
        <w:rPr>
          <w:rFonts w:ascii="Times New Roman" w:hAnsi="Times New Roman" w:cs="Times New Roman"/>
          <w:sz w:val="24"/>
          <w:szCs w:val="24"/>
        </w:rPr>
        <w:t>2.3  预验收原则上要求一次完成。若一次验收不成功，最多允许两次；如果出现第三次验收失败，重新作价或退货；</w:t>
      </w:r>
    </w:p>
    <w:p w14:paraId="430FA5A7">
      <w:pP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终验收一般条件</w:t>
      </w:r>
    </w:p>
    <w:p w14:paraId="28370D56">
      <w:pPr>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.1 依据招标档、投标档、答疑档、技术交流档等形成并达成一致的技术协议书和合同规定的终验收条件验收。</w:t>
      </w:r>
    </w:p>
    <w:p w14:paraId="442DB984">
      <w:pPr>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.2 出现下列问题之一，视作验收失败：</w:t>
      </w:r>
    </w:p>
    <w:p w14:paraId="29C70B02">
      <w:pPr>
        <w:rPr>
          <w:rFonts w:ascii="Times New Roman" w:hAnsi="Times New Roman" w:cs="Times New Roman"/>
          <w:sz w:val="24"/>
          <w:szCs w:val="24"/>
        </w:rPr>
      </w:pPr>
      <w:r>
        <w:rPr>
          <w:rFonts w:ascii="Times New Roman" w:hAnsi="Times New Roman" w:cs="Times New Roman"/>
          <w:sz w:val="24"/>
          <w:szCs w:val="24"/>
        </w:rPr>
        <w:t>3.2.1 设备验收时，其参数无法满足招标书中的技术要求。</w:t>
      </w:r>
    </w:p>
    <w:p w14:paraId="64DEFD78">
      <w:pPr>
        <w:rPr>
          <w:rFonts w:ascii="Times New Roman" w:hAnsi="Times New Roman" w:cs="Times New Roman"/>
          <w:sz w:val="24"/>
          <w:szCs w:val="24"/>
        </w:rPr>
      </w:pPr>
      <w:r>
        <w:rPr>
          <w:rFonts w:ascii="Times New Roman" w:hAnsi="Times New Roman" w:cs="Times New Roman"/>
          <w:sz w:val="24"/>
          <w:szCs w:val="24"/>
        </w:rPr>
        <w:t>3.2.2 在整个验收过程中发生关键零部件损坏或重大故障；</w:t>
      </w:r>
    </w:p>
    <w:p w14:paraId="51E0AFD8">
      <w:pPr>
        <w:rPr>
          <w:rFonts w:ascii="Times New Roman" w:hAnsi="Times New Roman" w:cs="Times New Roman"/>
          <w:sz w:val="24"/>
          <w:szCs w:val="24"/>
        </w:rPr>
      </w:pPr>
      <w:r>
        <w:rPr>
          <w:rFonts w:ascii="Times New Roman" w:hAnsi="Times New Roman" w:cs="Times New Roman"/>
          <w:sz w:val="24"/>
          <w:szCs w:val="24"/>
        </w:rPr>
        <w:t>3.2.3 更换的零部件货值超过总货值的1%。</w:t>
      </w:r>
    </w:p>
    <w:p w14:paraId="6122FCBC">
      <w:pPr>
        <w:rPr>
          <w:rFonts w:ascii="Times New Roman" w:hAnsi="Times New Roman" w:cs="Times New Roman"/>
          <w:sz w:val="24"/>
          <w:szCs w:val="24"/>
        </w:rPr>
      </w:pPr>
      <w:r>
        <w:rPr>
          <w:rFonts w:ascii="Times New Roman" w:hAnsi="Times New Roman" w:cs="Times New Roman"/>
          <w:sz w:val="24"/>
          <w:szCs w:val="24"/>
        </w:rPr>
        <w:t>3.3 累计负载运行实际性能（或生产率）达不到合同规定；</w:t>
      </w:r>
    </w:p>
    <w:p w14:paraId="6D186ABC">
      <w:pPr>
        <w:rPr>
          <w:rFonts w:ascii="Times New Roman" w:hAnsi="Times New Roman" w:cs="Times New Roman"/>
          <w:sz w:val="24"/>
          <w:szCs w:val="24"/>
        </w:rPr>
      </w:pPr>
      <w:r>
        <w:rPr>
          <w:rFonts w:ascii="Times New Roman" w:hAnsi="Times New Roman" w:cs="Times New Roman"/>
          <w:sz w:val="24"/>
          <w:szCs w:val="24"/>
        </w:rPr>
        <w:t>3.4 终验收原则上要求一次完成。若一次验收不成功，最多允许两次；如果出现第三次验收失败，重新作价或退货；</w:t>
      </w:r>
    </w:p>
    <w:p w14:paraId="04466A2E">
      <w:pPr>
        <w:rPr>
          <w:rFonts w:ascii="Times New Roman" w:hAnsi="Times New Roman" w:cs="Times New Roman"/>
          <w:sz w:val="24"/>
          <w:szCs w:val="24"/>
        </w:rPr>
      </w:pPr>
      <w:r>
        <w:rPr>
          <w:rFonts w:ascii="Times New Roman" w:hAnsi="Times New Roman" w:cs="Times New Roman"/>
          <w:sz w:val="24"/>
          <w:szCs w:val="24"/>
        </w:rPr>
        <w:t>3.5 终验收通过后买卖双方共同签署终验收报告，并移交、核对全部供货范围内物品。</w:t>
      </w:r>
    </w:p>
    <w:p w14:paraId="238A315A">
      <w:pPr>
        <w:jc w:val="center"/>
        <w:rPr>
          <w:rFonts w:ascii="Times New Roman" w:hAnsi="Times New Roman" w:cs="Times New Roman"/>
          <w:b/>
          <w:sz w:val="28"/>
          <w:szCs w:val="24"/>
        </w:rPr>
      </w:pPr>
      <w:r>
        <w:rPr>
          <w:rFonts w:ascii="Times New Roman" w:hAnsi="Times New Roman" w:cs="Times New Roman"/>
          <w:b/>
          <w:sz w:val="28"/>
          <w:szCs w:val="24"/>
        </w:rPr>
        <w:t>第六章  投标技术档一般要求</w:t>
      </w:r>
    </w:p>
    <w:p w14:paraId="64885E45">
      <w:pPr>
        <w:rPr>
          <w:rFonts w:ascii="Times New Roman" w:hAnsi="Times New Roman" w:cs="Times New Roman"/>
          <w:b/>
          <w:sz w:val="24"/>
          <w:szCs w:val="24"/>
        </w:rPr>
      </w:pPr>
      <w:r>
        <w:rPr>
          <w:rFonts w:ascii="Times New Roman" w:hAnsi="Times New Roman" w:cs="Times New Roman"/>
          <w:b/>
          <w:sz w:val="24"/>
          <w:szCs w:val="24"/>
        </w:rPr>
        <w:t>一、技术档一般内容要求</w:t>
      </w:r>
    </w:p>
    <w:p w14:paraId="5DC94492">
      <w:pPr>
        <w:rPr>
          <w:rFonts w:ascii="Times New Roman" w:hAnsi="Times New Roman" w:cs="Times New Roman"/>
          <w:sz w:val="24"/>
          <w:szCs w:val="24"/>
        </w:rPr>
      </w:pPr>
      <w:r>
        <w:rPr>
          <w:rFonts w:ascii="Times New Roman" w:hAnsi="Times New Roman" w:cs="Times New Roman"/>
          <w:sz w:val="24"/>
          <w:szCs w:val="24"/>
        </w:rPr>
        <w:t>1、投标方应认真阅读招标档和本技术标书，并按要求编写投标技术档。</w:t>
      </w:r>
    </w:p>
    <w:p w14:paraId="70F7E570">
      <w:pPr>
        <w:rPr>
          <w:rFonts w:ascii="Times New Roman" w:hAnsi="Times New Roman" w:cs="Times New Roman"/>
          <w:sz w:val="24"/>
          <w:szCs w:val="24"/>
        </w:rPr>
      </w:pPr>
      <w:r>
        <w:rPr>
          <w:rFonts w:ascii="Times New Roman" w:hAnsi="Times New Roman" w:cs="Times New Roman"/>
          <w:sz w:val="24"/>
          <w:szCs w:val="24"/>
        </w:rPr>
        <w:t>2、投标技术档至少应对投标货物的功能用途、技术性能、质量标准、技术参数等作出详细说明。</w:t>
      </w:r>
    </w:p>
    <w:p w14:paraId="28EFFB96">
      <w:pPr>
        <w:rPr>
          <w:rFonts w:ascii="Times New Roman" w:hAnsi="Times New Roman" w:cs="Times New Roman"/>
          <w:sz w:val="24"/>
          <w:szCs w:val="24"/>
        </w:rPr>
      </w:pPr>
      <w:r>
        <w:rPr>
          <w:rFonts w:ascii="Times New Roman" w:hAnsi="Times New Roman" w:cs="Times New Roman"/>
          <w:sz w:val="24"/>
          <w:szCs w:val="24"/>
        </w:rPr>
        <w:t>3、投标技术档至少应根据投标货物的关键设备、总成、零部件或系统作出满足或优于招标档要求的详细说明。</w:t>
      </w:r>
    </w:p>
    <w:p w14:paraId="2ED3D3CA">
      <w:pPr>
        <w:rPr>
          <w:rFonts w:ascii="Times New Roman" w:hAnsi="Times New Roman" w:cs="Times New Roman"/>
          <w:sz w:val="24"/>
          <w:szCs w:val="24"/>
        </w:rPr>
      </w:pPr>
      <w:r>
        <w:rPr>
          <w:rFonts w:ascii="Times New Roman" w:hAnsi="Times New Roman" w:cs="Times New Roman"/>
          <w:sz w:val="24"/>
          <w:szCs w:val="24"/>
        </w:rPr>
        <w:t>4、投标技术档至少应按照招标档要求（或投标方建议）列明备品备件、易损件和专用耗材明细。</w:t>
      </w:r>
    </w:p>
    <w:p w14:paraId="31A837E0">
      <w:pPr>
        <w:rPr>
          <w:rFonts w:ascii="Times New Roman" w:hAnsi="Times New Roman" w:cs="Times New Roman"/>
          <w:sz w:val="24"/>
          <w:szCs w:val="24"/>
        </w:rPr>
      </w:pPr>
      <w:r>
        <w:rPr>
          <w:rFonts w:ascii="Times New Roman" w:hAnsi="Times New Roman" w:cs="Times New Roman"/>
          <w:sz w:val="24"/>
          <w:szCs w:val="24"/>
        </w:rPr>
        <w:t>5、投标方应当而且必须分别说明所列备品备件、易损件和专用耗材的使用寿命（以有效工作小时数说明）。</w:t>
      </w:r>
    </w:p>
    <w:p w14:paraId="0C632334">
      <w:pPr>
        <w:rPr>
          <w:rFonts w:ascii="Times New Roman" w:hAnsi="Times New Roman" w:cs="Times New Roman"/>
          <w:sz w:val="24"/>
          <w:szCs w:val="24"/>
        </w:rPr>
      </w:pPr>
      <w:r>
        <w:rPr>
          <w:rFonts w:ascii="Times New Roman" w:hAnsi="Times New Roman" w:cs="Times New Roman"/>
          <w:sz w:val="24"/>
          <w:szCs w:val="24"/>
        </w:rPr>
        <w:t>6、“开标一览表”和“明细表”仅作为投标方编制投标技术档的一般格式。其中序号编写应当便于招标方了解分类或分项货物之间的所属关系，如1、1.1、1.2。</w:t>
      </w:r>
    </w:p>
    <w:p w14:paraId="7D0A104B">
      <w:pPr>
        <w:rPr>
          <w:rFonts w:ascii="Times New Roman" w:hAnsi="Times New Roman" w:cs="Times New Roman"/>
          <w:sz w:val="24"/>
          <w:szCs w:val="24"/>
        </w:rPr>
      </w:pPr>
      <w:r>
        <w:rPr>
          <w:rFonts w:ascii="Times New Roman" w:hAnsi="Times New Roman" w:cs="Times New Roman"/>
          <w:sz w:val="24"/>
          <w:szCs w:val="24"/>
        </w:rPr>
        <w:t>7、应当尽可能将货物的配置列全、列细，这将有助于投标方胜出。</w:t>
      </w:r>
    </w:p>
    <w:p w14:paraId="09BA57A7">
      <w:pPr>
        <w:rPr>
          <w:rFonts w:ascii="Times New Roman" w:hAnsi="Times New Roman" w:cs="Times New Roman"/>
          <w:sz w:val="24"/>
          <w:szCs w:val="24"/>
        </w:rPr>
      </w:pPr>
      <w:r>
        <w:rPr>
          <w:rFonts w:ascii="Times New Roman" w:hAnsi="Times New Roman" w:cs="Times New Roman"/>
          <w:sz w:val="24"/>
          <w:szCs w:val="24"/>
        </w:rPr>
        <w:t>8、单价与总价之间、总价与分类小计价之间、分类小计价与合计价之间数据应当齐全而且准确。</w:t>
      </w:r>
    </w:p>
    <w:p w14:paraId="3A0B366A">
      <w:pPr>
        <w:rPr>
          <w:rFonts w:ascii="Times New Roman" w:hAnsi="Times New Roman" w:cs="Times New Roman"/>
          <w:sz w:val="24"/>
          <w:szCs w:val="24"/>
        </w:rPr>
      </w:pPr>
      <w:r>
        <w:rPr>
          <w:rFonts w:ascii="Times New Roman" w:hAnsi="Times New Roman" w:cs="Times New Roman"/>
          <w:sz w:val="24"/>
          <w:szCs w:val="24"/>
        </w:rPr>
        <w:t>9、本条款表格中的制造商，应当为全称或公认的简称。</w:t>
      </w:r>
    </w:p>
    <w:p w14:paraId="45F2A3D8">
      <w:pPr>
        <w:rPr>
          <w:rFonts w:ascii="Times New Roman" w:hAnsi="Times New Roman" w:cs="Times New Roman"/>
          <w:b/>
          <w:sz w:val="24"/>
          <w:szCs w:val="24"/>
        </w:rPr>
      </w:pPr>
      <w:r>
        <w:rPr>
          <w:rFonts w:ascii="Times New Roman" w:hAnsi="Times New Roman" w:cs="Times New Roman"/>
          <w:b/>
          <w:sz w:val="24"/>
          <w:szCs w:val="24"/>
        </w:rPr>
        <w:t>二、技术档中货物报价格式要求</w:t>
      </w:r>
    </w:p>
    <w:p w14:paraId="49662C76">
      <w:pPr>
        <w:rPr>
          <w:rFonts w:ascii="Times New Roman" w:hAnsi="Times New Roman" w:cs="Times New Roman"/>
          <w:sz w:val="24"/>
          <w:szCs w:val="24"/>
        </w:rPr>
      </w:pPr>
      <w:r>
        <w:rPr>
          <w:rFonts w:ascii="Times New Roman" w:hAnsi="Times New Roman" w:cs="Times New Roman"/>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159309D0">
      <w:pPr>
        <w:rPr>
          <w:rFonts w:ascii="Times New Roman" w:hAnsi="Times New Roman" w:cs="Times New Roman"/>
          <w:sz w:val="24"/>
          <w:szCs w:val="24"/>
        </w:rPr>
      </w:pPr>
      <w:r>
        <w:rPr>
          <w:rFonts w:ascii="Times New Roman" w:hAnsi="Times New Roman" w:cs="Times New Roman"/>
          <w:sz w:val="24"/>
          <w:szCs w:val="24"/>
        </w:rPr>
        <w:t>2、如果投标总报价与其它价格出现错误或不一致，将有可能导致废标。</w:t>
      </w:r>
    </w:p>
    <w:p w14:paraId="50F9D251">
      <w:pPr>
        <w:rPr>
          <w:rFonts w:ascii="Times New Roman" w:hAnsi="Times New Roman" w:cs="Times New Roman"/>
          <w:sz w:val="24"/>
          <w:szCs w:val="24"/>
        </w:rPr>
      </w:pPr>
      <w:r>
        <w:rPr>
          <w:rFonts w:ascii="Times New Roman" w:hAnsi="Times New Roman" w:cs="Times New Roman"/>
          <w:sz w:val="24"/>
          <w:szCs w:val="24"/>
        </w:rPr>
        <w:t>3、投标总报价为自合同签定生效至合同无异议执行完毕涉及的买方需要支付的全部费用。如投标方认为本招标及投标货物涉及特需或专门的设计，应当单独列明设计费。</w:t>
      </w:r>
    </w:p>
    <w:p w14:paraId="19662DB2">
      <w:pPr>
        <w:rPr>
          <w:rFonts w:ascii="Times New Roman" w:hAnsi="Times New Roman" w:cs="Times New Roman"/>
          <w:sz w:val="24"/>
          <w:szCs w:val="24"/>
        </w:rPr>
      </w:pPr>
      <w:r>
        <w:rPr>
          <w:rFonts w:ascii="Times New Roman" w:hAnsi="Times New Roman" w:cs="Times New Roman"/>
          <w:sz w:val="24"/>
          <w:szCs w:val="24"/>
        </w:rPr>
        <w:t>4、要求投标总报价、分项报价、明细报价之间应当具有相互间对应关系以及填报分项和明细报价，仅为便于评标而不妨碍投标人以最合适的形式签署合同。</w:t>
      </w:r>
    </w:p>
    <w:p w14:paraId="3664D2AD">
      <w:pPr>
        <w:rPr>
          <w:rFonts w:ascii="Times New Roman" w:hAnsi="Times New Roman" w:cs="Times New Roman"/>
          <w:b/>
          <w:sz w:val="24"/>
          <w:szCs w:val="24"/>
        </w:rPr>
      </w:pPr>
      <w:r>
        <w:rPr>
          <w:rFonts w:ascii="Times New Roman" w:hAnsi="Times New Roman" w:cs="Times New Roman"/>
          <w:b/>
          <w:sz w:val="24"/>
          <w:szCs w:val="24"/>
        </w:rPr>
        <w:t>三、验收标准及内容要求</w:t>
      </w:r>
    </w:p>
    <w:p w14:paraId="62E9A027">
      <w:pPr>
        <w:rPr>
          <w:rFonts w:ascii="Times New Roman" w:hAnsi="Times New Roman" w:cs="Times New Roman"/>
          <w:sz w:val="24"/>
          <w:szCs w:val="24"/>
        </w:rPr>
      </w:pPr>
      <w:r>
        <w:rPr>
          <w:rFonts w:ascii="Times New Roman" w:hAnsi="Times New Roman" w:cs="Times New Roman"/>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26E8AB95">
      <w:pPr>
        <w:jc w:val="center"/>
        <w:rPr>
          <w:rFonts w:ascii="Times New Roman" w:hAnsi="Times New Roman" w:cs="Times New Roman"/>
          <w:b/>
          <w:sz w:val="28"/>
          <w:szCs w:val="24"/>
        </w:rPr>
      </w:pPr>
      <w:r>
        <w:rPr>
          <w:rFonts w:ascii="Times New Roman" w:hAnsi="Times New Roman" w:cs="Times New Roman"/>
          <w:b/>
          <w:sz w:val="28"/>
          <w:szCs w:val="24"/>
        </w:rPr>
        <w:t>第七章  其他要求及说明</w:t>
      </w:r>
    </w:p>
    <w:p w14:paraId="4D36F882">
      <w:pPr>
        <w:rPr>
          <w:rFonts w:ascii="Times New Roman" w:hAnsi="Times New Roman" w:cs="Times New Roman"/>
          <w:b/>
          <w:sz w:val="24"/>
          <w:szCs w:val="24"/>
        </w:rPr>
      </w:pPr>
      <w:r>
        <w:rPr>
          <w:rFonts w:ascii="Times New Roman" w:hAnsi="Times New Roman" w:cs="Times New Roman"/>
          <w:b/>
          <w:sz w:val="24"/>
          <w:szCs w:val="24"/>
        </w:rPr>
        <w:t>一、要求</w:t>
      </w:r>
    </w:p>
    <w:p w14:paraId="1E43814B">
      <w:pPr>
        <w:rPr>
          <w:rFonts w:ascii="Times New Roman" w:hAnsi="Times New Roman" w:cs="Times New Roman"/>
          <w:sz w:val="24"/>
          <w:szCs w:val="24"/>
        </w:rPr>
      </w:pPr>
      <w:r>
        <w:rPr>
          <w:rFonts w:ascii="Times New Roman" w:hAnsi="Times New Roman" w:cs="Times New Roman"/>
          <w:sz w:val="24"/>
          <w:szCs w:val="24"/>
        </w:rPr>
        <w:t>为保证本技术标书所列采购货物的质量以及先进性、可靠性、经济性和实用性，要求投标方在投标档中，至少应具备以下资格证明档或资料：</w:t>
      </w:r>
    </w:p>
    <w:p w14:paraId="66857388">
      <w:pPr>
        <w:rPr>
          <w:rFonts w:ascii="Times New Roman" w:hAnsi="Times New Roman" w:cs="Times New Roman"/>
          <w:sz w:val="24"/>
          <w:szCs w:val="24"/>
        </w:rPr>
      </w:pPr>
      <w:r>
        <w:rPr>
          <w:rFonts w:ascii="Times New Roman" w:hAnsi="Times New Roman" w:cs="Times New Roman"/>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79EFB4B2">
      <w:pPr>
        <w:rPr>
          <w:rFonts w:ascii="Times New Roman" w:hAnsi="Times New Roman" w:cs="Times New Roman"/>
          <w:sz w:val="24"/>
          <w:szCs w:val="24"/>
        </w:rPr>
      </w:pPr>
      <w:r>
        <w:rPr>
          <w:rFonts w:ascii="Times New Roman" w:hAnsi="Times New Roman" w:cs="Times New Roman"/>
          <w:sz w:val="24"/>
          <w:szCs w:val="24"/>
        </w:rPr>
        <w:t>2、必须附有：2022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6303FABD">
      <w:pPr>
        <w:rPr>
          <w:rFonts w:ascii="Times New Roman" w:hAnsi="Times New Roman" w:cs="Times New Roman"/>
          <w:b/>
          <w:sz w:val="24"/>
          <w:szCs w:val="24"/>
        </w:rPr>
      </w:pPr>
      <w:r>
        <w:rPr>
          <w:rFonts w:ascii="Times New Roman" w:hAnsi="Times New Roman" w:cs="Times New Roman"/>
          <w:b/>
          <w:sz w:val="24"/>
          <w:szCs w:val="24"/>
        </w:rPr>
        <w:t>二、说明</w:t>
      </w:r>
    </w:p>
    <w:p w14:paraId="225F0CAF">
      <w:pPr>
        <w:rPr>
          <w:rFonts w:ascii="Times New Roman" w:hAnsi="Times New Roman" w:cs="Times New Roman"/>
          <w:sz w:val="24"/>
          <w:szCs w:val="24"/>
        </w:rPr>
      </w:pPr>
      <w:r>
        <w:rPr>
          <w:rFonts w:ascii="Times New Roman" w:hAnsi="Times New Roman" w:cs="Times New Roman"/>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42AE96E3">
      <w:pPr>
        <w:rPr>
          <w:rFonts w:ascii="Times New Roman" w:hAnsi="Times New Roman" w:cs="Times New Roman"/>
          <w:sz w:val="24"/>
          <w:szCs w:val="24"/>
        </w:rPr>
      </w:pPr>
      <w:r>
        <w:rPr>
          <w:rFonts w:ascii="Times New Roman" w:hAnsi="Times New Roman" w:cs="Times New Roman"/>
          <w:sz w:val="24"/>
          <w:szCs w:val="24"/>
        </w:rPr>
        <w:t>2、即使有建议意见或建议方案，仍应依据招标档和本技术标书要求，编写符合要求的投标档。建议方案或建议意见，应以单独篇章或档，予以说明和报价。</w:t>
      </w:r>
    </w:p>
    <w:p w14:paraId="752F8A43">
      <w:pPr>
        <w:rPr>
          <w:rFonts w:ascii="Times New Roman" w:hAnsi="Times New Roman" w:cs="Times New Roman"/>
          <w:sz w:val="24"/>
          <w:szCs w:val="24"/>
        </w:rPr>
      </w:pPr>
      <w:r>
        <w:rPr>
          <w:rFonts w:ascii="Times New Roman" w:hAnsi="Times New Roman" w:cs="Times New Roman"/>
          <w:sz w:val="24"/>
          <w:szCs w:val="24"/>
        </w:rPr>
        <w:t>3、招标档、投标档、答疑档、技术交流档、技术协议书等，在采购过程全部为有效档，如有差异，以对招标方最有利的条款为准。</w:t>
      </w:r>
    </w:p>
    <w:p w14:paraId="1C365F6B">
      <w:pPr>
        <w:rPr>
          <w:rFonts w:ascii="Times New Roman" w:hAnsi="Times New Roman" w:cs="Times New Roman"/>
          <w:sz w:val="24"/>
          <w:szCs w:val="24"/>
        </w:rPr>
      </w:pPr>
      <w:r>
        <w:rPr>
          <w:rFonts w:ascii="Times New Roman" w:hAnsi="Times New Roman" w:cs="Times New Roman"/>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03DAF69B">
      <w:pPr>
        <w:spacing w:line="240" w:lineRule="exact"/>
        <w:jc w:val="center"/>
        <w:rPr>
          <w:rFonts w:hint="eastAsia" w:eastAsia="黑体"/>
          <w:b/>
          <w:color w:val="000000"/>
          <w:sz w:val="11"/>
          <w:szCs w:val="11"/>
        </w:rPr>
      </w:pPr>
    </w:p>
    <w:p w14:paraId="01D24ADC">
      <w:pPr>
        <w:spacing w:line="240" w:lineRule="exact"/>
        <w:jc w:val="center"/>
        <w:rPr>
          <w:rFonts w:hint="eastAsia" w:eastAsia="黑体"/>
          <w:b/>
          <w:color w:val="000000"/>
          <w:sz w:val="11"/>
          <w:szCs w:val="11"/>
        </w:rPr>
      </w:pPr>
    </w:p>
    <w:p w14:paraId="3D2D0DA9">
      <w:pPr>
        <w:pStyle w:val="184"/>
        <w:spacing w:line="360" w:lineRule="auto"/>
        <w:ind w:left="0" w:leftChars="0" w:firstLine="0" w:firstLineChars="0"/>
        <w:rPr>
          <w:rFonts w:hint="eastAsia" w:ascii="仿宋_GB2312" w:hAnsi="仿宋" w:eastAsia="仿宋_GB2312"/>
          <w:sz w:val="28"/>
          <w:szCs w:val="28"/>
        </w:rPr>
      </w:pPr>
      <w:bookmarkStart w:id="34" w:name="_Toc51443070"/>
    </w:p>
    <w:bookmarkEnd w:id="34"/>
    <w:p w14:paraId="0E552E8D">
      <w:pPr>
        <w:spacing w:line="360" w:lineRule="auto"/>
        <w:jc w:val="left"/>
        <w:rPr>
          <w:rFonts w:hint="default" w:ascii="Times New Roman" w:hAnsi="Times New Roman" w:cs="Times New Roman" w:eastAsiaTheme="minorEastAsia"/>
          <w:b/>
          <w:sz w:val="32"/>
          <w:szCs w:val="32"/>
          <w:lang w:val="en-US" w:eastAsia="zh-CN"/>
        </w:rPr>
      </w:pPr>
      <w:r>
        <w:rPr>
          <w:rFonts w:hint="eastAsia" w:ascii="Times New Roman" w:hAnsi="Times New Roman" w:cs="Times New Roman"/>
          <w:bCs/>
          <w:sz w:val="32"/>
          <w:szCs w:val="32"/>
          <w:lang w:val="en-US" w:eastAsia="zh-CN"/>
        </w:rPr>
        <w:t>包2：</w:t>
      </w:r>
    </w:p>
    <w:p w14:paraId="6999823D">
      <w:pPr>
        <w:spacing w:line="360" w:lineRule="auto"/>
        <w:jc w:val="center"/>
        <w:rPr>
          <w:rFonts w:ascii="Times New Roman" w:hAnsi="Times New Roman" w:cs="Times New Roman"/>
          <w:b/>
          <w:sz w:val="32"/>
          <w:szCs w:val="32"/>
        </w:rPr>
      </w:pPr>
    </w:p>
    <w:p w14:paraId="71B4248A">
      <w:pPr>
        <w:pStyle w:val="17"/>
        <w:jc w:val="center"/>
        <w:rPr>
          <w:rFonts w:ascii="Times New Roman" w:hAnsi="Times New Roman" w:eastAsia="宋体" w:cs="Times New Roman"/>
          <w:b/>
          <w:bCs/>
          <w:color w:val="000000"/>
          <w:spacing w:val="-8"/>
          <w:sz w:val="52"/>
          <w:szCs w:val="52"/>
        </w:rPr>
      </w:pPr>
      <w:r>
        <w:rPr>
          <w:rFonts w:ascii="Times New Roman" w:hAnsi="Times New Roman" w:eastAsia="宋体" w:cs="Times New Roman"/>
          <w:b/>
          <w:bCs/>
          <w:color w:val="000000"/>
          <w:spacing w:val="-8"/>
          <w:sz w:val="52"/>
          <w:szCs w:val="52"/>
        </w:rPr>
        <w:t>中国重汽集团杭州发动机有限公司</w:t>
      </w:r>
    </w:p>
    <w:p w14:paraId="264873E5">
      <w:pPr>
        <w:pStyle w:val="17"/>
        <w:jc w:val="center"/>
        <w:rPr>
          <w:rFonts w:ascii="Times New Roman" w:hAnsi="Times New Roman" w:eastAsia="宋体" w:cs="Times New Roman"/>
          <w:b/>
          <w:bCs/>
          <w:color w:val="000000"/>
          <w:spacing w:val="-8"/>
          <w:sz w:val="52"/>
          <w:szCs w:val="52"/>
        </w:rPr>
      </w:pPr>
      <w:r>
        <w:rPr>
          <w:rFonts w:ascii="Times New Roman" w:hAnsi="Times New Roman" w:eastAsia="宋体" w:cs="Times New Roman"/>
          <w:b/>
          <w:bCs/>
          <w:color w:val="000000"/>
          <w:spacing w:val="-8"/>
          <w:sz w:val="52"/>
          <w:szCs w:val="52"/>
        </w:rPr>
        <w:t xml:space="preserve">真空混砂机等冷却塔更新改造项目 </w:t>
      </w:r>
    </w:p>
    <w:p w14:paraId="167C6116">
      <w:pPr>
        <w:pStyle w:val="17"/>
        <w:jc w:val="center"/>
        <w:rPr>
          <w:rFonts w:ascii="Times New Roman" w:hAnsi="Times New Roman" w:eastAsia="宋体" w:cs="Times New Roman"/>
          <w:b/>
          <w:bCs/>
          <w:color w:val="000000"/>
          <w:spacing w:val="-8"/>
          <w:sz w:val="52"/>
          <w:szCs w:val="52"/>
        </w:rPr>
      </w:pPr>
    </w:p>
    <w:p w14:paraId="47405E38">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技</w:t>
      </w:r>
    </w:p>
    <w:p w14:paraId="03501B16">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术</w:t>
      </w:r>
    </w:p>
    <w:p w14:paraId="4CA3C48D">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标</w:t>
      </w:r>
    </w:p>
    <w:p w14:paraId="65A209C2">
      <w:pPr>
        <w:jc w:val="center"/>
        <w:rPr>
          <w:rFonts w:ascii="Times New Roman" w:hAnsi="Times New Roman" w:eastAsia="黑体" w:cs="Times New Roman"/>
          <w:color w:val="000000"/>
          <w:sz w:val="72"/>
          <w:szCs w:val="72"/>
        </w:rPr>
      </w:pPr>
      <w:r>
        <w:rPr>
          <w:rFonts w:ascii="Times New Roman" w:hAnsi="Times New Roman" w:eastAsia="宋体" w:cs="Times New Roman"/>
          <w:color w:val="000000"/>
          <w:sz w:val="72"/>
          <w:szCs w:val="72"/>
        </w:rPr>
        <w:t>书</w:t>
      </w:r>
    </w:p>
    <w:p w14:paraId="6117B203">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编制：王   锋</w:t>
      </w:r>
    </w:p>
    <w:p w14:paraId="148D58C6">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校对：宋建武</w:t>
      </w:r>
    </w:p>
    <w:p w14:paraId="7BFF9BE3">
      <w:pPr>
        <w:spacing w:line="860" w:lineRule="exact"/>
        <w:jc w:val="center"/>
        <w:rPr>
          <w:rFonts w:ascii="Times New Roman" w:hAnsi="Times New Roman" w:eastAsia="宋体" w:cs="Times New Roman"/>
          <w:sz w:val="32"/>
          <w:szCs w:val="28"/>
        </w:rPr>
      </w:pPr>
      <w:r>
        <w:rPr>
          <w:rFonts w:ascii="Times New Roman" w:hAnsi="Times New Roman" w:eastAsia="宋体" w:cs="Times New Roman"/>
          <w:b/>
          <w:bCs/>
          <w:sz w:val="32"/>
          <w:szCs w:val="28"/>
        </w:rPr>
        <w:t>会签：王宏年</w:t>
      </w:r>
    </w:p>
    <w:p w14:paraId="309C5A49">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审核：钟晓渝</w:t>
      </w:r>
    </w:p>
    <w:p w14:paraId="3A08A00C">
      <w:pPr>
        <w:spacing w:line="860" w:lineRule="exact"/>
        <w:jc w:val="center"/>
        <w:rPr>
          <w:rFonts w:ascii="Times New Roman" w:hAnsi="Times New Roman" w:eastAsia="宋体" w:cs="Times New Roman"/>
          <w:b/>
          <w:bCs/>
          <w:sz w:val="32"/>
          <w:szCs w:val="28"/>
        </w:rPr>
      </w:pPr>
      <w:r>
        <w:rPr>
          <w:rFonts w:ascii="Times New Roman" w:hAnsi="Times New Roman" w:eastAsia="宋体" w:cs="Times New Roman"/>
          <w:b/>
          <w:bCs/>
          <w:sz w:val="32"/>
          <w:szCs w:val="28"/>
        </w:rPr>
        <w:t>批准：姜爱良</w:t>
      </w:r>
    </w:p>
    <w:p w14:paraId="5D49C279">
      <w:pPr>
        <w:pStyle w:val="17"/>
        <w:rPr>
          <w:rFonts w:ascii="Times New Roman" w:hAnsi="Times New Roman" w:eastAsia="华文仿宋" w:cs="Times New Roman"/>
          <w:b/>
          <w:bCs/>
          <w:sz w:val="32"/>
          <w:szCs w:val="28"/>
        </w:rPr>
      </w:pPr>
    </w:p>
    <w:p w14:paraId="56D70F0E">
      <w:pPr>
        <w:pStyle w:val="17"/>
        <w:rPr>
          <w:rFonts w:ascii="Times New Roman" w:hAnsi="Times New Roman" w:cs="Times New Roman"/>
          <w:b/>
          <w:bCs/>
        </w:rPr>
      </w:pPr>
    </w:p>
    <w:p w14:paraId="5EAC6DD3">
      <w:pPr>
        <w:jc w:val="center"/>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招 标 人：中国重汽集团杭州发动机有限公司</w:t>
      </w:r>
    </w:p>
    <w:p w14:paraId="76265897">
      <w:pPr>
        <w:jc w:val="center"/>
        <w:rPr>
          <w:rFonts w:ascii="Times New Roman" w:hAnsi="Times New Roman" w:eastAsia="宋体" w:cs="Times New Roman"/>
          <w:b/>
          <w:bCs/>
          <w:kern w:val="44"/>
          <w:sz w:val="36"/>
          <w:szCs w:val="44"/>
        </w:rPr>
      </w:pPr>
      <w:r>
        <w:rPr>
          <w:rFonts w:ascii="Times New Roman" w:hAnsi="Times New Roman" w:eastAsia="宋体" w:cs="Times New Roman"/>
          <w:color w:val="000000"/>
          <w:sz w:val="28"/>
          <w:szCs w:val="28"/>
        </w:rPr>
        <w:t>2025年</w:t>
      </w:r>
      <w:r>
        <w:rPr>
          <w:rFonts w:hint="eastAsia" w:ascii="Times New Roman" w:hAnsi="Times New Roman" w:eastAsia="宋体" w:cs="Times New Roman"/>
          <w:color w:val="000000"/>
          <w:sz w:val="28"/>
          <w:szCs w:val="28"/>
          <w:lang w:val="en-US" w:eastAsia="zh-CN"/>
        </w:rPr>
        <w:t>11</w:t>
      </w:r>
      <w:r>
        <w:rPr>
          <w:rFonts w:ascii="Times New Roman" w:hAnsi="Times New Roman" w:eastAsia="宋体" w:cs="Times New Roman"/>
          <w:color w:val="000000"/>
          <w:sz w:val="28"/>
          <w:szCs w:val="28"/>
        </w:rPr>
        <w:t>月</w:t>
      </w:r>
    </w:p>
    <w:p w14:paraId="2C32C569">
      <w:pPr>
        <w:spacing w:line="360" w:lineRule="auto"/>
        <w:rPr>
          <w:rFonts w:ascii="Times New Roman" w:hAnsi="Times New Roman" w:eastAsia="宋体" w:cs="Times New Roman"/>
          <w:b/>
          <w:sz w:val="36"/>
          <w:szCs w:val="36"/>
        </w:rPr>
        <w:sectPr>
          <w:headerReference r:id="rId10" w:type="default"/>
          <w:footerReference r:id="rId11" w:type="default"/>
          <w:pgSz w:w="11907" w:h="16840"/>
          <w:pgMar w:top="1304" w:right="1418" w:bottom="1304" w:left="1418" w:header="724" w:footer="851" w:gutter="0"/>
          <w:pgNumType w:fmt="numberInDash"/>
          <w:cols w:space="720" w:num="1"/>
          <w:docGrid w:linePitch="290" w:charSpace="-3931"/>
        </w:sectPr>
      </w:pPr>
    </w:p>
    <w:p w14:paraId="113B95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第一章  采购货物概况</w:t>
      </w:r>
    </w:p>
    <w:p w14:paraId="689CE54D">
      <w:pPr>
        <w:spacing w:before="156" w:beforeLines="50" w:line="360" w:lineRule="auto"/>
        <w:jc w:val="both"/>
        <w:rPr>
          <w:rFonts w:ascii="Times New Roman" w:hAnsi="Times New Roman" w:cs="Times New Roman"/>
          <w:b/>
          <w:sz w:val="24"/>
          <w:szCs w:val="24"/>
        </w:rPr>
      </w:pPr>
      <w:r>
        <w:rPr>
          <w:rFonts w:ascii="Times New Roman" w:hAnsi="Times New Roman" w:cs="Times New Roman"/>
          <w:b/>
          <w:sz w:val="24"/>
          <w:szCs w:val="24"/>
        </w:rPr>
        <w:t>第一节  使用环境</w:t>
      </w:r>
    </w:p>
    <w:p w14:paraId="5619D4B1">
      <w:pPr>
        <w:spacing w:line="360" w:lineRule="auto"/>
        <w:jc w:val="both"/>
        <w:rPr>
          <w:rFonts w:ascii="Times New Roman" w:hAnsi="Times New Roman" w:cs="Times New Roman"/>
          <w:sz w:val="24"/>
          <w:szCs w:val="24"/>
        </w:rPr>
      </w:pPr>
      <w:r>
        <w:rPr>
          <w:rFonts w:ascii="Times New Roman" w:hAnsi="Times New Roman" w:cs="Times New Roman"/>
          <w:sz w:val="24"/>
          <w:szCs w:val="24"/>
        </w:rPr>
        <w:t>一、项目名称：</w:t>
      </w:r>
      <w:r>
        <w:rPr>
          <w:rFonts w:ascii="Times New Roman" w:hAnsi="Times New Roman" w:cs="Times New Roman"/>
          <w:sz w:val="24"/>
          <w:szCs w:val="24"/>
          <w:u w:val="single"/>
        </w:rPr>
        <w:t>真空混砂机等冷却塔更新改造项目</w:t>
      </w:r>
    </w:p>
    <w:p w14:paraId="28E08B67">
      <w:pPr>
        <w:spacing w:line="360" w:lineRule="auto"/>
        <w:jc w:val="both"/>
        <w:rPr>
          <w:rFonts w:ascii="Times New Roman" w:hAnsi="Times New Roman" w:cs="Times New Roman"/>
          <w:sz w:val="24"/>
          <w:szCs w:val="24"/>
        </w:rPr>
      </w:pPr>
      <w:r>
        <w:rPr>
          <w:rFonts w:ascii="Times New Roman" w:hAnsi="Times New Roman" w:cs="Times New Roman"/>
          <w:sz w:val="24"/>
          <w:szCs w:val="24"/>
        </w:rPr>
        <w:t>二、建设地点：</w:t>
      </w:r>
      <w:r>
        <w:rPr>
          <w:rFonts w:ascii="Times New Roman" w:hAnsi="Times New Roman" w:eastAsia="宋体" w:cs="Times New Roman"/>
          <w:sz w:val="24"/>
          <w:szCs w:val="24"/>
          <w:u w:val="single"/>
        </w:rPr>
        <w:t>杭州市萧山经济技术开发区红泰六路699号</w:t>
      </w:r>
      <w:r>
        <w:rPr>
          <w:rFonts w:ascii="Times New Roman" w:hAnsi="Times New Roman" w:cs="Times New Roman"/>
          <w:sz w:val="24"/>
          <w:szCs w:val="24"/>
        </w:rPr>
        <w:t xml:space="preserve"> </w:t>
      </w:r>
    </w:p>
    <w:p w14:paraId="391DBA74">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三、使用地点：</w:t>
      </w:r>
      <w:r>
        <w:rPr>
          <w:rFonts w:ascii="Times New Roman" w:hAnsi="Times New Roman" w:cs="Times New Roman"/>
          <w:sz w:val="24"/>
          <w:szCs w:val="24"/>
          <w:u w:val="single"/>
        </w:rPr>
        <w:t>中国重汽集团杭州发动机有限公司</w:t>
      </w:r>
    </w:p>
    <w:p w14:paraId="3B336215">
      <w:pPr>
        <w:spacing w:line="360" w:lineRule="auto"/>
        <w:jc w:val="both"/>
        <w:rPr>
          <w:rFonts w:ascii="Times New Roman" w:hAnsi="Times New Roman" w:eastAsia="宋体" w:cs="Times New Roman"/>
          <w:sz w:val="24"/>
          <w:szCs w:val="24"/>
        </w:rPr>
      </w:pPr>
      <w:r>
        <w:rPr>
          <w:rFonts w:ascii="Times New Roman" w:hAnsi="Times New Roman" w:cs="Times New Roman"/>
          <w:sz w:val="24"/>
          <w:szCs w:val="24"/>
        </w:rPr>
        <w:t>四、工作制度：全年工作</w:t>
      </w:r>
      <w:r>
        <w:rPr>
          <w:rFonts w:ascii="Times New Roman" w:hAnsi="Times New Roman" w:eastAsia="仿宋" w:cs="Times New Roman"/>
          <w:sz w:val="28"/>
          <w:szCs w:val="28"/>
        </w:rPr>
        <w:t>≥</w:t>
      </w:r>
      <w:r>
        <w:rPr>
          <w:rFonts w:ascii="Times New Roman" w:hAnsi="Times New Roman" w:eastAsia="宋体" w:cs="Times New Roman"/>
          <w:sz w:val="24"/>
          <w:szCs w:val="24"/>
        </w:rPr>
        <w:t>250天</w:t>
      </w:r>
    </w:p>
    <w:p w14:paraId="4C06101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五、使用地点区域自然环境：</w:t>
      </w:r>
      <w:r>
        <w:rPr>
          <w:rFonts w:ascii="Times New Roman" w:hAnsi="Times New Roman" w:cs="Times New Roman"/>
          <w:color w:val="FF0000"/>
          <w:sz w:val="24"/>
          <w:szCs w:val="24"/>
        </w:rPr>
        <w:t xml:space="preserve"> </w:t>
      </w:r>
    </w:p>
    <w:p w14:paraId="2E81DB59">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1、海拨高度：1000m以下；</w:t>
      </w:r>
    </w:p>
    <w:p w14:paraId="6922631A">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2、环境温度：室外极端最低</w:t>
      </w:r>
      <w:r>
        <w:rPr>
          <w:rFonts w:ascii="Times New Roman" w:hAnsi="Times New Roman" w:cs="Times New Roman"/>
          <w:color w:val="000000" w:themeColor="text1"/>
          <w:sz w:val="24"/>
          <w:szCs w:val="24"/>
          <w14:textFill>
            <w14:solidFill>
              <w14:schemeClr w14:val="tx1"/>
            </w14:solidFill>
          </w14:textFill>
        </w:rPr>
        <w:t>温度-8.6℃、</w:t>
      </w:r>
      <w:r>
        <w:rPr>
          <w:rFonts w:ascii="Times New Roman" w:hAnsi="Times New Roman" w:cs="Times New Roman"/>
          <w:sz w:val="24"/>
          <w:szCs w:val="24"/>
        </w:rPr>
        <w:t>极端最高温度43.3℃；</w:t>
      </w:r>
    </w:p>
    <w:p w14:paraId="0506A4FD">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3、相对湿度：年平均59%，最大95%、最小15%；</w:t>
      </w:r>
    </w:p>
    <w:p w14:paraId="3829A45B">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4、降雨量：日最大降雨量300mm、时最大降雨量100mm；</w:t>
      </w:r>
    </w:p>
    <w:p w14:paraId="77C687D0">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5、最大风速：33.3m/s。</w:t>
      </w:r>
    </w:p>
    <w:p w14:paraId="4921C417">
      <w:pPr>
        <w:pStyle w:val="130"/>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六、能源环境：</w:t>
      </w:r>
    </w:p>
    <w:p w14:paraId="0D16E9B6">
      <w:pPr>
        <w:pStyle w:val="130"/>
        <w:spacing w:line="360" w:lineRule="auto"/>
        <w:jc w:val="both"/>
        <w:rPr>
          <w:rFonts w:ascii="Times New Roman" w:hAnsi="Times New Roman" w:cs="Times New Roman"/>
          <w:sz w:val="24"/>
          <w:szCs w:val="24"/>
        </w:rPr>
      </w:pPr>
      <w:r>
        <w:rPr>
          <w:rFonts w:ascii="Times New Roman" w:hAnsi="Times New Roman" w:cs="Times New Roman"/>
          <w:sz w:val="24"/>
          <w:szCs w:val="24"/>
        </w:rPr>
        <w:t>1、电力：中国制式，供电电压380V±15%/220V±15%，供电频率50Hz±2%，三相五线。</w:t>
      </w:r>
    </w:p>
    <w:p w14:paraId="578DE46C">
      <w:pPr>
        <w:pStyle w:val="130"/>
        <w:spacing w:line="360" w:lineRule="auto"/>
        <w:jc w:val="both"/>
        <w:rPr>
          <w:rFonts w:ascii="Times New Roman" w:hAnsi="Times New Roman" w:cs="Times New Roman"/>
          <w:sz w:val="24"/>
          <w:szCs w:val="24"/>
        </w:rPr>
      </w:pPr>
      <w:r>
        <w:rPr>
          <w:rFonts w:ascii="Times New Roman" w:hAnsi="Times New Roman" w:cs="Times New Roman"/>
          <w:sz w:val="24"/>
          <w:szCs w:val="24"/>
        </w:rPr>
        <w:t>2、加湿用水供水条件：推荐用纯净水。</w:t>
      </w:r>
    </w:p>
    <w:p w14:paraId="10998619">
      <w:pPr>
        <w:spacing w:before="156" w:beforeLines="50" w:line="360" w:lineRule="auto"/>
        <w:jc w:val="both"/>
        <w:rPr>
          <w:rFonts w:ascii="Times New Roman" w:hAnsi="Times New Roman" w:cs="Times New Roman"/>
          <w:b/>
          <w:sz w:val="24"/>
          <w:szCs w:val="24"/>
        </w:rPr>
      </w:pPr>
      <w:bookmarkStart w:id="35" w:name="_Toc13018"/>
      <w:bookmarkStart w:id="36" w:name="_Toc19068"/>
      <w:bookmarkStart w:id="37" w:name="_Toc9838"/>
      <w:bookmarkStart w:id="38" w:name="_Toc27088"/>
      <w:bookmarkStart w:id="39" w:name="_Toc137705867"/>
      <w:r>
        <w:rPr>
          <w:rFonts w:ascii="Times New Roman" w:hAnsi="Times New Roman" w:cs="Times New Roman"/>
          <w:b/>
          <w:sz w:val="24"/>
          <w:szCs w:val="24"/>
        </w:rPr>
        <w:t>第二节  采购货物概况</w:t>
      </w:r>
      <w:bookmarkEnd w:id="35"/>
      <w:bookmarkEnd w:id="36"/>
      <w:bookmarkEnd w:id="37"/>
      <w:bookmarkEnd w:id="38"/>
      <w:bookmarkEnd w:id="39"/>
    </w:p>
    <w:p w14:paraId="62514F96">
      <w:pPr>
        <w:spacing w:line="360" w:lineRule="auto"/>
        <w:jc w:val="both"/>
        <w:rPr>
          <w:rFonts w:ascii="Times New Roman" w:hAnsi="Times New Roman" w:cs="Times New Roman"/>
          <w:sz w:val="24"/>
          <w:szCs w:val="24"/>
        </w:rPr>
      </w:pPr>
      <w:r>
        <w:rPr>
          <w:rFonts w:ascii="Times New Roman" w:hAnsi="Times New Roman" w:cs="Times New Roman"/>
          <w:sz w:val="24"/>
          <w:szCs w:val="24"/>
        </w:rPr>
        <w:t>一、货物名称：</w:t>
      </w:r>
      <w:r>
        <w:rPr>
          <w:rFonts w:hint="eastAsia" w:ascii="Times New Roman" w:hAnsi="Times New Roman" w:cs="Times New Roman"/>
          <w:sz w:val="24"/>
          <w:szCs w:val="24"/>
        </w:rPr>
        <w:t>冷却塔及相关管道、电控系统</w:t>
      </w:r>
      <w:r>
        <w:rPr>
          <w:rFonts w:ascii="Times New Roman" w:hAnsi="Times New Roman" w:cs="Times New Roman"/>
          <w:sz w:val="24"/>
          <w:szCs w:val="24"/>
        </w:rPr>
        <w:t>（详见下表）</w:t>
      </w:r>
    </w:p>
    <w:p w14:paraId="2D5A1192">
      <w:pPr>
        <w:spacing w:line="360" w:lineRule="auto"/>
        <w:jc w:val="both"/>
        <w:rPr>
          <w:rFonts w:ascii="Times New Roman" w:hAnsi="Times New Roman" w:cs="Times New Roman"/>
          <w:sz w:val="24"/>
          <w:szCs w:val="24"/>
        </w:rPr>
      </w:pPr>
      <w:r>
        <w:rPr>
          <w:rFonts w:ascii="Times New Roman" w:hAnsi="Times New Roman" w:cs="Times New Roman"/>
          <w:sz w:val="24"/>
          <w:szCs w:val="24"/>
        </w:rPr>
        <w:t>二、货物数量： 5</w:t>
      </w:r>
      <w:r>
        <w:rPr>
          <w:rFonts w:hint="eastAsia" w:ascii="Times New Roman" w:hAnsi="Times New Roman" w:cs="Times New Roman"/>
          <w:sz w:val="24"/>
          <w:szCs w:val="24"/>
        </w:rPr>
        <w:t>套</w:t>
      </w:r>
      <w:r>
        <w:rPr>
          <w:rFonts w:ascii="Times New Roman" w:hAnsi="Times New Roman" w:cs="Times New Roman"/>
          <w:sz w:val="24"/>
          <w:szCs w:val="24"/>
        </w:rPr>
        <w:t xml:space="preserve"> （详见下表）</w:t>
      </w:r>
    </w:p>
    <w:p w14:paraId="5A600782">
      <w:pPr>
        <w:spacing w:line="360" w:lineRule="auto"/>
        <w:jc w:val="both"/>
        <w:rPr>
          <w:rFonts w:ascii="Times New Roman" w:hAnsi="Times New Roman" w:cs="Times New Roman"/>
          <w:sz w:val="24"/>
          <w:szCs w:val="24"/>
        </w:rPr>
      </w:pPr>
      <w:r>
        <w:rPr>
          <w:rFonts w:ascii="Times New Roman" w:hAnsi="Times New Roman" w:cs="Times New Roman"/>
          <w:sz w:val="24"/>
          <w:szCs w:val="24"/>
        </w:rPr>
        <w:t>三、分投分中：不允许。</w:t>
      </w:r>
    </w:p>
    <w:p w14:paraId="4A3FF5E4">
      <w:pPr>
        <w:pStyle w:val="17"/>
      </w:pPr>
    </w:p>
    <w:p w14:paraId="734D3F38">
      <w:pPr>
        <w:pStyle w:val="17"/>
      </w:pPr>
    </w:p>
    <w:p w14:paraId="127C1AC5">
      <w:pPr>
        <w:pStyle w:val="17"/>
        <w:rPr>
          <w:rFonts w:hint="eastAsia"/>
        </w:rPr>
      </w:pPr>
    </w:p>
    <w:p w14:paraId="5BA30CE7">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四、采购货物主要构成一览表</w:t>
      </w:r>
    </w:p>
    <w:tbl>
      <w:tblPr>
        <w:tblStyle w:val="36"/>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44"/>
        <w:gridCol w:w="992"/>
        <w:gridCol w:w="1701"/>
        <w:gridCol w:w="1276"/>
        <w:gridCol w:w="759"/>
      </w:tblGrid>
      <w:tr w14:paraId="1365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77164427">
            <w:pPr>
              <w:jc w:val="center"/>
              <w:rPr>
                <w:b/>
              </w:rPr>
            </w:pPr>
            <w:r>
              <w:rPr>
                <w:b/>
              </w:rPr>
              <w:t>序号</w:t>
            </w:r>
          </w:p>
        </w:tc>
        <w:tc>
          <w:tcPr>
            <w:tcW w:w="3544" w:type="dxa"/>
            <w:vAlign w:val="center"/>
          </w:tcPr>
          <w:p w14:paraId="30542331">
            <w:pPr>
              <w:jc w:val="center"/>
              <w:rPr>
                <w:b/>
              </w:rPr>
            </w:pPr>
            <w:r>
              <w:rPr>
                <w:b/>
              </w:rPr>
              <w:t>货物名称</w:t>
            </w:r>
          </w:p>
        </w:tc>
        <w:tc>
          <w:tcPr>
            <w:tcW w:w="992" w:type="dxa"/>
            <w:vAlign w:val="center"/>
          </w:tcPr>
          <w:p w14:paraId="3F75EC65">
            <w:pPr>
              <w:jc w:val="center"/>
              <w:rPr>
                <w:b/>
              </w:rPr>
            </w:pPr>
            <w:r>
              <w:rPr>
                <w:b/>
              </w:rPr>
              <w:t>数量</w:t>
            </w:r>
          </w:p>
        </w:tc>
        <w:tc>
          <w:tcPr>
            <w:tcW w:w="1701" w:type="dxa"/>
            <w:vAlign w:val="center"/>
          </w:tcPr>
          <w:p w14:paraId="35CBB8A3">
            <w:pPr>
              <w:jc w:val="center"/>
              <w:rPr>
                <w:b/>
              </w:rPr>
            </w:pPr>
            <w:r>
              <w:rPr>
                <w:b/>
              </w:rPr>
              <w:t>主要技术规格</w:t>
            </w:r>
          </w:p>
        </w:tc>
        <w:tc>
          <w:tcPr>
            <w:tcW w:w="1276" w:type="dxa"/>
            <w:vAlign w:val="center"/>
          </w:tcPr>
          <w:p w14:paraId="6E8823F8">
            <w:pPr>
              <w:jc w:val="center"/>
              <w:rPr>
                <w:b/>
              </w:rPr>
            </w:pPr>
            <w:r>
              <w:rPr>
                <w:b/>
              </w:rPr>
              <w:t>交货期</w:t>
            </w:r>
          </w:p>
        </w:tc>
        <w:tc>
          <w:tcPr>
            <w:tcW w:w="759" w:type="dxa"/>
            <w:vAlign w:val="center"/>
          </w:tcPr>
          <w:p w14:paraId="6957EC5B">
            <w:pPr>
              <w:jc w:val="center"/>
              <w:rPr>
                <w:b/>
              </w:rPr>
            </w:pPr>
            <w:r>
              <w:rPr>
                <w:b/>
              </w:rPr>
              <w:t>交货地点</w:t>
            </w:r>
          </w:p>
        </w:tc>
      </w:tr>
      <w:tr w14:paraId="05C4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22048B9A">
            <w:pPr>
              <w:jc w:val="center"/>
            </w:pPr>
            <w:r>
              <w:t>1</w:t>
            </w:r>
          </w:p>
        </w:tc>
        <w:tc>
          <w:tcPr>
            <w:tcW w:w="3544" w:type="dxa"/>
            <w:vAlign w:val="center"/>
          </w:tcPr>
          <w:p w14:paraId="00407D2F">
            <w:pPr>
              <w:jc w:val="center"/>
              <w:rPr>
                <w:rFonts w:ascii="Times New Roman" w:hAnsi="Times New Roman" w:eastAsia="微软雅黑"/>
                <w:kern w:val="0"/>
                <w:sz w:val="20"/>
                <w:szCs w:val="20"/>
              </w:rPr>
            </w:pPr>
            <w:r>
              <w:rPr>
                <w:rFonts w:ascii="Times New Roman" w:hAnsi="Times New Roman"/>
                <w:color w:val="000000"/>
                <w:sz w:val="22"/>
              </w:rPr>
              <w:t>新砂烘干冷却塔-300T</w:t>
            </w:r>
          </w:p>
        </w:tc>
        <w:tc>
          <w:tcPr>
            <w:tcW w:w="992" w:type="dxa"/>
            <w:vAlign w:val="center"/>
          </w:tcPr>
          <w:p w14:paraId="7C75FE67">
            <w:pPr>
              <w:jc w:val="center"/>
              <w:rPr>
                <w:color w:val="000000"/>
                <w:sz w:val="22"/>
              </w:rPr>
            </w:pPr>
            <w:r>
              <w:rPr>
                <w:color w:val="000000"/>
                <w:sz w:val="22"/>
              </w:rPr>
              <w:t>1</w:t>
            </w:r>
            <w:r>
              <w:rPr>
                <w:rFonts w:hint="eastAsia"/>
                <w:color w:val="000000"/>
                <w:sz w:val="22"/>
              </w:rPr>
              <w:t>套</w:t>
            </w:r>
          </w:p>
        </w:tc>
        <w:tc>
          <w:tcPr>
            <w:tcW w:w="1701" w:type="dxa"/>
            <w:vAlign w:val="center"/>
          </w:tcPr>
          <w:p w14:paraId="6C751F7E">
            <w:pPr>
              <w:jc w:val="center"/>
            </w:pPr>
            <w:r>
              <w:t>见技术要求</w:t>
            </w:r>
          </w:p>
        </w:tc>
        <w:tc>
          <w:tcPr>
            <w:tcW w:w="1276" w:type="dxa"/>
            <w:vMerge w:val="restart"/>
            <w:vAlign w:val="center"/>
          </w:tcPr>
          <w:p w14:paraId="372557D6">
            <w:r>
              <w:t>合同生效后60</w:t>
            </w:r>
            <w:r>
              <w:rPr>
                <w:rFonts w:hint="eastAsia"/>
              </w:rPr>
              <w:t>个日历日</w:t>
            </w:r>
            <w:r>
              <w:t>内</w:t>
            </w:r>
            <w:r>
              <w:rPr>
                <w:rFonts w:hint="eastAsia"/>
              </w:rPr>
              <w:t>完成制造并交货，进场后连续</w:t>
            </w:r>
            <w:r>
              <w:t>50</w:t>
            </w:r>
            <w:r>
              <w:rPr>
                <w:rFonts w:hint="eastAsia"/>
              </w:rPr>
              <w:t>个日历日完成安装调试并交付使用</w:t>
            </w:r>
          </w:p>
        </w:tc>
        <w:tc>
          <w:tcPr>
            <w:tcW w:w="759" w:type="dxa"/>
            <w:vMerge w:val="restart"/>
            <w:vAlign w:val="center"/>
          </w:tcPr>
          <w:p w14:paraId="0EB9A38A">
            <w:r>
              <w:rPr>
                <w:rFonts w:hint="eastAsia"/>
              </w:rPr>
              <w:t>用户工厂</w:t>
            </w:r>
          </w:p>
        </w:tc>
      </w:tr>
      <w:tr w14:paraId="685E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BFE0F4F">
            <w:pPr>
              <w:jc w:val="center"/>
            </w:pPr>
            <w:r>
              <w:rPr>
                <w:rFonts w:hint="eastAsia"/>
              </w:rPr>
              <w:t>2</w:t>
            </w:r>
          </w:p>
        </w:tc>
        <w:tc>
          <w:tcPr>
            <w:tcW w:w="3544" w:type="dxa"/>
            <w:vAlign w:val="center"/>
          </w:tcPr>
          <w:p w14:paraId="118FEEE2">
            <w:pPr>
              <w:jc w:val="center"/>
              <w:rPr>
                <w:rFonts w:ascii="Times New Roman" w:hAnsi="Times New Roman"/>
                <w:color w:val="000000"/>
                <w:sz w:val="22"/>
              </w:rPr>
            </w:pPr>
            <w:r>
              <w:rPr>
                <w:rFonts w:hint="eastAsia" w:ascii="Times New Roman" w:hAnsi="Times New Roman"/>
                <w:color w:val="000000"/>
                <w:sz w:val="22"/>
              </w:rPr>
              <w:t>缸体线冷却塔-200T</w:t>
            </w:r>
          </w:p>
        </w:tc>
        <w:tc>
          <w:tcPr>
            <w:tcW w:w="992" w:type="dxa"/>
            <w:vAlign w:val="center"/>
          </w:tcPr>
          <w:p w14:paraId="25CF5B31">
            <w:pPr>
              <w:jc w:val="center"/>
              <w:rPr>
                <w:color w:val="000000"/>
                <w:sz w:val="22"/>
              </w:rPr>
            </w:pPr>
            <w:r>
              <w:rPr>
                <w:rFonts w:hint="eastAsia"/>
                <w:color w:val="000000"/>
                <w:sz w:val="22"/>
              </w:rPr>
              <w:t>2套</w:t>
            </w:r>
          </w:p>
        </w:tc>
        <w:tc>
          <w:tcPr>
            <w:tcW w:w="1701" w:type="dxa"/>
            <w:vAlign w:val="center"/>
          </w:tcPr>
          <w:p w14:paraId="52A6B8BE">
            <w:pPr>
              <w:jc w:val="center"/>
            </w:pPr>
            <w:r>
              <w:t>见技术要求</w:t>
            </w:r>
          </w:p>
        </w:tc>
        <w:tc>
          <w:tcPr>
            <w:tcW w:w="1276" w:type="dxa"/>
            <w:vMerge w:val="continue"/>
            <w:vAlign w:val="center"/>
          </w:tcPr>
          <w:p w14:paraId="2E415DDE"/>
        </w:tc>
        <w:tc>
          <w:tcPr>
            <w:tcW w:w="759" w:type="dxa"/>
            <w:vMerge w:val="continue"/>
            <w:vAlign w:val="center"/>
          </w:tcPr>
          <w:p w14:paraId="2920B8C6"/>
        </w:tc>
      </w:tr>
      <w:tr w14:paraId="2319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6F834D47">
            <w:pPr>
              <w:jc w:val="center"/>
            </w:pPr>
            <w:r>
              <w:rPr>
                <w:rFonts w:hint="eastAsia"/>
              </w:rPr>
              <w:t>3</w:t>
            </w:r>
          </w:p>
        </w:tc>
        <w:tc>
          <w:tcPr>
            <w:tcW w:w="3544" w:type="dxa"/>
            <w:vAlign w:val="center"/>
          </w:tcPr>
          <w:p w14:paraId="1BEA58B8">
            <w:pPr>
              <w:jc w:val="center"/>
              <w:rPr>
                <w:rFonts w:ascii="Times New Roman" w:hAnsi="Times New Roman"/>
                <w:color w:val="000000"/>
                <w:sz w:val="22"/>
              </w:rPr>
            </w:pPr>
            <w:r>
              <w:rPr>
                <w:rFonts w:hint="eastAsia" w:ascii="Times New Roman" w:hAnsi="Times New Roman"/>
                <w:color w:val="000000"/>
                <w:sz w:val="22"/>
              </w:rPr>
              <w:t>真空混砂机冷却塔-300T</w:t>
            </w:r>
          </w:p>
        </w:tc>
        <w:tc>
          <w:tcPr>
            <w:tcW w:w="992" w:type="dxa"/>
            <w:vAlign w:val="center"/>
          </w:tcPr>
          <w:p w14:paraId="5D0969A5">
            <w:pPr>
              <w:jc w:val="center"/>
              <w:rPr>
                <w:color w:val="000000"/>
                <w:sz w:val="22"/>
              </w:rPr>
            </w:pPr>
            <w:r>
              <w:rPr>
                <w:color w:val="000000"/>
                <w:sz w:val="22"/>
              </w:rPr>
              <w:t>2</w:t>
            </w:r>
            <w:r>
              <w:rPr>
                <w:rFonts w:hint="eastAsia"/>
                <w:color w:val="000000"/>
                <w:sz w:val="22"/>
              </w:rPr>
              <w:t>套</w:t>
            </w:r>
          </w:p>
        </w:tc>
        <w:tc>
          <w:tcPr>
            <w:tcW w:w="1701" w:type="dxa"/>
            <w:vAlign w:val="center"/>
          </w:tcPr>
          <w:p w14:paraId="0D416AAD">
            <w:pPr>
              <w:jc w:val="center"/>
            </w:pPr>
            <w:r>
              <w:t>见技术要求</w:t>
            </w:r>
          </w:p>
        </w:tc>
        <w:tc>
          <w:tcPr>
            <w:tcW w:w="1276" w:type="dxa"/>
            <w:vMerge w:val="continue"/>
            <w:vAlign w:val="center"/>
          </w:tcPr>
          <w:p w14:paraId="2BE3E1E0"/>
        </w:tc>
        <w:tc>
          <w:tcPr>
            <w:tcW w:w="759" w:type="dxa"/>
            <w:vMerge w:val="continue"/>
            <w:vAlign w:val="center"/>
          </w:tcPr>
          <w:p w14:paraId="6861903B"/>
        </w:tc>
      </w:tr>
      <w:tr w14:paraId="0D86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335AC06E">
            <w:pPr>
              <w:jc w:val="center"/>
            </w:pPr>
            <w:r>
              <w:t>4</w:t>
            </w:r>
          </w:p>
        </w:tc>
        <w:tc>
          <w:tcPr>
            <w:tcW w:w="3544" w:type="dxa"/>
            <w:vAlign w:val="center"/>
          </w:tcPr>
          <w:p w14:paraId="66F28AB5">
            <w:pPr>
              <w:jc w:val="center"/>
              <w:rPr>
                <w:rFonts w:ascii="Times New Roman" w:hAnsi="Times New Roman"/>
                <w:color w:val="000000"/>
                <w:sz w:val="22"/>
              </w:rPr>
            </w:pPr>
            <w:r>
              <w:rPr>
                <w:rFonts w:hint="eastAsia" w:ascii="Times New Roman" w:hAnsi="Times New Roman"/>
                <w:color w:val="000000"/>
                <w:sz w:val="22"/>
              </w:rPr>
              <w:t>制芯中心进出水管</w:t>
            </w:r>
          </w:p>
        </w:tc>
        <w:tc>
          <w:tcPr>
            <w:tcW w:w="992" w:type="dxa"/>
            <w:vAlign w:val="center"/>
          </w:tcPr>
          <w:p w14:paraId="1418E949">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7EFCD8F3">
            <w:pPr>
              <w:jc w:val="center"/>
            </w:pPr>
            <w:r>
              <w:rPr>
                <w:rFonts w:hint="eastAsia"/>
              </w:rPr>
              <w:t>根据各自方案明确数量</w:t>
            </w:r>
          </w:p>
        </w:tc>
        <w:tc>
          <w:tcPr>
            <w:tcW w:w="1276" w:type="dxa"/>
            <w:vMerge w:val="continue"/>
            <w:vAlign w:val="center"/>
          </w:tcPr>
          <w:p w14:paraId="0A2E1F37"/>
        </w:tc>
        <w:tc>
          <w:tcPr>
            <w:tcW w:w="759" w:type="dxa"/>
            <w:vMerge w:val="continue"/>
            <w:vAlign w:val="center"/>
          </w:tcPr>
          <w:p w14:paraId="7FC9ED63"/>
        </w:tc>
      </w:tr>
      <w:tr w14:paraId="1616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3049E6BA">
            <w:pPr>
              <w:jc w:val="center"/>
            </w:pPr>
            <w:r>
              <w:rPr>
                <w:rFonts w:hint="eastAsia"/>
              </w:rPr>
              <w:t>5</w:t>
            </w:r>
          </w:p>
        </w:tc>
        <w:tc>
          <w:tcPr>
            <w:tcW w:w="3544" w:type="dxa"/>
            <w:vAlign w:val="center"/>
          </w:tcPr>
          <w:p w14:paraId="6E51BA9C">
            <w:pPr>
              <w:jc w:val="center"/>
              <w:rPr>
                <w:rFonts w:ascii="Times New Roman" w:hAnsi="Times New Roman"/>
                <w:color w:val="000000"/>
                <w:sz w:val="22"/>
              </w:rPr>
            </w:pPr>
            <w:r>
              <w:rPr>
                <w:rFonts w:hint="eastAsia" w:ascii="Times New Roman" w:hAnsi="Times New Roman"/>
                <w:color w:val="000000"/>
                <w:sz w:val="22"/>
              </w:rPr>
              <w:t>缸体线冷却塔外接管</w:t>
            </w:r>
          </w:p>
        </w:tc>
        <w:tc>
          <w:tcPr>
            <w:tcW w:w="992" w:type="dxa"/>
            <w:vAlign w:val="center"/>
          </w:tcPr>
          <w:p w14:paraId="5AE4F77C">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546053F1">
            <w:pPr>
              <w:jc w:val="center"/>
            </w:pPr>
            <w:r>
              <w:rPr>
                <w:rFonts w:hint="eastAsia"/>
              </w:rPr>
              <w:t>根据各自方案明确数量</w:t>
            </w:r>
          </w:p>
        </w:tc>
        <w:tc>
          <w:tcPr>
            <w:tcW w:w="1276" w:type="dxa"/>
            <w:vMerge w:val="continue"/>
            <w:vAlign w:val="center"/>
          </w:tcPr>
          <w:p w14:paraId="5D18BDF8"/>
        </w:tc>
        <w:tc>
          <w:tcPr>
            <w:tcW w:w="759" w:type="dxa"/>
            <w:vMerge w:val="continue"/>
            <w:vAlign w:val="center"/>
          </w:tcPr>
          <w:p w14:paraId="62D0DD1F"/>
        </w:tc>
      </w:tr>
      <w:tr w14:paraId="64C0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03BB6DD4">
            <w:pPr>
              <w:jc w:val="center"/>
            </w:pPr>
            <w:r>
              <w:rPr>
                <w:rFonts w:hint="eastAsia"/>
              </w:rPr>
              <w:t>6</w:t>
            </w:r>
          </w:p>
        </w:tc>
        <w:tc>
          <w:tcPr>
            <w:tcW w:w="3544" w:type="dxa"/>
            <w:vAlign w:val="center"/>
          </w:tcPr>
          <w:p w14:paraId="78329BC1">
            <w:pPr>
              <w:jc w:val="center"/>
              <w:rPr>
                <w:rFonts w:ascii="Times New Roman" w:hAnsi="Times New Roman"/>
                <w:color w:val="000000"/>
                <w:sz w:val="22"/>
              </w:rPr>
            </w:pPr>
            <w:r>
              <w:rPr>
                <w:rFonts w:hint="eastAsia" w:ascii="Times New Roman" w:hAnsi="Times New Roman"/>
                <w:color w:val="000000"/>
                <w:sz w:val="22"/>
              </w:rPr>
              <w:t>新砂烘干系统冷却塔外接管</w:t>
            </w:r>
          </w:p>
        </w:tc>
        <w:tc>
          <w:tcPr>
            <w:tcW w:w="992" w:type="dxa"/>
            <w:vAlign w:val="center"/>
          </w:tcPr>
          <w:p w14:paraId="37AC3941">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4BDB83DD">
            <w:pPr>
              <w:jc w:val="center"/>
            </w:pPr>
            <w:r>
              <w:rPr>
                <w:rFonts w:hint="eastAsia"/>
              </w:rPr>
              <w:t>根据各自方案明确数量</w:t>
            </w:r>
          </w:p>
        </w:tc>
        <w:tc>
          <w:tcPr>
            <w:tcW w:w="1276" w:type="dxa"/>
            <w:vMerge w:val="continue"/>
            <w:vAlign w:val="center"/>
          </w:tcPr>
          <w:p w14:paraId="0090798E"/>
        </w:tc>
        <w:tc>
          <w:tcPr>
            <w:tcW w:w="759" w:type="dxa"/>
            <w:vMerge w:val="continue"/>
            <w:vAlign w:val="center"/>
          </w:tcPr>
          <w:p w14:paraId="5E5AF741"/>
        </w:tc>
      </w:tr>
      <w:tr w14:paraId="6D6F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7F8FA46F">
            <w:pPr>
              <w:jc w:val="center"/>
            </w:pPr>
            <w:r>
              <w:t>7</w:t>
            </w:r>
          </w:p>
        </w:tc>
        <w:tc>
          <w:tcPr>
            <w:tcW w:w="3544" w:type="dxa"/>
            <w:vAlign w:val="center"/>
          </w:tcPr>
          <w:p w14:paraId="171D2DBE">
            <w:pPr>
              <w:jc w:val="center"/>
              <w:rPr>
                <w:rFonts w:ascii="Times New Roman" w:hAnsi="Times New Roman"/>
                <w:color w:val="000000"/>
                <w:sz w:val="22"/>
              </w:rPr>
            </w:pPr>
            <w:r>
              <w:rPr>
                <w:rFonts w:hint="eastAsia" w:ascii="Times New Roman" w:hAnsi="Times New Roman"/>
                <w:color w:val="000000"/>
                <w:sz w:val="22"/>
              </w:rPr>
              <w:t>真空混砂机冷却塔外接管</w:t>
            </w:r>
          </w:p>
        </w:tc>
        <w:tc>
          <w:tcPr>
            <w:tcW w:w="992" w:type="dxa"/>
            <w:vAlign w:val="center"/>
          </w:tcPr>
          <w:p w14:paraId="584EC8A1">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5F133896">
            <w:pPr>
              <w:jc w:val="center"/>
            </w:pPr>
            <w:r>
              <w:rPr>
                <w:rFonts w:hint="eastAsia"/>
              </w:rPr>
              <w:t>根据各自方案明确数量</w:t>
            </w:r>
          </w:p>
        </w:tc>
        <w:tc>
          <w:tcPr>
            <w:tcW w:w="1276" w:type="dxa"/>
            <w:vMerge w:val="continue"/>
            <w:vAlign w:val="center"/>
          </w:tcPr>
          <w:p w14:paraId="3D5D9A72"/>
        </w:tc>
        <w:tc>
          <w:tcPr>
            <w:tcW w:w="759" w:type="dxa"/>
            <w:vMerge w:val="continue"/>
            <w:vAlign w:val="center"/>
          </w:tcPr>
          <w:p w14:paraId="25222F14"/>
        </w:tc>
      </w:tr>
      <w:tr w14:paraId="7C29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61D8E0C2">
            <w:pPr>
              <w:jc w:val="center"/>
            </w:pPr>
            <w:r>
              <w:t>8</w:t>
            </w:r>
          </w:p>
        </w:tc>
        <w:tc>
          <w:tcPr>
            <w:tcW w:w="3544" w:type="dxa"/>
            <w:vAlign w:val="center"/>
          </w:tcPr>
          <w:p w14:paraId="0DAE4544">
            <w:pPr>
              <w:jc w:val="center"/>
              <w:rPr>
                <w:rFonts w:ascii="Times New Roman" w:hAnsi="Times New Roman"/>
                <w:color w:val="000000"/>
                <w:sz w:val="22"/>
              </w:rPr>
            </w:pPr>
            <w:r>
              <w:rPr>
                <w:rFonts w:hint="eastAsia" w:ascii="Times New Roman" w:hAnsi="Times New Roman"/>
                <w:color w:val="000000"/>
                <w:sz w:val="22"/>
              </w:rPr>
              <w:t>真空混砂机冷却塔供水系统</w:t>
            </w:r>
          </w:p>
        </w:tc>
        <w:tc>
          <w:tcPr>
            <w:tcW w:w="992" w:type="dxa"/>
            <w:vAlign w:val="center"/>
          </w:tcPr>
          <w:p w14:paraId="24FBC381">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779964A9">
            <w:pPr>
              <w:jc w:val="center"/>
            </w:pPr>
            <w:r>
              <w:rPr>
                <w:rFonts w:hint="eastAsia"/>
              </w:rPr>
              <w:t>根据各自方案明确数量</w:t>
            </w:r>
          </w:p>
        </w:tc>
        <w:tc>
          <w:tcPr>
            <w:tcW w:w="1276" w:type="dxa"/>
            <w:vMerge w:val="continue"/>
            <w:vAlign w:val="center"/>
          </w:tcPr>
          <w:p w14:paraId="025533D8"/>
        </w:tc>
        <w:tc>
          <w:tcPr>
            <w:tcW w:w="759" w:type="dxa"/>
            <w:vMerge w:val="continue"/>
            <w:vAlign w:val="center"/>
          </w:tcPr>
          <w:p w14:paraId="1F592882"/>
        </w:tc>
      </w:tr>
      <w:tr w14:paraId="40B8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00007B65">
            <w:pPr>
              <w:jc w:val="center"/>
            </w:pPr>
            <w:r>
              <w:t>9</w:t>
            </w:r>
          </w:p>
        </w:tc>
        <w:tc>
          <w:tcPr>
            <w:tcW w:w="3544" w:type="dxa"/>
            <w:vAlign w:val="center"/>
          </w:tcPr>
          <w:p w14:paraId="4E1B1B37">
            <w:pPr>
              <w:jc w:val="center"/>
              <w:rPr>
                <w:rFonts w:ascii="Times New Roman" w:hAnsi="Times New Roman"/>
                <w:color w:val="000000"/>
                <w:sz w:val="22"/>
              </w:rPr>
            </w:pPr>
            <w:r>
              <w:rPr>
                <w:rFonts w:hint="eastAsia" w:ascii="Times New Roman" w:hAnsi="Times New Roman"/>
                <w:color w:val="000000"/>
                <w:sz w:val="22"/>
              </w:rPr>
              <w:t>电控系统</w:t>
            </w:r>
          </w:p>
        </w:tc>
        <w:tc>
          <w:tcPr>
            <w:tcW w:w="992" w:type="dxa"/>
            <w:vAlign w:val="center"/>
          </w:tcPr>
          <w:p w14:paraId="4FAEF4B7">
            <w:pPr>
              <w:widowControl/>
              <w:jc w:val="center"/>
              <w:rPr>
                <w:color w:val="000000"/>
                <w:sz w:val="22"/>
              </w:rPr>
            </w:pPr>
            <w:r>
              <w:rPr>
                <w:color w:val="000000"/>
                <w:sz w:val="22"/>
              </w:rPr>
              <w:t>3</w:t>
            </w:r>
            <w:r>
              <w:rPr>
                <w:rFonts w:hint="eastAsia"/>
                <w:color w:val="000000"/>
                <w:sz w:val="22"/>
              </w:rPr>
              <w:t>套</w:t>
            </w:r>
          </w:p>
        </w:tc>
        <w:tc>
          <w:tcPr>
            <w:tcW w:w="1701" w:type="dxa"/>
            <w:vAlign w:val="center"/>
          </w:tcPr>
          <w:p w14:paraId="1524049D">
            <w:pPr>
              <w:jc w:val="center"/>
            </w:pPr>
            <w:r>
              <w:rPr>
                <w:rFonts w:hint="eastAsia"/>
              </w:rPr>
              <w:t>根据各自方案明确数量</w:t>
            </w:r>
          </w:p>
        </w:tc>
        <w:tc>
          <w:tcPr>
            <w:tcW w:w="1276" w:type="dxa"/>
            <w:vMerge w:val="continue"/>
            <w:vAlign w:val="center"/>
          </w:tcPr>
          <w:p w14:paraId="1A927CCE"/>
        </w:tc>
        <w:tc>
          <w:tcPr>
            <w:tcW w:w="759" w:type="dxa"/>
            <w:vMerge w:val="continue"/>
            <w:vAlign w:val="center"/>
          </w:tcPr>
          <w:p w14:paraId="41402B63"/>
        </w:tc>
      </w:tr>
      <w:tr w14:paraId="0B75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C8F6206">
            <w:pPr>
              <w:jc w:val="center"/>
            </w:pPr>
            <w:r>
              <w:t>10</w:t>
            </w:r>
          </w:p>
        </w:tc>
        <w:tc>
          <w:tcPr>
            <w:tcW w:w="3544" w:type="dxa"/>
            <w:vAlign w:val="center"/>
          </w:tcPr>
          <w:p w14:paraId="673D9169">
            <w:pPr>
              <w:jc w:val="center"/>
              <w:rPr>
                <w:rFonts w:ascii="Times New Roman" w:hAnsi="Times New Roman"/>
                <w:color w:val="000000"/>
                <w:sz w:val="22"/>
              </w:rPr>
            </w:pPr>
            <w:r>
              <w:rPr>
                <w:rFonts w:hint="eastAsia" w:ascii="Times New Roman" w:hAnsi="Times New Roman"/>
                <w:color w:val="000000"/>
                <w:sz w:val="22"/>
              </w:rPr>
              <w:t>电缆线、桥架</w:t>
            </w:r>
          </w:p>
        </w:tc>
        <w:tc>
          <w:tcPr>
            <w:tcW w:w="992" w:type="dxa"/>
            <w:vAlign w:val="center"/>
          </w:tcPr>
          <w:p w14:paraId="0B65CB6B">
            <w:pPr>
              <w:widowControl/>
              <w:jc w:val="center"/>
              <w:rPr>
                <w:color w:val="000000"/>
                <w:sz w:val="22"/>
              </w:rPr>
            </w:pPr>
            <w:r>
              <w:rPr>
                <w:color w:val="000000"/>
                <w:sz w:val="22"/>
              </w:rPr>
              <w:t>3</w:t>
            </w:r>
            <w:r>
              <w:rPr>
                <w:rFonts w:hint="eastAsia"/>
                <w:color w:val="000000"/>
                <w:sz w:val="22"/>
              </w:rPr>
              <w:t>套</w:t>
            </w:r>
          </w:p>
        </w:tc>
        <w:tc>
          <w:tcPr>
            <w:tcW w:w="1701" w:type="dxa"/>
            <w:vAlign w:val="center"/>
          </w:tcPr>
          <w:p w14:paraId="644405B0">
            <w:pPr>
              <w:jc w:val="center"/>
            </w:pPr>
            <w:r>
              <w:rPr>
                <w:rFonts w:hint="eastAsia"/>
              </w:rPr>
              <w:t>根据各自方案明确数量</w:t>
            </w:r>
          </w:p>
        </w:tc>
        <w:tc>
          <w:tcPr>
            <w:tcW w:w="1276" w:type="dxa"/>
            <w:vMerge w:val="continue"/>
            <w:vAlign w:val="center"/>
          </w:tcPr>
          <w:p w14:paraId="6A1A1895"/>
        </w:tc>
        <w:tc>
          <w:tcPr>
            <w:tcW w:w="759" w:type="dxa"/>
            <w:vMerge w:val="continue"/>
            <w:vAlign w:val="center"/>
          </w:tcPr>
          <w:p w14:paraId="2B853B84"/>
        </w:tc>
      </w:tr>
      <w:tr w14:paraId="16E1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2E6785C">
            <w:pPr>
              <w:jc w:val="center"/>
            </w:pPr>
            <w:r>
              <w:rPr>
                <w:rFonts w:hint="eastAsia"/>
              </w:rPr>
              <w:t>1</w:t>
            </w:r>
            <w:r>
              <w:t>1</w:t>
            </w:r>
          </w:p>
        </w:tc>
        <w:tc>
          <w:tcPr>
            <w:tcW w:w="3544" w:type="dxa"/>
            <w:vAlign w:val="center"/>
          </w:tcPr>
          <w:p w14:paraId="7FF547C8">
            <w:pPr>
              <w:jc w:val="center"/>
              <w:rPr>
                <w:rFonts w:ascii="Times New Roman" w:hAnsi="Times New Roman"/>
                <w:color w:val="000000"/>
                <w:sz w:val="22"/>
              </w:rPr>
            </w:pPr>
            <w:r>
              <w:rPr>
                <w:rFonts w:hint="eastAsia" w:ascii="Times New Roman" w:hAnsi="Times New Roman"/>
                <w:color w:val="000000"/>
                <w:sz w:val="22"/>
              </w:rPr>
              <w:t>运输费</w:t>
            </w:r>
          </w:p>
        </w:tc>
        <w:tc>
          <w:tcPr>
            <w:tcW w:w="992" w:type="dxa"/>
            <w:vAlign w:val="center"/>
          </w:tcPr>
          <w:p w14:paraId="795C3822">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6A3CC0E0">
            <w:pPr>
              <w:jc w:val="center"/>
            </w:pPr>
            <w:r>
              <w:rPr>
                <w:rFonts w:hint="eastAsia"/>
              </w:rPr>
              <w:t>需有报价</w:t>
            </w:r>
          </w:p>
        </w:tc>
        <w:tc>
          <w:tcPr>
            <w:tcW w:w="1276" w:type="dxa"/>
            <w:vMerge w:val="continue"/>
            <w:vAlign w:val="center"/>
          </w:tcPr>
          <w:p w14:paraId="47A09EEB"/>
        </w:tc>
        <w:tc>
          <w:tcPr>
            <w:tcW w:w="759" w:type="dxa"/>
            <w:vMerge w:val="continue"/>
            <w:vAlign w:val="center"/>
          </w:tcPr>
          <w:p w14:paraId="271C8864"/>
        </w:tc>
      </w:tr>
      <w:tr w14:paraId="4616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202EC99">
            <w:pPr>
              <w:jc w:val="center"/>
            </w:pPr>
            <w:r>
              <w:rPr>
                <w:rFonts w:hint="eastAsia"/>
              </w:rPr>
              <w:t>1</w:t>
            </w:r>
            <w:r>
              <w:t>2</w:t>
            </w:r>
          </w:p>
        </w:tc>
        <w:tc>
          <w:tcPr>
            <w:tcW w:w="3544" w:type="dxa"/>
            <w:vAlign w:val="center"/>
          </w:tcPr>
          <w:p w14:paraId="5ECC7883">
            <w:pPr>
              <w:jc w:val="center"/>
              <w:rPr>
                <w:rFonts w:ascii="Times New Roman" w:hAnsi="Times New Roman"/>
                <w:color w:val="000000"/>
                <w:sz w:val="22"/>
              </w:rPr>
            </w:pPr>
            <w:r>
              <w:rPr>
                <w:rFonts w:hint="eastAsia" w:ascii="Times New Roman" w:hAnsi="Times New Roman"/>
                <w:color w:val="000000"/>
                <w:sz w:val="22"/>
              </w:rPr>
              <w:t>吊装费</w:t>
            </w:r>
          </w:p>
        </w:tc>
        <w:tc>
          <w:tcPr>
            <w:tcW w:w="992" w:type="dxa"/>
            <w:vAlign w:val="center"/>
          </w:tcPr>
          <w:p w14:paraId="3B30B291">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4075D812">
            <w:pPr>
              <w:jc w:val="center"/>
            </w:pPr>
            <w:r>
              <w:rPr>
                <w:rFonts w:hint="eastAsia"/>
              </w:rPr>
              <w:t>需有报价</w:t>
            </w:r>
          </w:p>
        </w:tc>
        <w:tc>
          <w:tcPr>
            <w:tcW w:w="1276" w:type="dxa"/>
            <w:vMerge w:val="continue"/>
            <w:vAlign w:val="center"/>
          </w:tcPr>
          <w:p w14:paraId="10A9E567"/>
        </w:tc>
        <w:tc>
          <w:tcPr>
            <w:tcW w:w="759" w:type="dxa"/>
            <w:vMerge w:val="continue"/>
            <w:vAlign w:val="center"/>
          </w:tcPr>
          <w:p w14:paraId="562940EE"/>
        </w:tc>
      </w:tr>
      <w:tr w14:paraId="7BBD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543C9616">
            <w:pPr>
              <w:jc w:val="center"/>
            </w:pPr>
            <w:r>
              <w:rPr>
                <w:rFonts w:hint="eastAsia"/>
              </w:rPr>
              <w:t>1</w:t>
            </w:r>
            <w:r>
              <w:t>3</w:t>
            </w:r>
          </w:p>
        </w:tc>
        <w:tc>
          <w:tcPr>
            <w:tcW w:w="3544" w:type="dxa"/>
            <w:vAlign w:val="center"/>
          </w:tcPr>
          <w:p w14:paraId="7CBF5964">
            <w:pPr>
              <w:jc w:val="center"/>
              <w:rPr>
                <w:rFonts w:ascii="Times New Roman" w:hAnsi="Times New Roman"/>
                <w:color w:val="000000"/>
                <w:sz w:val="22"/>
              </w:rPr>
            </w:pPr>
            <w:r>
              <w:rPr>
                <w:rFonts w:hint="eastAsia" w:ascii="Times New Roman" w:hAnsi="Times New Roman"/>
                <w:color w:val="000000"/>
                <w:sz w:val="22"/>
              </w:rPr>
              <w:t>安调费</w:t>
            </w:r>
          </w:p>
        </w:tc>
        <w:tc>
          <w:tcPr>
            <w:tcW w:w="992" w:type="dxa"/>
            <w:vAlign w:val="center"/>
          </w:tcPr>
          <w:p w14:paraId="2AE75FC8">
            <w:pPr>
              <w:widowControl/>
              <w:jc w:val="center"/>
              <w:rPr>
                <w:color w:val="000000"/>
                <w:sz w:val="22"/>
              </w:rPr>
            </w:pPr>
            <w:r>
              <w:rPr>
                <w:color w:val="000000"/>
                <w:sz w:val="22"/>
              </w:rPr>
              <w:t>1</w:t>
            </w:r>
            <w:r>
              <w:rPr>
                <w:rFonts w:hint="eastAsia"/>
                <w:color w:val="000000"/>
                <w:sz w:val="22"/>
              </w:rPr>
              <w:t>套</w:t>
            </w:r>
          </w:p>
        </w:tc>
        <w:tc>
          <w:tcPr>
            <w:tcW w:w="1701" w:type="dxa"/>
            <w:vAlign w:val="center"/>
          </w:tcPr>
          <w:p w14:paraId="25C4303C">
            <w:pPr>
              <w:jc w:val="center"/>
            </w:pPr>
            <w:r>
              <w:rPr>
                <w:rFonts w:hint="eastAsia"/>
              </w:rPr>
              <w:t>需有报价</w:t>
            </w:r>
          </w:p>
        </w:tc>
        <w:tc>
          <w:tcPr>
            <w:tcW w:w="1276" w:type="dxa"/>
            <w:vMerge w:val="continue"/>
            <w:vAlign w:val="center"/>
          </w:tcPr>
          <w:p w14:paraId="01B607EB"/>
        </w:tc>
        <w:tc>
          <w:tcPr>
            <w:tcW w:w="759" w:type="dxa"/>
            <w:vMerge w:val="continue"/>
            <w:vAlign w:val="center"/>
          </w:tcPr>
          <w:p w14:paraId="325B572A"/>
        </w:tc>
      </w:tr>
      <w:tr w14:paraId="6988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4FE7E69F">
            <w:pPr>
              <w:jc w:val="center"/>
            </w:pPr>
            <w:r>
              <w:rPr>
                <w:rFonts w:hint="eastAsia"/>
              </w:rPr>
              <w:t>1</w:t>
            </w:r>
            <w:r>
              <w:t>4</w:t>
            </w:r>
          </w:p>
        </w:tc>
        <w:tc>
          <w:tcPr>
            <w:tcW w:w="3544" w:type="dxa"/>
            <w:vAlign w:val="center"/>
          </w:tcPr>
          <w:p w14:paraId="3346617B">
            <w:pPr>
              <w:jc w:val="center"/>
              <w:rPr>
                <w:color w:val="000000"/>
                <w:sz w:val="22"/>
              </w:rPr>
            </w:pPr>
            <w:r>
              <w:rPr>
                <w:color w:val="000000"/>
                <w:sz w:val="22"/>
              </w:rPr>
              <w:t>卖方认为必须提供的其他货物</w:t>
            </w:r>
          </w:p>
        </w:tc>
        <w:tc>
          <w:tcPr>
            <w:tcW w:w="992" w:type="dxa"/>
            <w:vAlign w:val="center"/>
          </w:tcPr>
          <w:p w14:paraId="0A034067">
            <w:pPr>
              <w:jc w:val="center"/>
              <w:rPr>
                <w:color w:val="000000"/>
                <w:sz w:val="22"/>
              </w:rPr>
            </w:pPr>
            <w:r>
              <w:rPr>
                <w:rFonts w:hint="eastAsia"/>
                <w:color w:val="000000"/>
                <w:sz w:val="22"/>
              </w:rPr>
              <w:t>1份</w:t>
            </w:r>
          </w:p>
        </w:tc>
        <w:tc>
          <w:tcPr>
            <w:tcW w:w="1701" w:type="dxa"/>
            <w:vAlign w:val="center"/>
          </w:tcPr>
          <w:p w14:paraId="40F37547">
            <w:pPr>
              <w:jc w:val="center"/>
            </w:pPr>
            <w:r>
              <w:rPr>
                <w:rFonts w:hint="eastAsia"/>
              </w:rPr>
              <w:t>根据各自方案明确数量</w:t>
            </w:r>
          </w:p>
        </w:tc>
        <w:tc>
          <w:tcPr>
            <w:tcW w:w="1276" w:type="dxa"/>
            <w:vMerge w:val="continue"/>
            <w:vAlign w:val="center"/>
          </w:tcPr>
          <w:p w14:paraId="05F5FAB6"/>
        </w:tc>
        <w:tc>
          <w:tcPr>
            <w:tcW w:w="759" w:type="dxa"/>
            <w:vMerge w:val="continue"/>
            <w:vAlign w:val="center"/>
          </w:tcPr>
          <w:p w14:paraId="68B48BA4"/>
        </w:tc>
      </w:tr>
      <w:tr w14:paraId="583B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dxa"/>
            <w:vAlign w:val="center"/>
          </w:tcPr>
          <w:p w14:paraId="1714D9D5">
            <w:pPr>
              <w:jc w:val="center"/>
            </w:pPr>
            <w:r>
              <w:rPr>
                <w:rFonts w:hint="eastAsia"/>
              </w:rPr>
              <w:t>1</w:t>
            </w:r>
            <w:r>
              <w:t>5</w:t>
            </w:r>
          </w:p>
        </w:tc>
        <w:tc>
          <w:tcPr>
            <w:tcW w:w="3544" w:type="dxa"/>
            <w:vAlign w:val="center"/>
          </w:tcPr>
          <w:p w14:paraId="474F27EC">
            <w:pPr>
              <w:jc w:val="center"/>
              <w:rPr>
                <w:color w:val="000000"/>
                <w:sz w:val="22"/>
              </w:rPr>
            </w:pPr>
          </w:p>
        </w:tc>
        <w:tc>
          <w:tcPr>
            <w:tcW w:w="992" w:type="dxa"/>
            <w:vAlign w:val="center"/>
          </w:tcPr>
          <w:p w14:paraId="3D14ED0E">
            <w:pPr>
              <w:widowControl/>
              <w:jc w:val="center"/>
              <w:rPr>
                <w:color w:val="000000"/>
                <w:sz w:val="22"/>
              </w:rPr>
            </w:pPr>
          </w:p>
        </w:tc>
        <w:tc>
          <w:tcPr>
            <w:tcW w:w="1701" w:type="dxa"/>
            <w:vAlign w:val="center"/>
          </w:tcPr>
          <w:p w14:paraId="660F3A37">
            <w:pPr>
              <w:jc w:val="center"/>
            </w:pPr>
          </w:p>
        </w:tc>
        <w:tc>
          <w:tcPr>
            <w:tcW w:w="1276" w:type="dxa"/>
            <w:vMerge w:val="continue"/>
            <w:vAlign w:val="center"/>
          </w:tcPr>
          <w:p w14:paraId="1D0672C6"/>
        </w:tc>
        <w:tc>
          <w:tcPr>
            <w:tcW w:w="759" w:type="dxa"/>
            <w:vMerge w:val="continue"/>
            <w:vAlign w:val="center"/>
          </w:tcPr>
          <w:p w14:paraId="4F227189"/>
        </w:tc>
      </w:tr>
    </w:tbl>
    <w:p w14:paraId="5BE66039">
      <w:pPr>
        <w:spacing w:line="360" w:lineRule="auto"/>
        <w:rPr>
          <w:rFonts w:ascii="Times New Roman" w:hAnsi="Times New Roman" w:cs="Times New Roman"/>
          <w:sz w:val="24"/>
          <w:szCs w:val="24"/>
        </w:rPr>
      </w:pPr>
    </w:p>
    <w:p w14:paraId="02164E8C">
      <w:pPr>
        <w:spacing w:line="360" w:lineRule="auto"/>
        <w:rPr>
          <w:rFonts w:ascii="Times New Roman" w:hAnsi="Times New Roman" w:cs="Times New Roman"/>
          <w:sz w:val="24"/>
          <w:szCs w:val="24"/>
        </w:rPr>
      </w:pPr>
      <w:r>
        <w:rPr>
          <w:rFonts w:ascii="Times New Roman" w:hAnsi="Times New Roman" w:cs="Times New Roman"/>
          <w:sz w:val="24"/>
          <w:szCs w:val="24"/>
        </w:rPr>
        <w:t>备注：</w:t>
      </w:r>
    </w:p>
    <w:p w14:paraId="7B1346ED">
      <w:pPr>
        <w:spacing w:line="360" w:lineRule="auto"/>
        <w:jc w:val="both"/>
        <w:rPr>
          <w:rFonts w:ascii="Times New Roman" w:hAnsi="Times New Roman" w:cs="Times New Roman"/>
          <w:sz w:val="24"/>
          <w:szCs w:val="24"/>
        </w:rPr>
      </w:pPr>
      <w:r>
        <w:rPr>
          <w:rFonts w:ascii="Times New Roman" w:hAnsi="Times New Roman" w:cs="Times New Roman"/>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1C0662D5">
      <w:pPr>
        <w:spacing w:line="360" w:lineRule="auto"/>
        <w:jc w:val="both"/>
        <w:rPr>
          <w:rFonts w:ascii="Times New Roman" w:hAnsi="Times New Roman" w:cs="Times New Roman"/>
          <w:sz w:val="24"/>
          <w:szCs w:val="24"/>
        </w:rPr>
      </w:pPr>
      <w:r>
        <w:rPr>
          <w:rFonts w:ascii="Times New Roman" w:hAnsi="Times New Roman" w:cs="Times New Roman"/>
          <w:sz w:val="24"/>
          <w:szCs w:val="24"/>
        </w:rPr>
        <w:t>2、本表“供货方式”指：交钥匙方式——包括制造、运输、定点卸货、安装、调试和协助验收以及约定培训等。</w:t>
      </w:r>
    </w:p>
    <w:p w14:paraId="379A92F5">
      <w:pPr>
        <w:spacing w:line="360" w:lineRule="auto"/>
        <w:jc w:val="both"/>
        <w:rPr>
          <w:rFonts w:ascii="Times New Roman" w:hAnsi="Times New Roman" w:cs="Times New Roman"/>
          <w:sz w:val="24"/>
          <w:szCs w:val="24"/>
        </w:rPr>
      </w:pPr>
      <w:r>
        <w:rPr>
          <w:rFonts w:ascii="Times New Roman" w:hAnsi="Times New Roman" w:cs="Times New Roman"/>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367D87">
      <w:pPr>
        <w:spacing w:line="360" w:lineRule="auto"/>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、采购货物特别说明</w:t>
      </w:r>
    </w:p>
    <w:p w14:paraId="1C9DE13A">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招标人所列货物的名称和规格型号，如为某一供应商所特有，则该名称和规格型号可作参考，但要求投标人所提供的货物必须满足本技术标书实质性要求。</w:t>
      </w:r>
    </w:p>
    <w:p w14:paraId="77A0411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第二章  技术要求</w:t>
      </w:r>
    </w:p>
    <w:p w14:paraId="22BF2D35">
      <w:pPr>
        <w:spacing w:before="156" w:beforeLines="50" w:line="360" w:lineRule="auto"/>
        <w:jc w:val="both"/>
        <w:rPr>
          <w:rFonts w:ascii="Times New Roman" w:hAnsi="Times New Roman" w:cs="Times New Roman"/>
          <w:b/>
          <w:sz w:val="24"/>
          <w:szCs w:val="24"/>
        </w:rPr>
      </w:pPr>
      <w:r>
        <w:rPr>
          <w:rFonts w:ascii="Times New Roman" w:hAnsi="Times New Roman" w:cs="Times New Roman"/>
          <w:b/>
          <w:sz w:val="24"/>
          <w:szCs w:val="24"/>
        </w:rPr>
        <w:t>一、基本要求</w:t>
      </w:r>
    </w:p>
    <w:p w14:paraId="51C03AEF">
      <w:pPr>
        <w:spacing w:line="360" w:lineRule="auto"/>
        <w:rPr>
          <w:rFonts w:ascii="Times New Roman" w:hAnsi="Times New Roman" w:cs="Times New Roman"/>
          <w:sz w:val="24"/>
          <w:szCs w:val="24"/>
        </w:rPr>
      </w:pPr>
      <w:r>
        <w:rPr>
          <w:rFonts w:ascii="Times New Roman" w:hAnsi="Times New Roman" w:cs="Times New Roman"/>
          <w:sz w:val="24"/>
          <w:szCs w:val="24"/>
        </w:rPr>
        <w:t>1、本章技术要求，仅对功能、设计、结构、性能、安装和试验检验等方面，提出了最低和一般性的技术要求，并未对一切技术细节作出规定。</w:t>
      </w:r>
    </w:p>
    <w:p w14:paraId="13243161">
      <w:pPr>
        <w:spacing w:line="360" w:lineRule="auto"/>
        <w:rPr>
          <w:rFonts w:ascii="Times New Roman" w:hAnsi="Times New Roman" w:cs="Times New Roman"/>
          <w:sz w:val="24"/>
          <w:szCs w:val="24"/>
        </w:rPr>
      </w:pPr>
      <w:r>
        <w:rPr>
          <w:rFonts w:ascii="Times New Roman" w:hAnsi="Times New Roman" w:cs="Times New Roman"/>
          <w:sz w:val="24"/>
          <w:szCs w:val="24"/>
        </w:rPr>
        <w:t>2、本技术要求所使用的标准、规范等，如与投标人所执行的标准、规范不一致时，应按高于本技术要求所列的标准、规范执行。</w:t>
      </w:r>
    </w:p>
    <w:p w14:paraId="054204CE">
      <w:pPr>
        <w:spacing w:line="360" w:lineRule="auto"/>
        <w:rPr>
          <w:rFonts w:ascii="Times New Roman" w:hAnsi="Times New Roman" w:cs="Times New Roman"/>
          <w:sz w:val="24"/>
          <w:szCs w:val="24"/>
        </w:rPr>
      </w:pPr>
      <w:r>
        <w:rPr>
          <w:rFonts w:ascii="Times New Roman" w:hAnsi="Times New Roman" w:cs="Times New Roman"/>
          <w:sz w:val="24"/>
          <w:szCs w:val="24"/>
        </w:rPr>
        <w:t>3、投标人认为所供货物必需由招标人配备、解决或提供的其他要求，如设备基础隔振和减振设施、软化水、洁净气源等，均应在投标档“技术偏离”中予以充分说明。</w:t>
      </w:r>
    </w:p>
    <w:p w14:paraId="196ED978">
      <w:pPr>
        <w:spacing w:line="360" w:lineRule="auto"/>
        <w:rPr>
          <w:rFonts w:ascii="Times New Roman" w:hAnsi="Times New Roman" w:cs="Times New Roman"/>
          <w:sz w:val="24"/>
          <w:szCs w:val="24"/>
        </w:rPr>
      </w:pPr>
      <w:r>
        <w:rPr>
          <w:rFonts w:ascii="Times New Roman" w:hAnsi="Times New Roman" w:cs="Times New Roman"/>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5CFD30B9">
      <w:pPr>
        <w:spacing w:line="360" w:lineRule="auto"/>
        <w:rPr>
          <w:rFonts w:ascii="Times New Roman" w:hAnsi="Times New Roman" w:cs="Times New Roman"/>
          <w:sz w:val="24"/>
          <w:szCs w:val="24"/>
        </w:rPr>
      </w:pPr>
      <w:r>
        <w:rPr>
          <w:rFonts w:ascii="Times New Roman" w:hAnsi="Times New Roman" w:cs="Times New Roman"/>
          <w:sz w:val="24"/>
          <w:szCs w:val="24"/>
        </w:rPr>
        <w:t>5、无论是否有技术偏离，投标人均应在投标档“技术偏离”中明确作出有无说明。若有异议，不管是多么微小，投标人必须予以明确和详细的说明或澄清。</w:t>
      </w:r>
    </w:p>
    <w:p w14:paraId="728A9057">
      <w:pPr>
        <w:spacing w:line="360" w:lineRule="auto"/>
        <w:rPr>
          <w:rFonts w:ascii="Times New Roman" w:hAnsi="Times New Roman" w:cs="Times New Roman"/>
          <w:sz w:val="24"/>
          <w:szCs w:val="24"/>
        </w:rPr>
      </w:pPr>
      <w:r>
        <w:rPr>
          <w:rFonts w:ascii="Times New Roman" w:hAnsi="Times New Roman" w:cs="Times New Roman"/>
          <w:sz w:val="24"/>
          <w:szCs w:val="24"/>
        </w:rPr>
        <w:t>6、为避免投标人优势在招标评审时漏项，质保期超出本技术标书要求的，应当在投标档“技术偏离”中特别注明。</w:t>
      </w:r>
    </w:p>
    <w:p w14:paraId="4132E1F2">
      <w:pPr>
        <w:spacing w:line="360" w:lineRule="auto"/>
        <w:rPr>
          <w:rFonts w:ascii="Times New Roman" w:hAnsi="Times New Roman" w:cs="Times New Roman"/>
          <w:sz w:val="24"/>
          <w:szCs w:val="24"/>
        </w:rPr>
      </w:pPr>
      <w:r>
        <w:rPr>
          <w:rFonts w:ascii="Times New Roman" w:hAnsi="Times New Roman" w:cs="Times New Roman"/>
          <w:sz w:val="24"/>
          <w:szCs w:val="24"/>
        </w:rPr>
        <w:t>7、投标档中，针对“特别提示”条款所做的回应，将作为投标人能否中标的重要依据之一。</w:t>
      </w:r>
    </w:p>
    <w:p w14:paraId="1A1B30FE">
      <w:pPr>
        <w:spacing w:before="156" w:beforeLines="50" w:line="360" w:lineRule="auto"/>
        <w:jc w:val="both"/>
        <w:rPr>
          <w:rFonts w:ascii="Times New Roman" w:hAnsi="Times New Roman" w:cs="Times New Roman"/>
          <w:b/>
          <w:sz w:val="24"/>
          <w:szCs w:val="24"/>
        </w:rPr>
      </w:pPr>
      <w:r>
        <w:rPr>
          <w:rFonts w:ascii="Times New Roman" w:hAnsi="Times New Roman" w:cs="Times New Roman"/>
          <w:b/>
          <w:sz w:val="24"/>
          <w:szCs w:val="24"/>
        </w:rPr>
        <w:t>二、执行标准</w:t>
      </w:r>
    </w:p>
    <w:p w14:paraId="10AD8ED9">
      <w:pPr>
        <w:spacing w:line="360" w:lineRule="auto"/>
        <w:rPr>
          <w:rFonts w:ascii="Times New Roman" w:hAnsi="Times New Roman" w:cs="Times New Roman"/>
          <w:sz w:val="24"/>
          <w:szCs w:val="24"/>
        </w:rPr>
      </w:pPr>
      <w:r>
        <w:rPr>
          <w:rFonts w:ascii="Times New Roman" w:hAnsi="Times New Roman" w:cs="Times New Roman"/>
          <w:sz w:val="24"/>
          <w:szCs w:val="24"/>
        </w:rPr>
        <w:t>1、投标人所供的货物，必须符合中国最新版的法律、法规和相关标准、规范的要求，符合项目所在地政府有关特殊要求。</w:t>
      </w:r>
    </w:p>
    <w:p w14:paraId="723C7AFD">
      <w:pPr>
        <w:spacing w:line="360" w:lineRule="auto"/>
        <w:rPr>
          <w:rFonts w:ascii="Times New Roman" w:hAnsi="Times New Roman" w:cs="Times New Roman"/>
          <w:sz w:val="24"/>
          <w:szCs w:val="24"/>
        </w:rPr>
      </w:pPr>
      <w:r>
        <w:rPr>
          <w:rFonts w:ascii="Times New Roman" w:hAnsi="Times New Roman" w:cs="Times New Roman"/>
          <w:sz w:val="24"/>
          <w:szCs w:val="24"/>
        </w:rPr>
        <w:t>2、投标人所供货物涉及的专利权技术以及知识产权保护的其他技术等，应保证招标人不因此受到任何侵权指控以及实际损失。</w:t>
      </w:r>
    </w:p>
    <w:p w14:paraId="7D8D95DB">
      <w:pPr>
        <w:spacing w:line="360" w:lineRule="auto"/>
        <w:rPr>
          <w:rFonts w:ascii="Times New Roman" w:hAnsi="Times New Roman" w:cs="Times New Roman"/>
          <w:sz w:val="24"/>
          <w:szCs w:val="24"/>
        </w:rPr>
      </w:pPr>
      <w:r>
        <w:rPr>
          <w:rFonts w:ascii="Times New Roman" w:hAnsi="Times New Roman" w:cs="Times New Roman"/>
          <w:sz w:val="24"/>
          <w:szCs w:val="24"/>
        </w:rPr>
        <w:t>3、投标人应保证所供货物的先进性、可靠性、经济性和实用性，并为全新货物（或设备）。</w:t>
      </w:r>
    </w:p>
    <w:p w14:paraId="4831793E">
      <w:pPr>
        <w:spacing w:line="360" w:lineRule="auto"/>
        <w:rPr>
          <w:rFonts w:ascii="Times New Roman" w:hAnsi="Times New Roman" w:cs="Times New Roman"/>
          <w:sz w:val="24"/>
          <w:szCs w:val="24"/>
        </w:rPr>
      </w:pPr>
      <w:r>
        <w:rPr>
          <w:rFonts w:ascii="Times New Roman" w:hAnsi="Times New Roman" w:cs="Times New Roman"/>
          <w:sz w:val="24"/>
          <w:szCs w:val="24"/>
        </w:rPr>
        <w:t>4、投标人应满足招标人提出的各项技术要求，必要时应当免费提供技术承诺或担保。</w:t>
      </w:r>
    </w:p>
    <w:p w14:paraId="4214BF4E">
      <w:pPr>
        <w:spacing w:line="360" w:lineRule="auto"/>
        <w:rPr>
          <w:rFonts w:ascii="Times New Roman" w:hAnsi="Times New Roman" w:cs="Times New Roman"/>
          <w:sz w:val="24"/>
          <w:szCs w:val="24"/>
        </w:rPr>
      </w:pPr>
      <w:r>
        <w:rPr>
          <w:rFonts w:ascii="Times New Roman" w:hAnsi="Times New Roman" w:cs="Times New Roman"/>
          <w:sz w:val="24"/>
          <w:szCs w:val="24"/>
        </w:rPr>
        <w:t>5、投标人应保证所供货物（或设备）为中国政府指定或规定的主管部门公布的非淘汰货物（或设备）。</w:t>
      </w:r>
    </w:p>
    <w:p w14:paraId="35274E61">
      <w:pPr>
        <w:spacing w:line="360" w:lineRule="auto"/>
        <w:rPr>
          <w:rFonts w:ascii="Times New Roman" w:hAnsi="Times New Roman" w:cs="Times New Roman"/>
          <w:sz w:val="24"/>
          <w:szCs w:val="24"/>
        </w:rPr>
      </w:pPr>
      <w:r>
        <w:rPr>
          <w:rFonts w:ascii="Times New Roman" w:hAnsi="Times New Roman" w:cs="Times New Roman"/>
          <w:sz w:val="24"/>
          <w:szCs w:val="24"/>
        </w:rPr>
        <w:t>6、投标人应保证所供货物的完整性和成套性，能保证货物的正常运行、使用。</w:t>
      </w:r>
    </w:p>
    <w:p w14:paraId="249E0227">
      <w:pPr>
        <w:spacing w:line="360" w:lineRule="auto"/>
        <w:rPr>
          <w:rFonts w:ascii="Times New Roman" w:hAnsi="Times New Roman" w:cs="Times New Roman"/>
          <w:color w:val="0070C0"/>
          <w:sz w:val="24"/>
          <w:szCs w:val="24"/>
          <w:highlight w:val="yellow"/>
        </w:rPr>
      </w:pPr>
      <w:r>
        <w:rPr>
          <w:rFonts w:ascii="Times New Roman" w:hAnsi="Times New Roman" w:cs="Times New Roman"/>
          <w:sz w:val="24"/>
          <w:szCs w:val="24"/>
        </w:rPr>
        <w:t>7、投标人应对招标人采购的货物所涉及的技术、产能等信息负有保密义务，招标人拥有追究投标人泄密责任的权利；招标人如有需要，投标人应无条件签署保密协议。</w:t>
      </w:r>
      <w:r>
        <w:rPr>
          <w:rFonts w:ascii="Times New Roman" w:hAnsi="Times New Roman" w:cs="Times New Roman"/>
          <w:b/>
          <w:sz w:val="24"/>
          <w:szCs w:val="24"/>
        </w:rPr>
        <w:t>三、技术要求概况</w:t>
      </w:r>
    </w:p>
    <w:p w14:paraId="480DE87F">
      <w:pPr>
        <w:rPr>
          <w:rFonts w:ascii="Times New Roman" w:hAnsi="Times New Roman" w:cs="Times New Roman"/>
          <w:sz w:val="24"/>
          <w:szCs w:val="24"/>
        </w:rPr>
      </w:pPr>
      <w:r>
        <w:rPr>
          <w:rFonts w:ascii="Times New Roman" w:hAnsi="Times New Roman" w:cs="Times New Roman"/>
          <w:sz w:val="24"/>
          <w:szCs w:val="24"/>
        </w:rPr>
        <w:t xml:space="preserve">3.1 </w:t>
      </w:r>
      <w:r>
        <w:rPr>
          <w:rFonts w:hint="eastAsia" w:ascii="Times New Roman" w:hAnsi="Times New Roman" w:cs="Times New Roman"/>
          <w:sz w:val="24"/>
          <w:szCs w:val="24"/>
        </w:rPr>
        <w:t>经冷却塔冷却后，前后温差≥5℃。</w:t>
      </w:r>
    </w:p>
    <w:p w14:paraId="18D3C493">
      <w:pPr>
        <w:rPr>
          <w:rFonts w:ascii="Times New Roman" w:hAnsi="Times New Roman" w:cs="Times New Roman"/>
          <w:sz w:val="24"/>
          <w:szCs w:val="24"/>
        </w:rPr>
      </w:pPr>
      <w:r>
        <w:rPr>
          <w:rFonts w:ascii="Times New Roman" w:hAnsi="Times New Roman" w:cs="Times New Roman"/>
          <w:sz w:val="24"/>
          <w:szCs w:val="24"/>
        </w:rPr>
        <w:t>3.2</w:t>
      </w:r>
      <w:r>
        <w:rPr>
          <w:rFonts w:hint="eastAsia" w:ascii="Times New Roman" w:hAnsi="Times New Roman" w:cs="Times New Roman"/>
          <w:sz w:val="24"/>
          <w:szCs w:val="24"/>
        </w:rPr>
        <w:t>材质要求</w:t>
      </w:r>
    </w:p>
    <w:p w14:paraId="2499FA9F">
      <w:pPr>
        <w:jc w:val="both"/>
        <w:rPr>
          <w:rFonts w:ascii="Times New Roman" w:hAnsi="Times New Roman" w:cs="Times New Roman"/>
          <w:sz w:val="24"/>
          <w:szCs w:val="24"/>
        </w:rPr>
      </w:pPr>
      <w:r>
        <w:rPr>
          <w:rFonts w:ascii="Times New Roman" w:hAnsi="Times New Roman" w:cs="Times New Roman"/>
          <w:sz w:val="24"/>
          <w:szCs w:val="24"/>
        </w:rPr>
        <w:t xml:space="preserve">3.2.1 </w:t>
      </w:r>
      <w:r>
        <w:rPr>
          <w:rFonts w:hint="eastAsia" w:ascii="Times New Roman" w:hAnsi="Times New Roman" w:cs="Times New Roman"/>
          <w:sz w:val="24"/>
          <w:szCs w:val="24"/>
        </w:rPr>
        <w:t>冷却塔内部金属管道、钢支架采用Q235A热浸镀锌材质；</w:t>
      </w:r>
    </w:p>
    <w:p w14:paraId="3FE97292">
      <w:pPr>
        <w:jc w:val="both"/>
        <w:rPr>
          <w:rFonts w:ascii="Times New Roman" w:hAnsi="Times New Roman" w:cs="Times New Roman"/>
          <w:sz w:val="24"/>
          <w:szCs w:val="24"/>
        </w:rPr>
      </w:pPr>
      <w:r>
        <w:rPr>
          <w:rFonts w:ascii="Times New Roman" w:hAnsi="Times New Roman" w:cs="Times New Roman"/>
          <w:sz w:val="24"/>
          <w:szCs w:val="24"/>
        </w:rPr>
        <w:t xml:space="preserve">3.2.2 </w:t>
      </w:r>
      <w:r>
        <w:rPr>
          <w:rFonts w:hint="eastAsia" w:ascii="Times New Roman" w:hAnsi="Times New Roman" w:cs="Times New Roman"/>
          <w:sz w:val="24"/>
          <w:szCs w:val="24"/>
        </w:rPr>
        <w:t>冷却塔外部管道采用Q235A热浸镀锌材质；</w:t>
      </w:r>
    </w:p>
    <w:p w14:paraId="36537A8D">
      <w:pPr>
        <w:jc w:val="both"/>
      </w:pPr>
      <w:r>
        <w:rPr>
          <w:rFonts w:ascii="Times New Roman" w:hAnsi="Times New Roman" w:cs="Times New Roman"/>
          <w:sz w:val="24"/>
          <w:szCs w:val="24"/>
        </w:rPr>
        <w:t xml:space="preserve">3.3.3 </w:t>
      </w:r>
      <w:r>
        <w:rPr>
          <w:rFonts w:hint="eastAsia" w:ascii="Times New Roman" w:hAnsi="Times New Roman" w:cs="Times New Roman"/>
          <w:sz w:val="24"/>
          <w:szCs w:val="24"/>
        </w:rPr>
        <w:t>面板采用玻璃钢材质；填料使用马力高效型PVC 材质；进风百叶使用镀镁铝锌钢材质。</w:t>
      </w:r>
    </w:p>
    <w:p w14:paraId="43EF6866">
      <w:pPr>
        <w:rPr>
          <w:rFonts w:ascii="Times New Roman" w:hAnsi="Times New Roman" w:cs="Times New Roman"/>
          <w:sz w:val="24"/>
          <w:szCs w:val="24"/>
        </w:rPr>
      </w:pPr>
      <w:r>
        <w:rPr>
          <w:rFonts w:ascii="Times New Roman" w:hAnsi="Times New Roman" w:cs="Times New Roman"/>
          <w:sz w:val="24"/>
          <w:szCs w:val="24"/>
        </w:rPr>
        <w:t>3.3</w:t>
      </w:r>
      <w:r>
        <w:rPr>
          <w:rFonts w:hint="eastAsia" w:ascii="Times New Roman" w:hAnsi="Times New Roman" w:cs="Times New Roman"/>
          <w:sz w:val="24"/>
          <w:szCs w:val="24"/>
        </w:rPr>
        <w:t>电控系统</w:t>
      </w:r>
    </w:p>
    <w:p w14:paraId="4EAB3F5E">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采用4台E</w:t>
      </w:r>
      <w:r>
        <w:rPr>
          <w:rFonts w:ascii="Times New Roman" w:hAnsi="Times New Roman" w:cs="Times New Roman"/>
          <w:sz w:val="24"/>
          <w:szCs w:val="24"/>
        </w:rPr>
        <w:t>C</w:t>
      </w:r>
      <w:r>
        <w:rPr>
          <w:rFonts w:hint="eastAsia" w:ascii="Times New Roman" w:hAnsi="Times New Roman" w:cs="Times New Roman"/>
          <w:sz w:val="24"/>
          <w:szCs w:val="24"/>
        </w:rPr>
        <w:t>风机矩阵式布置，基于实时参数（如出水温度、环境湿温度、流量）动态调整风机转速或启停。电气柜需包含P</w:t>
      </w:r>
      <w:r>
        <w:rPr>
          <w:rFonts w:ascii="Times New Roman" w:hAnsi="Times New Roman" w:cs="Times New Roman"/>
          <w:sz w:val="24"/>
          <w:szCs w:val="24"/>
        </w:rPr>
        <w:t>LC</w:t>
      </w:r>
      <w:r>
        <w:rPr>
          <w:rFonts w:hint="eastAsia" w:ascii="Times New Roman" w:hAnsi="Times New Roman" w:cs="Times New Roman"/>
          <w:sz w:val="24"/>
          <w:szCs w:val="24"/>
        </w:rPr>
        <w:t>或专用控制器、变频器及相关控制元件。</w:t>
      </w:r>
    </w:p>
    <w:p w14:paraId="2E45C668">
      <w:pPr>
        <w:rPr>
          <w:rFonts w:ascii="Times New Roman" w:hAnsi="Times New Roman" w:cs="Times New Roman"/>
          <w:b/>
          <w:sz w:val="24"/>
          <w:szCs w:val="24"/>
        </w:rPr>
      </w:pPr>
      <w:r>
        <w:rPr>
          <w:rFonts w:ascii="Times New Roman" w:hAnsi="Times New Roman" w:cs="Times New Roman"/>
          <w:b/>
          <w:sz w:val="24"/>
          <w:szCs w:val="24"/>
        </w:rPr>
        <w:t>四、方案及设备主要技术规格</w:t>
      </w:r>
    </w:p>
    <w:p w14:paraId="74D5DE57">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.1 第一部分：工艺</w:t>
      </w:r>
      <w:r>
        <w:rPr>
          <w:rFonts w:hint="eastAsia" w:ascii="Times New Roman" w:hAnsi="Times New Roman" w:cs="Times New Roman"/>
          <w:sz w:val="24"/>
          <w:szCs w:val="24"/>
        </w:rPr>
        <w:t>要求</w:t>
      </w:r>
    </w:p>
    <w:p w14:paraId="2FC2E89B">
      <w:pPr>
        <w:ind w:firstLine="480" w:firstLineChars="200"/>
        <w:jc w:val="both"/>
        <w:rPr>
          <w:rFonts w:ascii="Times New Roman" w:hAnsi="Times New Roman" w:cs="Times New Roman"/>
          <w:sz w:val="24"/>
          <w:szCs w:val="24"/>
        </w:rPr>
      </w:pPr>
      <w:r>
        <w:rPr>
          <w:rFonts w:ascii="Times New Roman" w:hAnsi="Times New Roman" w:cs="Times New Roman"/>
          <w:sz w:val="24"/>
          <w:szCs w:val="24"/>
        </w:rPr>
        <w:t>项目不改变原有工艺布局，更新</w:t>
      </w:r>
      <w:r>
        <w:rPr>
          <w:rFonts w:hint="eastAsia" w:ascii="Times New Roman" w:hAnsi="Times New Roman" w:cs="Times New Roman"/>
          <w:sz w:val="24"/>
          <w:szCs w:val="24"/>
        </w:rPr>
        <w:t>5套冷却塔</w:t>
      </w:r>
      <w:r>
        <w:rPr>
          <w:rFonts w:ascii="Times New Roman" w:hAnsi="Times New Roman" w:cs="Times New Roman"/>
          <w:sz w:val="24"/>
          <w:szCs w:val="24"/>
        </w:rPr>
        <w:t>、管道</w:t>
      </w:r>
      <w:r>
        <w:rPr>
          <w:rFonts w:hint="eastAsia" w:ascii="Times New Roman" w:hAnsi="Times New Roman" w:cs="Times New Roman"/>
          <w:sz w:val="24"/>
          <w:szCs w:val="24"/>
        </w:rPr>
        <w:t>、电控系统及</w:t>
      </w:r>
      <w:r>
        <w:rPr>
          <w:rFonts w:ascii="Times New Roman" w:hAnsi="Times New Roman" w:cs="Times New Roman"/>
          <w:sz w:val="24"/>
          <w:szCs w:val="24"/>
        </w:rPr>
        <w:t>相关连接件。</w:t>
      </w:r>
    </w:p>
    <w:p w14:paraId="67C19769">
      <w:pPr>
        <w:jc w:val="both"/>
        <w:rPr>
          <w:rFonts w:ascii="Times New Roman" w:hAnsi="Times New Roman" w:cs="Times New Roman"/>
          <w:sz w:val="24"/>
          <w:szCs w:val="24"/>
        </w:rPr>
      </w:pPr>
      <w:r>
        <w:rPr>
          <w:rFonts w:ascii="Times New Roman" w:hAnsi="Times New Roman" w:cs="Times New Roman"/>
          <w:sz w:val="24"/>
          <w:szCs w:val="24"/>
        </w:rPr>
        <w:t xml:space="preserve">4.1.1 </w:t>
      </w:r>
      <w:r>
        <w:rPr>
          <w:rFonts w:hint="eastAsia" w:ascii="Times New Roman" w:hAnsi="Times New Roman" w:cs="Times New Roman"/>
          <w:sz w:val="24"/>
          <w:szCs w:val="24"/>
        </w:rPr>
        <w:t>新砂烘干循环水系统：更换1套冷却塔及外接管道。处理水量：300T/H，经冷却塔冷却后，前后温差≥5℃。</w:t>
      </w:r>
    </w:p>
    <w:p w14:paraId="466FBE11">
      <w:pPr>
        <w:jc w:val="both"/>
        <w:rPr>
          <w:rFonts w:ascii="Times New Roman" w:hAnsi="Times New Roman" w:cs="Times New Roman"/>
          <w:sz w:val="24"/>
          <w:szCs w:val="24"/>
        </w:rPr>
      </w:pPr>
      <w:r>
        <w:rPr>
          <w:rFonts w:ascii="Times New Roman" w:hAnsi="Times New Roman" w:cs="Times New Roman"/>
          <w:sz w:val="24"/>
          <w:szCs w:val="24"/>
        </w:rPr>
        <w:t xml:space="preserve">4.1.2 </w:t>
      </w:r>
      <w:r>
        <w:rPr>
          <w:rFonts w:hint="eastAsia" w:ascii="Times New Roman" w:hAnsi="Times New Roman" w:cs="Times New Roman"/>
          <w:sz w:val="24"/>
          <w:szCs w:val="24"/>
        </w:rPr>
        <w:t>缸体制芯中心及KW造型线冷却塔循环水系统：更换2套冷却塔及外接管道；更换制芯中心进出水管。处理水量：2*200T/H，经冷却塔冷却后，前后温差≥5℃。</w:t>
      </w:r>
    </w:p>
    <w:p w14:paraId="45C25714">
      <w:pPr>
        <w:jc w:val="both"/>
        <w:rPr>
          <w:rFonts w:ascii="Times New Roman" w:hAnsi="Times New Roman" w:cs="Times New Roman"/>
          <w:sz w:val="24"/>
          <w:szCs w:val="24"/>
        </w:rPr>
      </w:pPr>
      <w:r>
        <w:rPr>
          <w:rFonts w:ascii="Times New Roman" w:hAnsi="Times New Roman" w:cs="Times New Roman"/>
          <w:sz w:val="24"/>
          <w:szCs w:val="24"/>
        </w:rPr>
        <w:t xml:space="preserve">4.1.3 </w:t>
      </w:r>
      <w:r>
        <w:rPr>
          <w:rFonts w:hint="eastAsia" w:ascii="Times New Roman" w:hAnsi="Times New Roman" w:cs="Times New Roman"/>
          <w:sz w:val="24"/>
          <w:szCs w:val="24"/>
        </w:rPr>
        <w:t>真空混砂机循环水系统：更换</w:t>
      </w:r>
      <w:r>
        <w:rPr>
          <w:rFonts w:ascii="Times New Roman" w:hAnsi="Times New Roman" w:cs="Times New Roman"/>
          <w:sz w:val="24"/>
          <w:szCs w:val="24"/>
        </w:rPr>
        <w:t>2</w:t>
      </w:r>
      <w:r>
        <w:rPr>
          <w:rFonts w:hint="eastAsia" w:ascii="Times New Roman" w:hAnsi="Times New Roman" w:cs="Times New Roman"/>
          <w:sz w:val="24"/>
          <w:szCs w:val="24"/>
        </w:rPr>
        <w:t>套冷却塔及外接管道。处理水量：2*300T/H，经冷却塔冷却后，前后温差≥5℃。</w:t>
      </w:r>
    </w:p>
    <w:p w14:paraId="1651D2B0">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.2 第二部分：</w:t>
      </w:r>
      <w:r>
        <w:rPr>
          <w:rFonts w:hint="eastAsia" w:ascii="Times New Roman" w:hAnsi="Times New Roman" w:cs="Times New Roman"/>
          <w:sz w:val="24"/>
          <w:szCs w:val="24"/>
        </w:rPr>
        <w:t>产品的</w:t>
      </w:r>
      <w:r>
        <w:rPr>
          <w:rFonts w:ascii="Times New Roman" w:hAnsi="Times New Roman" w:cs="Times New Roman"/>
          <w:sz w:val="24"/>
          <w:szCs w:val="24"/>
        </w:rPr>
        <w:t>技术参数</w:t>
      </w:r>
    </w:p>
    <w:p w14:paraId="301258A2">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更新冷却塔</w:t>
      </w:r>
      <w:r>
        <w:rPr>
          <w:rFonts w:ascii="Times New Roman" w:hAnsi="Times New Roman" w:cs="Times New Roman"/>
          <w:sz w:val="24"/>
          <w:szCs w:val="24"/>
        </w:rPr>
        <w:t>、管道</w:t>
      </w:r>
      <w:r>
        <w:rPr>
          <w:rFonts w:hint="eastAsia" w:ascii="Times New Roman" w:hAnsi="Times New Roman" w:cs="Times New Roman"/>
          <w:sz w:val="24"/>
          <w:szCs w:val="24"/>
        </w:rPr>
        <w:t>、电控系统及</w:t>
      </w:r>
      <w:r>
        <w:rPr>
          <w:rFonts w:ascii="Times New Roman" w:hAnsi="Times New Roman" w:cs="Times New Roman"/>
          <w:sz w:val="24"/>
          <w:szCs w:val="24"/>
        </w:rPr>
        <w:t>相关连接件</w:t>
      </w:r>
      <w:r>
        <w:rPr>
          <w:rFonts w:hint="eastAsia" w:ascii="Times New Roman" w:hAnsi="Times New Roman" w:cs="Times New Roman"/>
          <w:sz w:val="24"/>
          <w:szCs w:val="24"/>
        </w:rPr>
        <w:t>，具体要求如下：</w:t>
      </w:r>
    </w:p>
    <w:p w14:paraId="071E7D77">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.2.1 设备须有可靠的安全性，符合ISO安全标准、CE安全标准。</w:t>
      </w:r>
    </w:p>
    <w:p w14:paraId="4F53F826">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.2.2 </w:t>
      </w:r>
      <w:r>
        <w:rPr>
          <w:rFonts w:hint="eastAsia" w:ascii="Times New Roman" w:hAnsi="Times New Roman" w:cs="Times New Roman"/>
          <w:sz w:val="24"/>
          <w:szCs w:val="24"/>
        </w:rPr>
        <w:t>本项目涉及的各类设备零部件，优先选用国标件，如使用非标零部件需</w:t>
      </w:r>
      <w:r>
        <w:rPr>
          <w:rFonts w:ascii="Times New Roman" w:hAnsi="Times New Roman" w:cs="Times New Roman"/>
          <w:sz w:val="24"/>
          <w:szCs w:val="24"/>
        </w:rPr>
        <w:t>在投标文件中予以标明。</w:t>
      </w:r>
    </w:p>
    <w:p w14:paraId="4BEED850">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.2.3 </w:t>
      </w:r>
      <w:r>
        <w:rPr>
          <w:rFonts w:hint="eastAsia" w:ascii="Times New Roman" w:hAnsi="Times New Roman" w:cs="Times New Roman"/>
          <w:sz w:val="24"/>
          <w:szCs w:val="24"/>
        </w:rPr>
        <w:t>冷却塔材质要求</w:t>
      </w:r>
    </w:p>
    <w:p w14:paraId="332F5BFC">
      <w:pPr>
        <w:ind w:firstLine="480" w:firstLineChars="200"/>
        <w:jc w:val="both"/>
        <w:rPr>
          <w:rFonts w:ascii="Times New Roman" w:hAnsi="Times New Roman" w:cs="Times New Roman"/>
          <w:sz w:val="24"/>
          <w:szCs w:val="24"/>
        </w:rPr>
      </w:pPr>
      <w:r>
        <w:rPr>
          <w:rFonts w:ascii="Times New Roman" w:hAnsi="Times New Roman" w:cs="Times New Roman"/>
          <w:sz w:val="24"/>
          <w:szCs w:val="24"/>
        </w:rPr>
        <w:t>1）冷却塔内部金属管道、钢支架采用Q235A热浸镀锌材质；</w:t>
      </w:r>
    </w:p>
    <w:p w14:paraId="574C652A">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）面板采用玻璃钢材质；</w:t>
      </w:r>
    </w:p>
    <w:p w14:paraId="0F100B3C">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）填料使用</w:t>
      </w:r>
      <w:r>
        <w:rPr>
          <w:rFonts w:hint="eastAsia" w:ascii="Times New Roman" w:hAnsi="Times New Roman" w:cs="Times New Roman"/>
          <w:sz w:val="24"/>
          <w:szCs w:val="24"/>
        </w:rPr>
        <w:t>马力高效型</w:t>
      </w:r>
      <w:r>
        <w:rPr>
          <w:rFonts w:ascii="Times New Roman" w:hAnsi="Times New Roman" w:cs="Times New Roman"/>
          <w:sz w:val="24"/>
          <w:szCs w:val="24"/>
        </w:rPr>
        <w:t>PVC 材质；</w:t>
      </w:r>
    </w:p>
    <w:p w14:paraId="283D2E48">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）进风百叶使用镀镁铝锌钢材质。</w:t>
      </w:r>
    </w:p>
    <w:p w14:paraId="179A1662">
      <w:pPr>
        <w:jc w:val="both"/>
        <w:rPr>
          <w:rFonts w:ascii="Times New Roman" w:hAnsi="Times New Roman" w:cs="Times New Roman"/>
          <w:sz w:val="24"/>
          <w:szCs w:val="24"/>
        </w:rPr>
      </w:pPr>
      <w:r>
        <w:rPr>
          <w:rFonts w:ascii="Times New Roman" w:hAnsi="Times New Roman" w:cs="Times New Roman"/>
          <w:sz w:val="24"/>
          <w:szCs w:val="24"/>
        </w:rPr>
        <w:t xml:space="preserve">4.2.4 </w:t>
      </w:r>
      <w:r>
        <w:rPr>
          <w:rFonts w:hint="eastAsia" w:ascii="Times New Roman" w:hAnsi="Times New Roman" w:cs="Times New Roman"/>
          <w:sz w:val="24"/>
          <w:szCs w:val="24"/>
        </w:rPr>
        <w:t>冷却塔管道的技术要求</w:t>
      </w:r>
    </w:p>
    <w:p w14:paraId="1C159798">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1）新砂烘干系统冷却塔外接管：材质</w:t>
      </w:r>
      <w:r>
        <w:rPr>
          <w:rFonts w:ascii="Times New Roman" w:hAnsi="Times New Roman" w:cs="Times New Roman"/>
          <w:sz w:val="24"/>
          <w:szCs w:val="24"/>
        </w:rPr>
        <w:t>采用Q235A热浸镀锌材质；</w:t>
      </w:r>
      <w:r>
        <w:rPr>
          <w:rFonts w:hint="eastAsia" w:ascii="Times New Roman" w:hAnsi="Times New Roman" w:cs="Times New Roman"/>
          <w:sz w:val="24"/>
          <w:szCs w:val="24"/>
        </w:rPr>
        <w:t>管道直径：</w:t>
      </w:r>
      <w:r>
        <w:rPr>
          <w:rFonts w:ascii="Times New Roman" w:hAnsi="Times New Roman" w:cs="Times New Roman"/>
          <w:sz w:val="24"/>
          <w:szCs w:val="24"/>
        </w:rPr>
        <w:t>DN250</w:t>
      </w:r>
      <w:r>
        <w:rPr>
          <w:rFonts w:hint="eastAsia" w:ascii="Times New Roman" w:hAnsi="Times New Roman" w:cs="Times New Roman"/>
          <w:sz w:val="24"/>
          <w:szCs w:val="24"/>
        </w:rPr>
        <w:t>；</w:t>
      </w:r>
    </w:p>
    <w:p w14:paraId="48118AF1">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2）缸体线冷却塔外接管：材质</w:t>
      </w:r>
      <w:r>
        <w:rPr>
          <w:rFonts w:ascii="Times New Roman" w:hAnsi="Times New Roman" w:cs="Times New Roman"/>
          <w:sz w:val="24"/>
          <w:szCs w:val="24"/>
        </w:rPr>
        <w:t>采用Q235A热浸镀锌材质；</w:t>
      </w:r>
      <w:r>
        <w:rPr>
          <w:rFonts w:hint="eastAsia" w:ascii="Times New Roman" w:hAnsi="Times New Roman" w:cs="Times New Roman"/>
          <w:sz w:val="24"/>
          <w:szCs w:val="24"/>
        </w:rPr>
        <w:t>管道直径：</w:t>
      </w:r>
      <w:r>
        <w:rPr>
          <w:rFonts w:ascii="Times New Roman" w:hAnsi="Times New Roman" w:cs="Times New Roman"/>
          <w:sz w:val="24"/>
          <w:szCs w:val="24"/>
        </w:rPr>
        <w:t>DN250</w:t>
      </w:r>
      <w:r>
        <w:rPr>
          <w:rFonts w:hint="eastAsia" w:ascii="Times New Roman" w:hAnsi="Times New Roman" w:cs="Times New Roman"/>
          <w:sz w:val="24"/>
          <w:szCs w:val="24"/>
        </w:rPr>
        <w:t>；</w:t>
      </w:r>
    </w:p>
    <w:p w14:paraId="5505600E">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3）制芯中心进出水管：材质</w:t>
      </w:r>
      <w:r>
        <w:rPr>
          <w:rFonts w:ascii="Times New Roman" w:hAnsi="Times New Roman" w:cs="Times New Roman"/>
          <w:sz w:val="24"/>
          <w:szCs w:val="24"/>
        </w:rPr>
        <w:t>采用Q235A热浸镀锌材质；</w:t>
      </w:r>
      <w:r>
        <w:rPr>
          <w:rFonts w:hint="eastAsia" w:ascii="Times New Roman" w:hAnsi="Times New Roman" w:cs="Times New Roman"/>
          <w:sz w:val="24"/>
          <w:szCs w:val="24"/>
        </w:rPr>
        <w:t>管道直径：</w:t>
      </w:r>
      <w:r>
        <w:rPr>
          <w:rFonts w:ascii="Times New Roman" w:hAnsi="Times New Roman" w:cs="Times New Roman"/>
          <w:sz w:val="24"/>
          <w:szCs w:val="24"/>
        </w:rPr>
        <w:t>DN100</w:t>
      </w:r>
      <w:r>
        <w:rPr>
          <w:rFonts w:hint="eastAsia" w:ascii="Times New Roman" w:hAnsi="Times New Roman" w:cs="Times New Roman"/>
          <w:sz w:val="24"/>
          <w:szCs w:val="24"/>
        </w:rPr>
        <w:t>；</w:t>
      </w:r>
    </w:p>
    <w:p w14:paraId="79FBEBFC">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4）真空混砂机冷却塔外接管：材质</w:t>
      </w:r>
      <w:r>
        <w:rPr>
          <w:rFonts w:ascii="Times New Roman" w:hAnsi="Times New Roman" w:cs="Times New Roman"/>
          <w:sz w:val="24"/>
          <w:szCs w:val="24"/>
        </w:rPr>
        <w:t>采用Q235A热浸镀锌材质；</w:t>
      </w:r>
      <w:r>
        <w:rPr>
          <w:rFonts w:hint="eastAsia" w:ascii="Times New Roman" w:hAnsi="Times New Roman" w:cs="Times New Roman"/>
          <w:sz w:val="24"/>
          <w:szCs w:val="24"/>
        </w:rPr>
        <w:t>管道直径：</w:t>
      </w:r>
      <w:r>
        <w:rPr>
          <w:rFonts w:ascii="Times New Roman" w:hAnsi="Times New Roman" w:cs="Times New Roman"/>
          <w:sz w:val="24"/>
          <w:szCs w:val="24"/>
        </w:rPr>
        <w:t>DN250</w:t>
      </w:r>
      <w:r>
        <w:rPr>
          <w:rFonts w:hint="eastAsia" w:ascii="Times New Roman" w:hAnsi="Times New Roman" w:cs="Times New Roman"/>
          <w:sz w:val="24"/>
          <w:szCs w:val="24"/>
        </w:rPr>
        <w:t>；</w:t>
      </w:r>
    </w:p>
    <w:p w14:paraId="46F5A38A">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5）分流管路需配套安装手动涡轮蝶阀门；阀门上端安装挡雨棚，材质使用不锈钢材质，面积根据阀门大小适配，不可影响正常开关使用。</w:t>
      </w:r>
    </w:p>
    <w:p w14:paraId="5A8B1B6E">
      <w:pPr>
        <w:jc w:val="both"/>
        <w:rPr>
          <w:rFonts w:ascii="Times New Roman" w:hAnsi="Times New Roman" w:cs="Times New Roman"/>
          <w:sz w:val="24"/>
          <w:szCs w:val="24"/>
        </w:rPr>
      </w:pPr>
      <w:r>
        <w:rPr>
          <w:rFonts w:ascii="Times New Roman" w:hAnsi="Times New Roman" w:cs="Times New Roman"/>
          <w:sz w:val="24"/>
          <w:szCs w:val="24"/>
        </w:rPr>
        <w:t xml:space="preserve">4.2.5 </w:t>
      </w:r>
      <w:r>
        <w:rPr>
          <w:rFonts w:hint="eastAsia" w:ascii="Times New Roman" w:hAnsi="Times New Roman" w:cs="Times New Roman"/>
          <w:sz w:val="24"/>
          <w:szCs w:val="24"/>
        </w:rPr>
        <w:t>电控系统要求</w:t>
      </w:r>
    </w:p>
    <w:p w14:paraId="257925C6">
      <w:pPr>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采用4台E</w:t>
      </w:r>
      <w:r>
        <w:rPr>
          <w:rFonts w:ascii="Times New Roman" w:hAnsi="Times New Roman" w:cs="Times New Roman"/>
          <w:sz w:val="24"/>
          <w:szCs w:val="24"/>
        </w:rPr>
        <w:t>C</w:t>
      </w:r>
      <w:r>
        <w:rPr>
          <w:rFonts w:hint="eastAsia" w:ascii="Times New Roman" w:hAnsi="Times New Roman" w:cs="Times New Roman"/>
          <w:sz w:val="24"/>
          <w:szCs w:val="24"/>
        </w:rPr>
        <w:t>风机矩阵式布置，基于实时参数（如出水温度、环境湿温度、流量）动态调整风机转速或启停。电气柜需包含P</w:t>
      </w:r>
      <w:r>
        <w:rPr>
          <w:rFonts w:ascii="Times New Roman" w:hAnsi="Times New Roman" w:cs="Times New Roman"/>
          <w:sz w:val="24"/>
          <w:szCs w:val="24"/>
        </w:rPr>
        <w:t>LC</w:t>
      </w:r>
      <w:r>
        <w:rPr>
          <w:rFonts w:hint="eastAsia" w:ascii="Times New Roman" w:hAnsi="Times New Roman" w:cs="Times New Roman"/>
          <w:sz w:val="24"/>
          <w:szCs w:val="24"/>
        </w:rPr>
        <w:t>或专用控制器、变频器及相关控制元件，需使用西门子或同水平的国内知名品牌。</w:t>
      </w:r>
    </w:p>
    <w:p w14:paraId="31E5F8B5">
      <w:pPr>
        <w:ind w:firstLine="480" w:firstLineChars="200"/>
        <w:jc w:val="both"/>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）新砂烘干循环水系统E</w:t>
      </w:r>
      <w:r>
        <w:rPr>
          <w:rFonts w:ascii="Times New Roman" w:hAnsi="Times New Roman" w:cs="Times New Roman"/>
          <w:sz w:val="24"/>
          <w:szCs w:val="24"/>
        </w:rPr>
        <w:t>C</w:t>
      </w:r>
      <w:r>
        <w:rPr>
          <w:rFonts w:hint="eastAsia" w:ascii="Times New Roman" w:hAnsi="Times New Roman" w:cs="Times New Roman"/>
          <w:sz w:val="24"/>
          <w:szCs w:val="24"/>
        </w:rPr>
        <w:t>风机要求：全铝合金机翼型；风量≥53000m</w:t>
      </w:r>
      <w:r>
        <w:rPr>
          <w:rFonts w:ascii="Times New Roman" w:hAnsi="Times New Roman" w:cs="Times New Roman"/>
          <w:sz w:val="24"/>
          <w:szCs w:val="24"/>
        </w:rPr>
        <w:t>³</w:t>
      </w:r>
      <w:r>
        <w:rPr>
          <w:rFonts w:hint="eastAsia" w:ascii="Times New Roman" w:hAnsi="Times New Roman" w:cs="Times New Roman"/>
          <w:sz w:val="24"/>
          <w:szCs w:val="24"/>
        </w:rPr>
        <w:t>/h。</w:t>
      </w:r>
    </w:p>
    <w:p w14:paraId="716684A8">
      <w:pPr>
        <w:ind w:firstLine="480" w:firstLineChars="200"/>
        <w:jc w:val="both"/>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rPr>
        <w:t>缸体制芯中心及KW造型线冷却塔循环水系统E</w:t>
      </w:r>
      <w:r>
        <w:rPr>
          <w:rFonts w:ascii="Times New Roman" w:hAnsi="Times New Roman" w:cs="Times New Roman"/>
          <w:sz w:val="24"/>
          <w:szCs w:val="24"/>
        </w:rPr>
        <w:t>C</w:t>
      </w:r>
      <w:r>
        <w:rPr>
          <w:rFonts w:hint="eastAsia" w:ascii="Times New Roman" w:hAnsi="Times New Roman" w:cs="Times New Roman"/>
          <w:sz w:val="24"/>
          <w:szCs w:val="24"/>
        </w:rPr>
        <w:t>风机要求：全铝合金机翼型；风量≥32500m</w:t>
      </w:r>
      <w:r>
        <w:rPr>
          <w:rFonts w:ascii="Times New Roman" w:hAnsi="Times New Roman" w:cs="Times New Roman"/>
          <w:sz w:val="24"/>
          <w:szCs w:val="24"/>
        </w:rPr>
        <w:t>³</w:t>
      </w:r>
      <w:r>
        <w:rPr>
          <w:rFonts w:hint="eastAsia" w:ascii="Times New Roman" w:hAnsi="Times New Roman" w:cs="Times New Roman"/>
          <w:sz w:val="24"/>
          <w:szCs w:val="24"/>
        </w:rPr>
        <w:t>/h。</w:t>
      </w:r>
    </w:p>
    <w:p w14:paraId="46B5F41D">
      <w:pPr>
        <w:ind w:firstLine="480" w:firstLineChars="200"/>
        <w:jc w:val="both"/>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rPr>
        <w:t>真空混砂机循环水系统E</w:t>
      </w:r>
      <w:r>
        <w:rPr>
          <w:rFonts w:ascii="Times New Roman" w:hAnsi="Times New Roman" w:cs="Times New Roman"/>
          <w:sz w:val="24"/>
          <w:szCs w:val="24"/>
        </w:rPr>
        <w:t>C</w:t>
      </w:r>
      <w:r>
        <w:rPr>
          <w:rFonts w:hint="eastAsia" w:ascii="Times New Roman" w:hAnsi="Times New Roman" w:cs="Times New Roman"/>
          <w:sz w:val="24"/>
          <w:szCs w:val="24"/>
        </w:rPr>
        <w:t>风机要求：全铝合金机翼型；风量≥53000m</w:t>
      </w:r>
      <w:r>
        <w:rPr>
          <w:rFonts w:ascii="Times New Roman" w:hAnsi="Times New Roman" w:cs="Times New Roman"/>
          <w:sz w:val="24"/>
          <w:szCs w:val="24"/>
        </w:rPr>
        <w:t>³</w:t>
      </w:r>
      <w:r>
        <w:rPr>
          <w:rFonts w:hint="eastAsia" w:ascii="Times New Roman" w:hAnsi="Times New Roman" w:cs="Times New Roman"/>
          <w:sz w:val="24"/>
          <w:szCs w:val="24"/>
        </w:rPr>
        <w:t>/h。</w:t>
      </w:r>
    </w:p>
    <w:p w14:paraId="550903C6">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.2.6 </w:t>
      </w:r>
      <w:r>
        <w:rPr>
          <w:rFonts w:hint="eastAsia" w:ascii="Times New Roman" w:hAnsi="Times New Roman" w:cs="Times New Roman"/>
          <w:sz w:val="24"/>
          <w:szCs w:val="24"/>
        </w:rPr>
        <w:t>设备的电气联锁、程序修改由招标方审核同意后进行实施。</w:t>
      </w:r>
    </w:p>
    <w:p w14:paraId="6F3510BD">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.2.7 </w:t>
      </w:r>
      <w:r>
        <w:rPr>
          <w:rFonts w:hint="eastAsia" w:ascii="Times New Roman" w:hAnsi="Times New Roman" w:cs="Times New Roman"/>
          <w:sz w:val="24"/>
          <w:szCs w:val="24"/>
        </w:rPr>
        <w:t>更换一套真空混砂机冷却塔供水系统，口径：2</w:t>
      </w:r>
      <w:r>
        <w:rPr>
          <w:rFonts w:ascii="Times New Roman" w:hAnsi="Times New Roman" w:cs="Times New Roman"/>
          <w:sz w:val="24"/>
          <w:szCs w:val="24"/>
        </w:rPr>
        <w:t>50mm</w:t>
      </w:r>
      <w:r>
        <w:rPr>
          <w:rFonts w:hint="eastAsia" w:ascii="Times New Roman" w:hAnsi="Times New Roman" w:cs="Times New Roman"/>
          <w:sz w:val="24"/>
          <w:szCs w:val="24"/>
        </w:rPr>
        <w:t>；流量：3</w:t>
      </w:r>
      <w:r>
        <w:rPr>
          <w:rFonts w:ascii="Times New Roman" w:hAnsi="Times New Roman" w:cs="Times New Roman"/>
          <w:sz w:val="24"/>
          <w:szCs w:val="24"/>
        </w:rPr>
        <w:t>65</w:t>
      </w:r>
      <w:r>
        <w:rPr>
          <w:rFonts w:hint="eastAsia" w:ascii="Times New Roman" w:hAnsi="Times New Roman" w:cs="Times New Roman"/>
          <w:sz w:val="24"/>
          <w:szCs w:val="24"/>
        </w:rPr>
        <w:t>m</w:t>
      </w:r>
      <w:r>
        <w:rPr>
          <w:rFonts w:ascii="Times New Roman" w:hAnsi="Times New Roman" w:cs="Times New Roman"/>
          <w:sz w:val="24"/>
          <w:szCs w:val="24"/>
          <w:vertAlign w:val="superscript"/>
        </w:rPr>
        <w:t>3</w:t>
      </w:r>
      <w:r>
        <w:rPr>
          <w:rFonts w:hint="eastAsia" w:ascii="Times New Roman" w:hAnsi="Times New Roman" w:cs="Times New Roman"/>
          <w:sz w:val="24"/>
          <w:szCs w:val="24"/>
        </w:rPr>
        <w:t>/</w:t>
      </w:r>
      <w:r>
        <w:rPr>
          <w:rFonts w:ascii="Times New Roman" w:hAnsi="Times New Roman" w:cs="Times New Roman"/>
          <w:sz w:val="24"/>
          <w:szCs w:val="24"/>
        </w:rPr>
        <w:t>h</w:t>
      </w:r>
      <w:r>
        <w:rPr>
          <w:rFonts w:hint="eastAsia" w:ascii="Times New Roman" w:hAnsi="Times New Roman" w:cs="Times New Roman"/>
          <w:sz w:val="24"/>
          <w:szCs w:val="24"/>
        </w:rPr>
        <w:t>。</w:t>
      </w:r>
    </w:p>
    <w:p w14:paraId="2EE75C2F">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.2.8 </w:t>
      </w:r>
      <w:r>
        <w:rPr>
          <w:rFonts w:hint="eastAsia" w:ascii="Times New Roman" w:hAnsi="Times New Roman" w:cs="Times New Roman"/>
          <w:sz w:val="24"/>
          <w:szCs w:val="24"/>
        </w:rPr>
        <w:t>冷却塔上方设置检修平台、防护栏（高</w:t>
      </w:r>
      <w:r>
        <w:rPr>
          <w:rFonts w:ascii="Times New Roman" w:hAnsi="Times New Roman" w:cs="Times New Roman"/>
          <w:sz w:val="24"/>
          <w:szCs w:val="24"/>
        </w:rPr>
        <w:t>1.2M，底部外围安装高100mm踢脚板）、爬梯(含防护笼、防护门板加锁，5条加强竖条固定防护)，平台及爬梯粉刷黄色警示漆，便于人员检修。</w:t>
      </w:r>
    </w:p>
    <w:p w14:paraId="7FC7F4AD">
      <w:pPr>
        <w:pStyle w:val="17"/>
      </w:pPr>
    </w:p>
    <w:p w14:paraId="6A049D5F">
      <w:pPr>
        <w:pStyle w:val="17"/>
      </w:pPr>
    </w:p>
    <w:p w14:paraId="744BFF16">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.3 第</w:t>
      </w:r>
      <w:r>
        <w:rPr>
          <w:rFonts w:hint="eastAsia" w:ascii="Times New Roman" w:hAnsi="Times New Roman" w:cs="Times New Roman"/>
          <w:sz w:val="24"/>
          <w:szCs w:val="24"/>
        </w:rPr>
        <w:t>三</w:t>
      </w:r>
      <w:r>
        <w:rPr>
          <w:rFonts w:ascii="Times New Roman" w:hAnsi="Times New Roman" w:cs="Times New Roman"/>
          <w:sz w:val="24"/>
          <w:szCs w:val="24"/>
        </w:rPr>
        <w:t>部分：</w:t>
      </w:r>
      <w:r>
        <w:rPr>
          <w:rFonts w:hint="eastAsia" w:ascii="Times New Roman" w:hAnsi="Times New Roman" w:cs="Times New Roman"/>
          <w:sz w:val="24"/>
          <w:szCs w:val="24"/>
        </w:rPr>
        <w:t>其他</w:t>
      </w:r>
      <w:r>
        <w:rPr>
          <w:rFonts w:ascii="Times New Roman" w:hAnsi="Times New Roman" w:cs="Times New Roman"/>
          <w:sz w:val="24"/>
          <w:szCs w:val="24"/>
        </w:rPr>
        <w:t>技术参数</w:t>
      </w:r>
    </w:p>
    <w:p w14:paraId="0113072E">
      <w:pPr>
        <w:jc w:val="both"/>
        <w:rPr>
          <w:rFonts w:hint="eastAsia" w:ascii="Times New Roman" w:hAnsi="Times New Roman" w:cs="Times New Roman"/>
          <w:sz w:val="24"/>
          <w:szCs w:val="24"/>
        </w:rPr>
      </w:pPr>
      <w:r>
        <w:rPr>
          <w:rFonts w:ascii="Times New Roman" w:hAnsi="Times New Roman" w:cs="Times New Roman"/>
          <w:sz w:val="24"/>
          <w:szCs w:val="24"/>
        </w:rPr>
        <w:t>4.3.1 本项目的拆除、安装作业均由投标方负责，因本项目包含登高作业、动火作业、吊装作业等工作内容，作业人员需满足作业要求，对拆除后的废料及作业垃圾由拟投标方回收清理。</w:t>
      </w:r>
    </w:p>
    <w:p w14:paraId="661C7685">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.3.2 </w:t>
      </w:r>
      <w:r>
        <w:rPr>
          <w:rFonts w:hint="eastAsia" w:ascii="Times New Roman" w:hAnsi="Times New Roman" w:cs="Times New Roman"/>
          <w:sz w:val="24"/>
          <w:szCs w:val="24"/>
        </w:rPr>
        <w:t>冷却塔外部管道油漆防锈面在涂漆前均进行除锈打磨等表面处理，在表面无杂质后再上油漆，油漆漆膜均匀、不堆积、漏涂、没有皱纹、气泡、掺杂混色等颜色按重汽集团《Q</w:t>
      </w:r>
      <w:r>
        <w:rPr>
          <w:rFonts w:ascii="Times New Roman" w:hAnsi="Times New Roman" w:cs="Times New Roman"/>
          <w:sz w:val="24"/>
          <w:szCs w:val="24"/>
        </w:rPr>
        <w:t>-ZZ 30070</w:t>
      </w:r>
      <w:r>
        <w:rPr>
          <w:rFonts w:hint="eastAsia" w:ascii="Times New Roman" w:hAnsi="Times New Roman" w:cs="Times New Roman"/>
          <w:sz w:val="24"/>
          <w:szCs w:val="24"/>
        </w:rPr>
        <w:t>设备设施颜色标识》标准执行。</w:t>
      </w:r>
    </w:p>
    <w:p w14:paraId="04793E25">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.3.3 冷却塔噪声包括冷却塔的风机和传动装置及喷淋水等所产生的综合噪声，备运转时连续噪声≤80dB(A) (距设备各装置1m位置测量)。噪声的测定方法按 GB7190.2-1997 执行。</w:t>
      </w:r>
    </w:p>
    <w:p w14:paraId="2141E094">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.3.4 </w:t>
      </w:r>
      <w:r>
        <w:rPr>
          <w:rFonts w:hint="eastAsia" w:ascii="Times New Roman" w:hAnsi="Times New Roman" w:cs="Times New Roman"/>
          <w:sz w:val="24"/>
          <w:szCs w:val="24"/>
        </w:rPr>
        <w:t>设备的计量单位采用公制的中国标准或国际标准；不采用英制和已淘汰的单位制。</w:t>
      </w:r>
    </w:p>
    <w:p w14:paraId="00107B50">
      <w:pPr>
        <w:jc w:val="both"/>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 xml:space="preserve">.3.5 </w:t>
      </w:r>
      <w:r>
        <w:rPr>
          <w:rFonts w:hint="eastAsia" w:ascii="Times New Roman" w:hAnsi="Times New Roman" w:cs="Times New Roman"/>
          <w:sz w:val="24"/>
          <w:szCs w:val="24"/>
        </w:rPr>
        <w:t>因此项目为原有设备更新改造，投标方必须到现场了解设备功能，使用状况、现场作业环境，并与招标方进行技术交流，确保可以满足招标方的使用要求。</w:t>
      </w:r>
    </w:p>
    <w:p w14:paraId="226B4C4D">
      <w:pPr>
        <w:rPr>
          <w:rFonts w:ascii="Times New Roman" w:hAnsi="Times New Roman" w:cs="Times New Roman"/>
          <w:sz w:val="24"/>
          <w:szCs w:val="24"/>
        </w:rPr>
      </w:pPr>
      <w:r>
        <w:rPr>
          <w:rFonts w:ascii="Times New Roman" w:hAnsi="Times New Roman" w:cs="Times New Roman"/>
          <w:sz w:val="24"/>
          <w:szCs w:val="24"/>
        </w:rPr>
        <w:t>第四部分：随机技术文档</w:t>
      </w:r>
    </w:p>
    <w:p w14:paraId="5F2DA104">
      <w:pPr>
        <w:rPr>
          <w:rFonts w:ascii="Times New Roman" w:hAnsi="Times New Roman" w:cs="Times New Roman"/>
          <w:sz w:val="24"/>
          <w:szCs w:val="24"/>
        </w:rPr>
      </w:pPr>
      <w:r>
        <w:rPr>
          <w:rFonts w:ascii="Times New Roman" w:hAnsi="Times New Roman" w:cs="Times New Roman"/>
          <w:sz w:val="24"/>
          <w:szCs w:val="24"/>
        </w:rPr>
        <w:t>随机技术文件包含，设备</w:t>
      </w:r>
      <w:r>
        <w:rPr>
          <w:rFonts w:hint="eastAsia" w:ascii="Times New Roman" w:hAnsi="Times New Roman" w:cs="Times New Roman"/>
          <w:sz w:val="24"/>
          <w:szCs w:val="24"/>
        </w:rPr>
        <w:t>技术资料（含软件），</w:t>
      </w:r>
      <w:r>
        <w:rPr>
          <w:rFonts w:ascii="Times New Roman" w:hAnsi="Times New Roman" w:cs="Times New Roman"/>
          <w:sz w:val="24"/>
          <w:szCs w:val="24"/>
        </w:rPr>
        <w:t>设备使用说明书，合格证，保修卡</w:t>
      </w:r>
      <w:r>
        <w:rPr>
          <w:rFonts w:hint="eastAsia" w:ascii="Times New Roman" w:hAnsi="Times New Roman" w:cs="Times New Roman"/>
          <w:sz w:val="24"/>
          <w:szCs w:val="24"/>
        </w:rPr>
        <w:t>。</w:t>
      </w:r>
    </w:p>
    <w:p w14:paraId="1F5F4EF4">
      <w:pPr>
        <w:jc w:val="center"/>
        <w:rPr>
          <w:rFonts w:ascii="Times New Roman" w:hAnsi="Times New Roman" w:cs="Times New Roman"/>
          <w:b/>
          <w:sz w:val="28"/>
          <w:szCs w:val="28"/>
        </w:rPr>
      </w:pPr>
      <w:r>
        <w:rPr>
          <w:rFonts w:ascii="Times New Roman" w:hAnsi="Times New Roman" w:cs="Times New Roman"/>
          <w:b/>
          <w:sz w:val="28"/>
          <w:szCs w:val="28"/>
        </w:rPr>
        <w:t>第三章  供货范围及供货方式</w:t>
      </w:r>
    </w:p>
    <w:p w14:paraId="4A1FCDF1">
      <w:pPr>
        <w:rPr>
          <w:rFonts w:ascii="Times New Roman" w:hAnsi="Times New Roman" w:cs="Times New Roman"/>
          <w:b/>
          <w:sz w:val="24"/>
          <w:szCs w:val="24"/>
        </w:rPr>
      </w:pPr>
      <w:r>
        <w:rPr>
          <w:rFonts w:ascii="Times New Roman" w:hAnsi="Times New Roman" w:cs="Times New Roman"/>
          <w:b/>
          <w:sz w:val="24"/>
          <w:szCs w:val="24"/>
        </w:rPr>
        <w:t>第一节  供货范围</w:t>
      </w:r>
    </w:p>
    <w:p w14:paraId="145E7C7B">
      <w:pPr>
        <w:rPr>
          <w:rFonts w:ascii="Times New Roman" w:hAnsi="Times New Roman" w:cs="Times New Roman"/>
          <w:sz w:val="24"/>
          <w:szCs w:val="24"/>
        </w:rPr>
      </w:pPr>
      <w:r>
        <w:rPr>
          <w:rFonts w:ascii="Times New Roman" w:hAnsi="Times New Roman" w:cs="Times New Roman"/>
          <w:b/>
          <w:sz w:val="24"/>
          <w:szCs w:val="24"/>
        </w:rPr>
        <w:t>一、供货范围</w:t>
      </w:r>
      <w:r>
        <w:rPr>
          <w:rFonts w:ascii="Times New Roman" w:hAnsi="Times New Roman" w:cs="Times New Roman"/>
          <w:sz w:val="24"/>
          <w:szCs w:val="24"/>
        </w:rPr>
        <w:t>（按照组成项目主要构成一览表的所有最小单元逐一列示，要涵盖培训等内容）</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4"/>
        <w:gridCol w:w="1643"/>
        <w:gridCol w:w="5550"/>
        <w:gridCol w:w="658"/>
        <w:gridCol w:w="658"/>
      </w:tblGrid>
      <w:tr w14:paraId="6DF7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6BDE24D">
            <w:pPr>
              <w:jc w:val="center"/>
              <w:rPr>
                <w:rFonts w:ascii="Times New Roman" w:hAnsi="Times New Roman" w:cs="Times New Roman"/>
                <w:sz w:val="24"/>
                <w:szCs w:val="24"/>
              </w:rPr>
            </w:pPr>
            <w:r>
              <w:rPr>
                <w:rFonts w:ascii="Times New Roman" w:hAnsi="Times New Roman" w:cs="Times New Roman"/>
                <w:sz w:val="24"/>
                <w:szCs w:val="24"/>
              </w:rPr>
              <w:t>序号</w:t>
            </w:r>
          </w:p>
        </w:tc>
        <w:tc>
          <w:tcPr>
            <w:tcW w:w="901" w:type="pct"/>
            <w:vAlign w:val="center"/>
          </w:tcPr>
          <w:p w14:paraId="49B60564">
            <w:pPr>
              <w:jc w:val="center"/>
              <w:rPr>
                <w:rFonts w:ascii="Times New Roman" w:hAnsi="Times New Roman" w:cs="Times New Roman"/>
                <w:sz w:val="24"/>
                <w:szCs w:val="24"/>
              </w:rPr>
            </w:pPr>
            <w:r>
              <w:rPr>
                <w:rFonts w:ascii="Times New Roman" w:hAnsi="Times New Roman" w:cs="Times New Roman"/>
                <w:sz w:val="24"/>
                <w:szCs w:val="24"/>
              </w:rPr>
              <w:t>名称</w:t>
            </w:r>
          </w:p>
        </w:tc>
        <w:tc>
          <w:tcPr>
            <w:tcW w:w="3046" w:type="pct"/>
            <w:vAlign w:val="center"/>
          </w:tcPr>
          <w:p w14:paraId="1E476985">
            <w:pPr>
              <w:jc w:val="center"/>
              <w:rPr>
                <w:rFonts w:ascii="Times New Roman" w:hAnsi="Times New Roman" w:cs="Times New Roman"/>
                <w:sz w:val="24"/>
                <w:szCs w:val="24"/>
              </w:rPr>
            </w:pPr>
            <w:r>
              <w:rPr>
                <w:rFonts w:ascii="Times New Roman" w:hAnsi="Times New Roman" w:cs="Times New Roman"/>
                <w:sz w:val="24"/>
                <w:szCs w:val="24"/>
              </w:rPr>
              <w:t>单位</w:t>
            </w:r>
          </w:p>
        </w:tc>
        <w:tc>
          <w:tcPr>
            <w:tcW w:w="361" w:type="pct"/>
            <w:vAlign w:val="center"/>
          </w:tcPr>
          <w:p w14:paraId="3F92E46D">
            <w:pPr>
              <w:jc w:val="center"/>
              <w:rPr>
                <w:rFonts w:ascii="Times New Roman" w:hAnsi="Times New Roman" w:cs="Times New Roman"/>
                <w:sz w:val="24"/>
                <w:szCs w:val="24"/>
              </w:rPr>
            </w:pPr>
            <w:r>
              <w:rPr>
                <w:rFonts w:ascii="Times New Roman" w:hAnsi="Times New Roman" w:cs="Times New Roman"/>
                <w:sz w:val="24"/>
                <w:szCs w:val="24"/>
              </w:rPr>
              <w:t>数量</w:t>
            </w:r>
          </w:p>
        </w:tc>
        <w:tc>
          <w:tcPr>
            <w:tcW w:w="361" w:type="pct"/>
            <w:vAlign w:val="center"/>
          </w:tcPr>
          <w:p w14:paraId="4B3034B8">
            <w:pPr>
              <w:jc w:val="center"/>
              <w:rPr>
                <w:rFonts w:ascii="Times New Roman" w:hAnsi="Times New Roman" w:cs="Times New Roman"/>
                <w:sz w:val="24"/>
                <w:szCs w:val="24"/>
              </w:rPr>
            </w:pPr>
            <w:r>
              <w:rPr>
                <w:rFonts w:hint="eastAsia" w:ascii="Times New Roman" w:hAnsi="Times New Roman" w:cs="Times New Roman"/>
                <w:sz w:val="24"/>
                <w:szCs w:val="24"/>
              </w:rPr>
              <w:t>单位</w:t>
            </w:r>
          </w:p>
        </w:tc>
      </w:tr>
      <w:tr w14:paraId="4408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6F1F7C77">
            <w:pPr>
              <w:jc w:val="center"/>
              <w:rPr>
                <w:rFonts w:ascii="Times New Roman" w:hAnsi="Times New Roman" w:cs="Times New Roman"/>
                <w:sz w:val="24"/>
                <w:szCs w:val="24"/>
              </w:rPr>
            </w:pPr>
            <w:r>
              <w:rPr>
                <w:rFonts w:ascii="Times New Roman" w:hAnsi="Times New Roman" w:cs="Times New Roman"/>
                <w:sz w:val="24"/>
                <w:szCs w:val="24"/>
              </w:rPr>
              <w:t>1</w:t>
            </w:r>
          </w:p>
        </w:tc>
        <w:tc>
          <w:tcPr>
            <w:tcW w:w="901" w:type="pct"/>
            <w:vAlign w:val="center"/>
          </w:tcPr>
          <w:p w14:paraId="46553743">
            <w:pPr>
              <w:rPr>
                <w:rFonts w:ascii="Times New Roman" w:hAnsi="Times New Roman" w:cs="Times New Roman"/>
                <w:sz w:val="24"/>
                <w:szCs w:val="24"/>
              </w:rPr>
            </w:pPr>
            <w:r>
              <w:rPr>
                <w:rFonts w:hint="eastAsia" w:ascii="Times New Roman" w:hAnsi="Times New Roman" w:cs="Times New Roman"/>
                <w:sz w:val="24"/>
                <w:szCs w:val="24"/>
              </w:rPr>
              <w:t>新砂烘干冷却塔</w:t>
            </w:r>
            <w:r>
              <w:rPr>
                <w:rFonts w:ascii="Times New Roman" w:hAnsi="Times New Roman" w:cs="Times New Roman"/>
                <w:sz w:val="24"/>
                <w:szCs w:val="24"/>
              </w:rPr>
              <w:t>-300T</w:t>
            </w:r>
          </w:p>
        </w:tc>
        <w:tc>
          <w:tcPr>
            <w:tcW w:w="3046" w:type="pct"/>
            <w:vAlign w:val="center"/>
          </w:tcPr>
          <w:p w14:paraId="32B352F2">
            <w:r>
              <w:rPr>
                <w:rFonts w:hint="eastAsia" w:ascii="Times New Roman" w:hAnsi="Times New Roman" w:cs="Times New Roman"/>
                <w:sz w:val="24"/>
                <w:szCs w:val="24"/>
              </w:rPr>
              <w:t>风筒、EC风机、电机、风罩、传动支架、塔顶平台板、扶梯、扶栏、配水系统、喷嘴、收水器、淋水填料、粘接剂、侧板、钢支架、进风窗、底盘、集水坑</w:t>
            </w:r>
          </w:p>
        </w:tc>
        <w:tc>
          <w:tcPr>
            <w:tcW w:w="361" w:type="pct"/>
            <w:vAlign w:val="center"/>
          </w:tcPr>
          <w:p w14:paraId="72511C52">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03725A4C">
            <w:pPr>
              <w:rPr>
                <w:rFonts w:ascii="Times New Roman" w:hAnsi="Times New Roman" w:cs="Times New Roman"/>
                <w:sz w:val="24"/>
                <w:szCs w:val="24"/>
              </w:rPr>
            </w:pPr>
            <w:r>
              <w:rPr>
                <w:rFonts w:hint="eastAsia" w:ascii="Times New Roman" w:hAnsi="Times New Roman" w:cs="Times New Roman"/>
                <w:sz w:val="24"/>
                <w:szCs w:val="24"/>
              </w:rPr>
              <w:t>套</w:t>
            </w:r>
          </w:p>
        </w:tc>
      </w:tr>
      <w:tr w14:paraId="1D0D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36C047A2">
            <w:pPr>
              <w:jc w:val="center"/>
              <w:rPr>
                <w:rFonts w:ascii="Times New Roman" w:hAnsi="Times New Roman" w:cs="Times New Roman"/>
                <w:sz w:val="24"/>
                <w:szCs w:val="24"/>
              </w:rPr>
            </w:pPr>
            <w:r>
              <w:rPr>
                <w:rFonts w:ascii="Times New Roman" w:hAnsi="Times New Roman" w:cs="Times New Roman"/>
                <w:sz w:val="24"/>
                <w:szCs w:val="24"/>
              </w:rPr>
              <w:t>2</w:t>
            </w:r>
          </w:p>
        </w:tc>
        <w:tc>
          <w:tcPr>
            <w:tcW w:w="901" w:type="pct"/>
            <w:vAlign w:val="center"/>
          </w:tcPr>
          <w:p w14:paraId="15F7E4AF">
            <w:pPr>
              <w:rPr>
                <w:rFonts w:ascii="Times New Roman" w:hAnsi="Times New Roman" w:cs="Times New Roman"/>
                <w:sz w:val="24"/>
                <w:szCs w:val="24"/>
              </w:rPr>
            </w:pPr>
            <w:r>
              <w:rPr>
                <w:rFonts w:hint="eastAsia" w:ascii="Times New Roman" w:hAnsi="Times New Roman" w:cs="Times New Roman"/>
                <w:sz w:val="24"/>
                <w:szCs w:val="24"/>
              </w:rPr>
              <w:t>缸体线冷却塔</w:t>
            </w:r>
            <w:r>
              <w:rPr>
                <w:rFonts w:ascii="Times New Roman" w:hAnsi="Times New Roman" w:cs="Times New Roman"/>
                <w:sz w:val="24"/>
                <w:szCs w:val="24"/>
              </w:rPr>
              <w:t>-200T</w:t>
            </w:r>
          </w:p>
        </w:tc>
        <w:tc>
          <w:tcPr>
            <w:tcW w:w="3046" w:type="pct"/>
            <w:vAlign w:val="center"/>
          </w:tcPr>
          <w:p w14:paraId="1FAB6EEE">
            <w:pPr>
              <w:rPr>
                <w:rFonts w:ascii="Times New Roman" w:hAnsi="Times New Roman" w:cs="Times New Roman"/>
                <w:sz w:val="24"/>
                <w:szCs w:val="24"/>
              </w:rPr>
            </w:pPr>
            <w:r>
              <w:rPr>
                <w:rFonts w:hint="eastAsia" w:ascii="Times New Roman" w:hAnsi="Times New Roman" w:cs="Times New Roman"/>
                <w:sz w:val="24"/>
                <w:szCs w:val="24"/>
              </w:rPr>
              <w:t>风筒、EC风机、电机、风罩、传动支架、塔顶平台板、扶梯、扶栏、配水系统、喷嘴、收水器、淋水填料、粘接剂、侧板、钢支架、进风窗、底盘、集水坑</w:t>
            </w:r>
          </w:p>
        </w:tc>
        <w:tc>
          <w:tcPr>
            <w:tcW w:w="361" w:type="pct"/>
            <w:vAlign w:val="center"/>
          </w:tcPr>
          <w:p w14:paraId="1767A0F4">
            <w:pPr>
              <w:rPr>
                <w:rFonts w:ascii="Times New Roman" w:hAnsi="Times New Roman" w:cs="Times New Roman"/>
                <w:sz w:val="24"/>
                <w:szCs w:val="24"/>
              </w:rPr>
            </w:pPr>
            <w:r>
              <w:rPr>
                <w:rFonts w:ascii="Times New Roman" w:hAnsi="Times New Roman" w:cs="Times New Roman"/>
                <w:sz w:val="24"/>
                <w:szCs w:val="24"/>
              </w:rPr>
              <w:t>2</w:t>
            </w:r>
          </w:p>
        </w:tc>
        <w:tc>
          <w:tcPr>
            <w:tcW w:w="361" w:type="pct"/>
            <w:vAlign w:val="center"/>
          </w:tcPr>
          <w:p w14:paraId="7D808E57">
            <w:pPr>
              <w:rPr>
                <w:rFonts w:ascii="Times New Roman" w:hAnsi="Times New Roman" w:cs="Times New Roman"/>
                <w:sz w:val="24"/>
                <w:szCs w:val="24"/>
              </w:rPr>
            </w:pPr>
            <w:r>
              <w:rPr>
                <w:rFonts w:hint="eastAsia" w:ascii="Times New Roman" w:hAnsi="Times New Roman" w:cs="Times New Roman"/>
                <w:sz w:val="24"/>
                <w:szCs w:val="24"/>
              </w:rPr>
              <w:t>套</w:t>
            </w:r>
          </w:p>
        </w:tc>
      </w:tr>
      <w:tr w14:paraId="1D23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3195D915">
            <w:pPr>
              <w:jc w:val="center"/>
              <w:rPr>
                <w:rFonts w:ascii="Times New Roman" w:hAnsi="Times New Roman" w:cs="Times New Roman"/>
                <w:sz w:val="24"/>
                <w:szCs w:val="24"/>
              </w:rPr>
            </w:pPr>
            <w:r>
              <w:rPr>
                <w:rFonts w:ascii="Times New Roman" w:hAnsi="Times New Roman" w:cs="Times New Roman"/>
                <w:sz w:val="24"/>
                <w:szCs w:val="24"/>
              </w:rPr>
              <w:t>3</w:t>
            </w:r>
          </w:p>
        </w:tc>
        <w:tc>
          <w:tcPr>
            <w:tcW w:w="901" w:type="pct"/>
            <w:vAlign w:val="center"/>
          </w:tcPr>
          <w:p w14:paraId="502B79FE">
            <w:pPr>
              <w:rPr>
                <w:rFonts w:ascii="Times New Roman" w:hAnsi="Times New Roman" w:cs="Times New Roman"/>
                <w:sz w:val="24"/>
                <w:szCs w:val="24"/>
              </w:rPr>
            </w:pPr>
            <w:r>
              <w:rPr>
                <w:rFonts w:hint="eastAsia" w:ascii="Times New Roman" w:hAnsi="Times New Roman" w:cs="Times New Roman"/>
                <w:sz w:val="24"/>
                <w:szCs w:val="24"/>
              </w:rPr>
              <w:t>真空混砂机冷却塔</w:t>
            </w:r>
            <w:r>
              <w:rPr>
                <w:rFonts w:ascii="Times New Roman" w:hAnsi="Times New Roman" w:cs="Times New Roman"/>
                <w:sz w:val="24"/>
                <w:szCs w:val="24"/>
              </w:rPr>
              <w:t>-300T</w:t>
            </w:r>
          </w:p>
        </w:tc>
        <w:tc>
          <w:tcPr>
            <w:tcW w:w="3046" w:type="pct"/>
            <w:vAlign w:val="center"/>
          </w:tcPr>
          <w:p w14:paraId="256D631E">
            <w:pPr>
              <w:rPr>
                <w:rFonts w:ascii="Times New Roman" w:hAnsi="Times New Roman" w:cs="Times New Roman"/>
                <w:sz w:val="24"/>
                <w:szCs w:val="24"/>
              </w:rPr>
            </w:pPr>
            <w:r>
              <w:rPr>
                <w:rFonts w:hint="eastAsia" w:ascii="Times New Roman" w:hAnsi="Times New Roman" w:cs="Times New Roman"/>
                <w:sz w:val="24"/>
                <w:szCs w:val="24"/>
              </w:rPr>
              <w:t>风筒、EC风机、电机、风罩、传动支架、塔顶平台板、扶梯、扶栏、配水系统、喷嘴、收水器、淋水填料、粘接剂、侧板、钢支架、进风窗、底盘、集水坑</w:t>
            </w:r>
          </w:p>
        </w:tc>
        <w:tc>
          <w:tcPr>
            <w:tcW w:w="361" w:type="pct"/>
            <w:vAlign w:val="center"/>
          </w:tcPr>
          <w:p w14:paraId="6FC9C891">
            <w:pPr>
              <w:rPr>
                <w:rFonts w:ascii="Times New Roman" w:hAnsi="Times New Roman" w:cs="Times New Roman"/>
                <w:sz w:val="24"/>
                <w:szCs w:val="24"/>
              </w:rPr>
            </w:pPr>
            <w:r>
              <w:rPr>
                <w:rFonts w:ascii="Times New Roman" w:hAnsi="Times New Roman" w:cs="Times New Roman"/>
                <w:sz w:val="24"/>
                <w:szCs w:val="24"/>
              </w:rPr>
              <w:t>2</w:t>
            </w:r>
          </w:p>
        </w:tc>
        <w:tc>
          <w:tcPr>
            <w:tcW w:w="361" w:type="pct"/>
            <w:vAlign w:val="center"/>
          </w:tcPr>
          <w:p w14:paraId="05DE17D8">
            <w:pPr>
              <w:rPr>
                <w:rFonts w:ascii="Times New Roman" w:hAnsi="Times New Roman" w:cs="Times New Roman"/>
                <w:sz w:val="24"/>
                <w:szCs w:val="24"/>
              </w:rPr>
            </w:pPr>
            <w:r>
              <w:rPr>
                <w:rFonts w:hint="eastAsia" w:ascii="Times New Roman" w:hAnsi="Times New Roman" w:cs="Times New Roman"/>
                <w:sz w:val="24"/>
                <w:szCs w:val="24"/>
              </w:rPr>
              <w:t>套</w:t>
            </w:r>
          </w:p>
        </w:tc>
      </w:tr>
      <w:tr w14:paraId="3C45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5B39FCCD">
            <w:pPr>
              <w:jc w:val="center"/>
              <w:rPr>
                <w:rFonts w:ascii="Times New Roman" w:hAnsi="Times New Roman" w:cs="Times New Roman"/>
                <w:sz w:val="24"/>
                <w:szCs w:val="24"/>
              </w:rPr>
            </w:pPr>
            <w:r>
              <w:rPr>
                <w:rFonts w:hint="eastAsia" w:ascii="Times New Roman" w:hAnsi="Times New Roman" w:cs="Times New Roman"/>
                <w:sz w:val="24"/>
                <w:szCs w:val="24"/>
              </w:rPr>
              <w:t>4</w:t>
            </w:r>
          </w:p>
        </w:tc>
        <w:tc>
          <w:tcPr>
            <w:tcW w:w="901" w:type="pct"/>
            <w:vAlign w:val="center"/>
          </w:tcPr>
          <w:p w14:paraId="2B82948F">
            <w:pPr>
              <w:rPr>
                <w:rFonts w:ascii="Times New Roman" w:hAnsi="Times New Roman" w:cs="Times New Roman"/>
                <w:sz w:val="24"/>
                <w:szCs w:val="24"/>
              </w:rPr>
            </w:pPr>
            <w:r>
              <w:rPr>
                <w:rFonts w:hint="eastAsia" w:ascii="Times New Roman" w:hAnsi="Times New Roman" w:cs="Times New Roman"/>
                <w:sz w:val="24"/>
                <w:szCs w:val="24"/>
              </w:rPr>
              <w:t>冷却塔管道</w:t>
            </w:r>
          </w:p>
        </w:tc>
        <w:tc>
          <w:tcPr>
            <w:tcW w:w="3046" w:type="pct"/>
            <w:vAlign w:val="center"/>
          </w:tcPr>
          <w:p w14:paraId="08C3FE7D">
            <w:pPr>
              <w:rPr>
                <w:rFonts w:ascii="Times New Roman" w:hAnsi="Times New Roman" w:cs="Times New Roman"/>
                <w:sz w:val="24"/>
                <w:szCs w:val="24"/>
              </w:rPr>
            </w:pPr>
            <w:r>
              <w:rPr>
                <w:rFonts w:hint="eastAsia" w:ascii="Times New Roman" w:hAnsi="Times New Roman" w:cs="Times New Roman"/>
                <w:sz w:val="24"/>
                <w:szCs w:val="24"/>
              </w:rPr>
              <w:t>制芯中心进出水管、</w:t>
            </w:r>
            <w:r>
              <w:rPr>
                <w:rFonts w:ascii="Times New Roman" w:hAnsi="Times New Roman" w:cs="Times New Roman"/>
                <w:sz w:val="24"/>
                <w:szCs w:val="24"/>
              </w:rPr>
              <w:t>缸体线冷却塔外接管</w:t>
            </w:r>
            <w:r>
              <w:rPr>
                <w:rFonts w:hint="eastAsia" w:ascii="Times New Roman" w:hAnsi="Times New Roman" w:cs="Times New Roman"/>
                <w:sz w:val="24"/>
                <w:szCs w:val="24"/>
              </w:rPr>
              <w:t>、</w:t>
            </w:r>
            <w:r>
              <w:rPr>
                <w:rFonts w:ascii="Times New Roman" w:hAnsi="Times New Roman" w:cs="Times New Roman"/>
                <w:sz w:val="24"/>
                <w:szCs w:val="24"/>
              </w:rPr>
              <w:t>新砂烘干系统冷却塔外接管</w:t>
            </w:r>
            <w:r>
              <w:rPr>
                <w:rFonts w:hint="eastAsia" w:ascii="Times New Roman" w:hAnsi="Times New Roman" w:cs="Times New Roman"/>
                <w:sz w:val="24"/>
                <w:szCs w:val="24"/>
              </w:rPr>
              <w:t>、</w:t>
            </w:r>
            <w:r>
              <w:rPr>
                <w:rFonts w:ascii="Times New Roman" w:hAnsi="Times New Roman" w:cs="Times New Roman"/>
                <w:sz w:val="24"/>
                <w:szCs w:val="24"/>
              </w:rPr>
              <w:t>真空混砂机冷却塔外接管</w:t>
            </w:r>
          </w:p>
        </w:tc>
        <w:tc>
          <w:tcPr>
            <w:tcW w:w="361" w:type="pct"/>
            <w:vAlign w:val="center"/>
          </w:tcPr>
          <w:p w14:paraId="36B2029D">
            <w:pPr>
              <w:rPr>
                <w:rFonts w:ascii="Times New Roman" w:hAnsi="Times New Roman" w:cs="Times New Roman"/>
                <w:sz w:val="24"/>
                <w:szCs w:val="24"/>
              </w:rPr>
            </w:pPr>
            <w:r>
              <w:rPr>
                <w:rFonts w:ascii="Times New Roman" w:hAnsi="Times New Roman" w:cs="Times New Roman"/>
                <w:sz w:val="24"/>
                <w:szCs w:val="24"/>
              </w:rPr>
              <w:t>4</w:t>
            </w:r>
          </w:p>
        </w:tc>
        <w:tc>
          <w:tcPr>
            <w:tcW w:w="361" w:type="pct"/>
            <w:vAlign w:val="center"/>
          </w:tcPr>
          <w:p w14:paraId="1BE80378">
            <w:pPr>
              <w:rPr>
                <w:rFonts w:ascii="Times New Roman" w:hAnsi="Times New Roman" w:cs="Times New Roman"/>
                <w:sz w:val="24"/>
                <w:szCs w:val="24"/>
              </w:rPr>
            </w:pPr>
            <w:r>
              <w:rPr>
                <w:rFonts w:hint="eastAsia" w:ascii="Times New Roman" w:hAnsi="Times New Roman" w:cs="Times New Roman"/>
                <w:sz w:val="24"/>
                <w:szCs w:val="24"/>
              </w:rPr>
              <w:t>套</w:t>
            </w:r>
          </w:p>
        </w:tc>
      </w:tr>
      <w:tr w14:paraId="71DF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10034FF">
            <w:pPr>
              <w:jc w:val="center"/>
              <w:rPr>
                <w:rFonts w:ascii="Times New Roman" w:hAnsi="Times New Roman" w:cs="Times New Roman"/>
                <w:sz w:val="24"/>
                <w:szCs w:val="24"/>
              </w:rPr>
            </w:pPr>
            <w:r>
              <w:rPr>
                <w:rFonts w:hint="eastAsia" w:ascii="Times New Roman" w:hAnsi="Times New Roman" w:cs="Times New Roman"/>
                <w:sz w:val="24"/>
                <w:szCs w:val="24"/>
              </w:rPr>
              <w:t>5</w:t>
            </w:r>
          </w:p>
        </w:tc>
        <w:tc>
          <w:tcPr>
            <w:tcW w:w="901" w:type="pct"/>
            <w:vAlign w:val="center"/>
          </w:tcPr>
          <w:p w14:paraId="18EE0F92">
            <w:pPr>
              <w:rPr>
                <w:rFonts w:ascii="Times New Roman" w:hAnsi="Times New Roman" w:cs="Times New Roman"/>
                <w:sz w:val="24"/>
                <w:szCs w:val="24"/>
              </w:rPr>
            </w:pPr>
            <w:r>
              <w:rPr>
                <w:rFonts w:hint="eastAsia" w:ascii="Times New Roman" w:hAnsi="Times New Roman" w:cs="Times New Roman"/>
                <w:sz w:val="24"/>
                <w:szCs w:val="24"/>
              </w:rPr>
              <w:t>真空混砂机冷却塔供水系统</w:t>
            </w:r>
          </w:p>
        </w:tc>
        <w:tc>
          <w:tcPr>
            <w:tcW w:w="3046" w:type="pct"/>
            <w:vAlign w:val="center"/>
          </w:tcPr>
          <w:p w14:paraId="0DCECE1D">
            <w:pPr>
              <w:rPr>
                <w:rFonts w:ascii="Times New Roman" w:hAnsi="Times New Roman" w:cs="Times New Roman"/>
                <w:sz w:val="24"/>
                <w:szCs w:val="24"/>
              </w:rPr>
            </w:pPr>
            <w:r>
              <w:rPr>
                <w:rFonts w:hint="eastAsia" w:ascii="Times New Roman" w:hAnsi="Times New Roman" w:cs="Times New Roman"/>
                <w:sz w:val="24"/>
                <w:szCs w:val="24"/>
              </w:rPr>
              <w:t>电机、离心泵</w:t>
            </w:r>
          </w:p>
        </w:tc>
        <w:tc>
          <w:tcPr>
            <w:tcW w:w="361" w:type="pct"/>
            <w:vAlign w:val="center"/>
          </w:tcPr>
          <w:p w14:paraId="71538F29">
            <w:pPr>
              <w:rPr>
                <w:rFonts w:ascii="Times New Roman" w:hAnsi="Times New Roman" w:cs="Times New Roman"/>
                <w:sz w:val="24"/>
                <w:szCs w:val="24"/>
              </w:rPr>
            </w:pPr>
            <w:r>
              <w:rPr>
                <w:rFonts w:hint="eastAsia" w:ascii="Times New Roman" w:hAnsi="Times New Roman" w:cs="Times New Roman"/>
                <w:sz w:val="24"/>
                <w:szCs w:val="24"/>
              </w:rPr>
              <w:t>1</w:t>
            </w:r>
          </w:p>
        </w:tc>
        <w:tc>
          <w:tcPr>
            <w:tcW w:w="361" w:type="pct"/>
            <w:vAlign w:val="center"/>
          </w:tcPr>
          <w:p w14:paraId="59565F88">
            <w:pPr>
              <w:rPr>
                <w:rFonts w:ascii="Times New Roman" w:hAnsi="Times New Roman" w:cs="Times New Roman"/>
                <w:sz w:val="24"/>
                <w:szCs w:val="24"/>
              </w:rPr>
            </w:pPr>
            <w:r>
              <w:rPr>
                <w:rFonts w:hint="eastAsia" w:ascii="Times New Roman" w:hAnsi="Times New Roman" w:cs="Times New Roman"/>
                <w:sz w:val="24"/>
                <w:szCs w:val="24"/>
              </w:rPr>
              <w:t>套</w:t>
            </w:r>
          </w:p>
        </w:tc>
      </w:tr>
      <w:tr w14:paraId="2640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4EAC87A2">
            <w:pPr>
              <w:jc w:val="center"/>
              <w:rPr>
                <w:rFonts w:ascii="Times New Roman" w:hAnsi="Times New Roman" w:cs="Times New Roman"/>
                <w:sz w:val="24"/>
                <w:szCs w:val="24"/>
              </w:rPr>
            </w:pPr>
            <w:r>
              <w:rPr>
                <w:rFonts w:ascii="Times New Roman" w:hAnsi="Times New Roman" w:cs="Times New Roman"/>
                <w:sz w:val="24"/>
                <w:szCs w:val="24"/>
              </w:rPr>
              <w:t>6</w:t>
            </w:r>
          </w:p>
        </w:tc>
        <w:tc>
          <w:tcPr>
            <w:tcW w:w="901" w:type="pct"/>
            <w:vAlign w:val="center"/>
          </w:tcPr>
          <w:p w14:paraId="727C28B2">
            <w:pPr>
              <w:rPr>
                <w:rFonts w:ascii="Times New Roman" w:hAnsi="Times New Roman" w:cs="Times New Roman"/>
                <w:sz w:val="24"/>
                <w:szCs w:val="24"/>
              </w:rPr>
            </w:pPr>
            <w:r>
              <w:rPr>
                <w:rFonts w:hint="eastAsia" w:ascii="Times New Roman" w:hAnsi="Times New Roman" w:cs="Times New Roman"/>
                <w:sz w:val="24"/>
                <w:szCs w:val="24"/>
              </w:rPr>
              <w:t>电控系统</w:t>
            </w:r>
          </w:p>
        </w:tc>
        <w:tc>
          <w:tcPr>
            <w:tcW w:w="3046" w:type="pct"/>
            <w:vAlign w:val="center"/>
          </w:tcPr>
          <w:p w14:paraId="1AFAF259">
            <w:pPr>
              <w:rPr>
                <w:rFonts w:ascii="Times New Roman" w:hAnsi="Times New Roman" w:cs="Times New Roman"/>
                <w:sz w:val="24"/>
                <w:szCs w:val="24"/>
              </w:rPr>
            </w:pPr>
            <w:r>
              <w:rPr>
                <w:rFonts w:hint="eastAsia" w:ascii="Times New Roman" w:hAnsi="Times New Roman" w:cs="Times New Roman"/>
                <w:sz w:val="24"/>
                <w:szCs w:val="24"/>
              </w:rPr>
              <w:t>断路器、接触器、模拟量输入输出模块、变频器、控制器、电控柜、电缆线、桥架</w:t>
            </w:r>
          </w:p>
        </w:tc>
        <w:tc>
          <w:tcPr>
            <w:tcW w:w="361" w:type="pct"/>
            <w:vAlign w:val="center"/>
          </w:tcPr>
          <w:p w14:paraId="0405C669">
            <w:pPr>
              <w:rPr>
                <w:rFonts w:ascii="Times New Roman" w:hAnsi="Times New Roman" w:cs="Times New Roman"/>
                <w:sz w:val="24"/>
                <w:szCs w:val="24"/>
              </w:rPr>
            </w:pPr>
            <w:r>
              <w:rPr>
                <w:rFonts w:hint="eastAsia" w:ascii="Times New Roman" w:hAnsi="Times New Roman" w:cs="Times New Roman"/>
                <w:sz w:val="24"/>
                <w:szCs w:val="24"/>
              </w:rPr>
              <w:t>3</w:t>
            </w:r>
          </w:p>
        </w:tc>
        <w:tc>
          <w:tcPr>
            <w:tcW w:w="361" w:type="pct"/>
            <w:vAlign w:val="center"/>
          </w:tcPr>
          <w:p w14:paraId="3D1DA612">
            <w:pPr>
              <w:rPr>
                <w:rFonts w:ascii="Times New Roman" w:hAnsi="Times New Roman" w:cs="Times New Roman"/>
                <w:sz w:val="24"/>
                <w:szCs w:val="24"/>
              </w:rPr>
            </w:pPr>
            <w:r>
              <w:rPr>
                <w:rFonts w:hint="eastAsia" w:ascii="Times New Roman" w:hAnsi="Times New Roman" w:cs="Times New Roman"/>
                <w:sz w:val="24"/>
                <w:szCs w:val="24"/>
              </w:rPr>
              <w:t>套</w:t>
            </w:r>
          </w:p>
        </w:tc>
      </w:tr>
      <w:tr w14:paraId="0C75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659BE9CC">
            <w:pPr>
              <w:jc w:val="center"/>
              <w:rPr>
                <w:rFonts w:ascii="Times New Roman" w:hAnsi="Times New Roman" w:cs="Times New Roman"/>
                <w:sz w:val="24"/>
                <w:szCs w:val="24"/>
              </w:rPr>
            </w:pPr>
            <w:r>
              <w:rPr>
                <w:rFonts w:ascii="Times New Roman" w:hAnsi="Times New Roman" w:cs="Times New Roman"/>
                <w:sz w:val="24"/>
                <w:szCs w:val="24"/>
              </w:rPr>
              <w:t>7</w:t>
            </w:r>
          </w:p>
        </w:tc>
        <w:tc>
          <w:tcPr>
            <w:tcW w:w="901" w:type="pct"/>
            <w:vAlign w:val="center"/>
          </w:tcPr>
          <w:p w14:paraId="401E9BBA">
            <w:pPr>
              <w:rPr>
                <w:rFonts w:ascii="Times New Roman" w:hAnsi="Times New Roman" w:cs="Times New Roman"/>
                <w:sz w:val="24"/>
                <w:szCs w:val="24"/>
              </w:rPr>
            </w:pPr>
            <w:r>
              <w:rPr>
                <w:rFonts w:hint="eastAsia" w:ascii="Times New Roman" w:hAnsi="Times New Roman" w:cs="Times New Roman"/>
                <w:sz w:val="24"/>
                <w:szCs w:val="24"/>
              </w:rPr>
              <w:t>运输、</w:t>
            </w:r>
            <w:r>
              <w:rPr>
                <w:rFonts w:ascii="Times New Roman" w:hAnsi="Times New Roman" w:cs="Times New Roman"/>
                <w:sz w:val="24"/>
                <w:szCs w:val="24"/>
              </w:rPr>
              <w:t>安装、调试</w:t>
            </w:r>
          </w:p>
        </w:tc>
        <w:tc>
          <w:tcPr>
            <w:tcW w:w="3046" w:type="pct"/>
            <w:vAlign w:val="center"/>
          </w:tcPr>
          <w:p w14:paraId="2AC8B259">
            <w:pPr>
              <w:rPr>
                <w:rFonts w:ascii="Times New Roman" w:hAnsi="Times New Roman" w:cs="Times New Roman"/>
                <w:sz w:val="24"/>
                <w:szCs w:val="24"/>
              </w:rPr>
            </w:pPr>
            <w:r>
              <w:rPr>
                <w:rFonts w:ascii="Times New Roman" w:hAnsi="Times New Roman" w:cs="Times New Roman"/>
                <w:sz w:val="24"/>
                <w:szCs w:val="24"/>
              </w:rPr>
              <w:t>卖方负责</w:t>
            </w:r>
            <w:r>
              <w:rPr>
                <w:rFonts w:hint="eastAsia" w:ascii="Times New Roman" w:hAnsi="Times New Roman" w:cs="Times New Roman"/>
                <w:sz w:val="24"/>
                <w:szCs w:val="24"/>
              </w:rPr>
              <w:t>设备的运输、</w:t>
            </w:r>
            <w:r>
              <w:rPr>
                <w:rFonts w:ascii="Times New Roman" w:hAnsi="Times New Roman" w:cs="Times New Roman"/>
                <w:sz w:val="24"/>
                <w:szCs w:val="24"/>
              </w:rPr>
              <w:t>安装、调试工作</w:t>
            </w:r>
          </w:p>
        </w:tc>
        <w:tc>
          <w:tcPr>
            <w:tcW w:w="361" w:type="pct"/>
            <w:vAlign w:val="center"/>
          </w:tcPr>
          <w:p w14:paraId="593B3F80">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3F426F58">
            <w:r>
              <w:rPr>
                <w:rFonts w:hint="eastAsia" w:ascii="Times New Roman" w:hAnsi="Times New Roman" w:cs="Times New Roman"/>
                <w:sz w:val="24"/>
                <w:szCs w:val="24"/>
              </w:rPr>
              <w:t>项</w:t>
            </w:r>
          </w:p>
        </w:tc>
      </w:tr>
      <w:tr w14:paraId="6323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8" w:hRule="atLeast"/>
          <w:jc w:val="center"/>
        </w:trPr>
        <w:tc>
          <w:tcPr>
            <w:tcW w:w="331" w:type="pct"/>
            <w:vAlign w:val="center"/>
          </w:tcPr>
          <w:p w14:paraId="4B6AC0A0">
            <w:pPr>
              <w:jc w:val="center"/>
              <w:rPr>
                <w:rFonts w:ascii="Times New Roman" w:hAnsi="Times New Roman" w:cs="Times New Roman"/>
                <w:sz w:val="24"/>
                <w:szCs w:val="24"/>
              </w:rPr>
            </w:pPr>
            <w:r>
              <w:rPr>
                <w:rFonts w:ascii="Times New Roman" w:hAnsi="Times New Roman" w:cs="Times New Roman"/>
                <w:sz w:val="24"/>
                <w:szCs w:val="24"/>
              </w:rPr>
              <w:t>8</w:t>
            </w:r>
          </w:p>
        </w:tc>
        <w:tc>
          <w:tcPr>
            <w:tcW w:w="901" w:type="pct"/>
            <w:vAlign w:val="center"/>
          </w:tcPr>
          <w:p w14:paraId="677791CB">
            <w:pPr>
              <w:rPr>
                <w:rFonts w:ascii="Times New Roman" w:hAnsi="Times New Roman" w:cs="Times New Roman"/>
                <w:sz w:val="24"/>
                <w:szCs w:val="24"/>
              </w:rPr>
            </w:pPr>
            <w:r>
              <w:rPr>
                <w:rFonts w:ascii="Times New Roman" w:hAnsi="Times New Roman" w:cs="Times New Roman"/>
                <w:sz w:val="24"/>
                <w:szCs w:val="24"/>
              </w:rPr>
              <w:t>培训</w:t>
            </w:r>
          </w:p>
        </w:tc>
        <w:tc>
          <w:tcPr>
            <w:tcW w:w="3046" w:type="pct"/>
            <w:vAlign w:val="center"/>
          </w:tcPr>
          <w:p w14:paraId="3FA3B74E">
            <w:pPr>
              <w:rPr>
                <w:rFonts w:ascii="Times New Roman" w:hAnsi="Times New Roman" w:cs="Times New Roman"/>
                <w:sz w:val="24"/>
                <w:szCs w:val="24"/>
              </w:rPr>
            </w:pPr>
            <w:r>
              <w:rPr>
                <w:rFonts w:ascii="Times New Roman" w:hAnsi="Times New Roman" w:cs="Times New Roman"/>
                <w:sz w:val="24"/>
                <w:szCs w:val="24"/>
              </w:rPr>
              <w:t>负责对买方操作、维修人员进行培训</w:t>
            </w:r>
          </w:p>
        </w:tc>
        <w:tc>
          <w:tcPr>
            <w:tcW w:w="361" w:type="pct"/>
            <w:vAlign w:val="center"/>
          </w:tcPr>
          <w:p w14:paraId="7B007BBC">
            <w:pPr>
              <w:rPr>
                <w:rFonts w:ascii="Times New Roman" w:hAnsi="Times New Roman" w:cs="Times New Roman"/>
                <w:sz w:val="24"/>
                <w:szCs w:val="24"/>
              </w:rPr>
            </w:pPr>
            <w:r>
              <w:rPr>
                <w:rFonts w:ascii="Times New Roman" w:hAnsi="Times New Roman" w:cs="Times New Roman"/>
                <w:sz w:val="24"/>
                <w:szCs w:val="24"/>
              </w:rPr>
              <w:t>1</w:t>
            </w:r>
          </w:p>
        </w:tc>
        <w:tc>
          <w:tcPr>
            <w:tcW w:w="361" w:type="pct"/>
            <w:vAlign w:val="center"/>
          </w:tcPr>
          <w:p w14:paraId="1B6C6D43">
            <w:r>
              <w:rPr>
                <w:rFonts w:hint="eastAsia" w:ascii="Times New Roman" w:hAnsi="Times New Roman" w:cs="Times New Roman"/>
                <w:sz w:val="24"/>
                <w:szCs w:val="24"/>
              </w:rPr>
              <w:t>项</w:t>
            </w:r>
          </w:p>
        </w:tc>
      </w:tr>
      <w:tr w14:paraId="1412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41" w:hRule="atLeast"/>
          <w:jc w:val="center"/>
        </w:trPr>
        <w:tc>
          <w:tcPr>
            <w:tcW w:w="331" w:type="pct"/>
            <w:vAlign w:val="center"/>
          </w:tcPr>
          <w:p w14:paraId="7D1C508B">
            <w:pPr>
              <w:jc w:val="center"/>
              <w:rPr>
                <w:rFonts w:ascii="Times New Roman" w:hAnsi="Times New Roman" w:cs="Times New Roman"/>
                <w:sz w:val="24"/>
                <w:szCs w:val="24"/>
              </w:rPr>
            </w:pPr>
            <w:r>
              <w:rPr>
                <w:rFonts w:hint="eastAsia" w:ascii="Times New Roman" w:hAnsi="Times New Roman" w:cs="Times New Roman"/>
                <w:sz w:val="24"/>
                <w:szCs w:val="24"/>
              </w:rPr>
              <w:t>9</w:t>
            </w:r>
          </w:p>
        </w:tc>
        <w:tc>
          <w:tcPr>
            <w:tcW w:w="901" w:type="pct"/>
            <w:vAlign w:val="center"/>
          </w:tcPr>
          <w:p w14:paraId="26A83FAC">
            <w:pPr>
              <w:spacing w:line="360" w:lineRule="auto"/>
              <w:rPr>
                <w:rFonts w:ascii="Times New Roman" w:hAnsi="Times New Roman" w:cs="Times New Roman"/>
                <w:sz w:val="24"/>
                <w:szCs w:val="24"/>
              </w:rPr>
            </w:pPr>
            <w:r>
              <w:rPr>
                <w:rFonts w:hint="eastAsia" w:ascii="Times New Roman" w:hAnsi="Times New Roman" w:cs="Times New Roman"/>
                <w:sz w:val="24"/>
                <w:szCs w:val="24"/>
              </w:rPr>
              <w:t>质保、售后</w:t>
            </w:r>
          </w:p>
        </w:tc>
        <w:tc>
          <w:tcPr>
            <w:tcW w:w="3046" w:type="pct"/>
            <w:vAlign w:val="center"/>
          </w:tcPr>
          <w:p w14:paraId="6059B24D">
            <w:pPr>
              <w:spacing w:line="360" w:lineRule="auto"/>
              <w:rPr>
                <w:rFonts w:ascii="Times New Roman" w:hAnsi="Times New Roman" w:cs="Times New Roman"/>
                <w:sz w:val="24"/>
                <w:szCs w:val="24"/>
              </w:rPr>
            </w:pPr>
            <w:r>
              <w:rPr>
                <w:rFonts w:hint="eastAsia" w:ascii="Times New Roman" w:hAnsi="Times New Roman" w:cs="Times New Roman"/>
                <w:sz w:val="24"/>
                <w:szCs w:val="24"/>
              </w:rPr>
              <w:t>按本招标文件第四章执行</w:t>
            </w:r>
          </w:p>
        </w:tc>
        <w:tc>
          <w:tcPr>
            <w:tcW w:w="361" w:type="pct"/>
            <w:vAlign w:val="center"/>
          </w:tcPr>
          <w:p w14:paraId="412833A7">
            <w:pPr>
              <w:spacing w:line="360" w:lineRule="auto"/>
              <w:rPr>
                <w:rFonts w:ascii="Times New Roman" w:hAnsi="Times New Roman" w:cs="Times New Roman"/>
                <w:sz w:val="24"/>
                <w:szCs w:val="24"/>
              </w:rPr>
            </w:pPr>
            <w:r>
              <w:rPr>
                <w:rFonts w:hint="eastAsia" w:ascii="Times New Roman" w:hAnsi="Times New Roman" w:cs="Times New Roman"/>
                <w:sz w:val="24"/>
                <w:szCs w:val="24"/>
              </w:rPr>
              <w:t>1</w:t>
            </w:r>
          </w:p>
        </w:tc>
        <w:tc>
          <w:tcPr>
            <w:tcW w:w="361" w:type="pct"/>
            <w:vAlign w:val="center"/>
          </w:tcPr>
          <w:p w14:paraId="317E373F">
            <w:pPr>
              <w:spacing w:line="360" w:lineRule="auto"/>
              <w:rPr>
                <w:rFonts w:ascii="Times New Roman" w:hAnsi="Times New Roman" w:cs="Times New Roman"/>
                <w:sz w:val="24"/>
                <w:szCs w:val="24"/>
              </w:rPr>
            </w:pPr>
            <w:r>
              <w:rPr>
                <w:rFonts w:hint="eastAsia" w:ascii="Times New Roman" w:hAnsi="Times New Roman" w:cs="Times New Roman"/>
                <w:sz w:val="24"/>
                <w:szCs w:val="24"/>
              </w:rPr>
              <w:t>项</w:t>
            </w:r>
          </w:p>
        </w:tc>
      </w:tr>
    </w:tbl>
    <w:p w14:paraId="4E6BB7B6">
      <w:pPr>
        <w:rPr>
          <w:rFonts w:ascii="Times New Roman" w:hAnsi="Times New Roman" w:cs="Times New Roman"/>
          <w:b/>
          <w:sz w:val="24"/>
          <w:szCs w:val="24"/>
        </w:rPr>
      </w:pPr>
      <w:r>
        <w:rPr>
          <w:rFonts w:ascii="Times New Roman" w:hAnsi="Times New Roman" w:cs="Times New Roman"/>
          <w:b/>
          <w:sz w:val="24"/>
          <w:szCs w:val="24"/>
        </w:rPr>
        <w:t>二、一般界定</w:t>
      </w:r>
    </w:p>
    <w:p w14:paraId="2F54DD98">
      <w:pPr>
        <w:rPr>
          <w:rFonts w:ascii="Times New Roman" w:hAnsi="Times New Roman" w:cs="Times New Roman"/>
          <w:sz w:val="24"/>
          <w:szCs w:val="24"/>
        </w:rPr>
      </w:pPr>
      <w:r>
        <w:rPr>
          <w:rFonts w:ascii="Times New Roman" w:hAnsi="Times New Roman" w:cs="Times New Roman"/>
          <w:sz w:val="24"/>
          <w:szCs w:val="24"/>
        </w:rPr>
        <w:t>1、供货范围包括本技术标书“采购货物概况” 所列及所要求的货物。</w:t>
      </w:r>
    </w:p>
    <w:p w14:paraId="71CC55D2">
      <w:pPr>
        <w:rPr>
          <w:rFonts w:ascii="Times New Roman" w:hAnsi="Times New Roman" w:cs="Times New Roman"/>
          <w:sz w:val="24"/>
          <w:szCs w:val="24"/>
        </w:rPr>
      </w:pPr>
      <w:r>
        <w:rPr>
          <w:rFonts w:ascii="Times New Roman" w:hAnsi="Times New Roman" w:cs="Times New Roman"/>
          <w:sz w:val="24"/>
          <w:szCs w:val="24"/>
        </w:rPr>
        <w:t>2、供货范围包括为保证货物（或生产线）正常安装、调试和验收完成及以前所必需的整套配件、附件及材料、油料、控制软件及程序或指令等。</w:t>
      </w:r>
    </w:p>
    <w:p w14:paraId="6B50C8DD">
      <w:pPr>
        <w:rPr>
          <w:rFonts w:ascii="Times New Roman" w:hAnsi="Times New Roman" w:cs="Times New Roman"/>
          <w:sz w:val="24"/>
          <w:szCs w:val="24"/>
        </w:rPr>
      </w:pPr>
      <w:r>
        <w:rPr>
          <w:rFonts w:ascii="Times New Roman" w:hAnsi="Times New Roman" w:cs="Times New Roman"/>
          <w:sz w:val="24"/>
          <w:szCs w:val="24"/>
        </w:rPr>
        <w:t>如果终验收完成后，投标方有需要收回的配件、附件、材料、油料等，应当在投标档的技术偏离条款中，予以详细说明；否则视同包括在供货范围之内。</w:t>
      </w:r>
    </w:p>
    <w:p w14:paraId="30B4BFE8">
      <w:pPr>
        <w:rPr>
          <w:rFonts w:ascii="Times New Roman" w:hAnsi="Times New Roman" w:cs="Times New Roman"/>
          <w:sz w:val="24"/>
          <w:szCs w:val="24"/>
        </w:rPr>
      </w:pPr>
      <w:r>
        <w:rPr>
          <w:rFonts w:ascii="Times New Roman" w:hAnsi="Times New Roman" w:cs="Times New Roman"/>
          <w:sz w:val="24"/>
          <w:szCs w:val="24"/>
        </w:rPr>
        <w:t>3、供货范围包括货物（或生产线）维护维修所必需的专用工具。</w:t>
      </w:r>
    </w:p>
    <w:p w14:paraId="338EE976">
      <w:pPr>
        <w:rPr>
          <w:rFonts w:ascii="Times New Roman" w:hAnsi="Times New Roman" w:cs="Times New Roman"/>
          <w:sz w:val="24"/>
          <w:szCs w:val="24"/>
        </w:rPr>
      </w:pPr>
      <w:r>
        <w:rPr>
          <w:rFonts w:ascii="Times New Roman" w:hAnsi="Times New Roman" w:cs="Times New Roman"/>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1C40B933">
      <w:pPr>
        <w:rPr>
          <w:rFonts w:ascii="Times New Roman" w:hAnsi="Times New Roman" w:cs="Times New Roman"/>
          <w:sz w:val="24"/>
          <w:szCs w:val="24"/>
        </w:rPr>
      </w:pPr>
      <w:r>
        <w:rPr>
          <w:rFonts w:ascii="Times New Roman" w:hAnsi="Times New Roman" w:cs="Times New Roman"/>
          <w:sz w:val="24"/>
          <w:szCs w:val="24"/>
        </w:rPr>
        <w:t>如投标方难以提供或无优势提供以及属于选用配置的，则应当在投标档的技术偏离条款中，予以详细说明并注明投标报价未包含该部分的货值。</w:t>
      </w:r>
    </w:p>
    <w:p w14:paraId="2A869A84">
      <w:pPr>
        <w:rPr>
          <w:rFonts w:ascii="Times New Roman" w:hAnsi="Times New Roman" w:cs="Times New Roman"/>
          <w:sz w:val="24"/>
          <w:szCs w:val="24"/>
        </w:rPr>
      </w:pPr>
      <w:r>
        <w:rPr>
          <w:rFonts w:ascii="Times New Roman" w:hAnsi="Times New Roman" w:cs="Times New Roman"/>
          <w:sz w:val="24"/>
          <w:szCs w:val="24"/>
        </w:rPr>
        <w:t>5、供货范围包括为保证货物（或生产线）自身正常运行所必需的、满足使用地点环境条件的通风、冷却、降温等必需设施。</w:t>
      </w:r>
    </w:p>
    <w:p w14:paraId="3FBF1D52">
      <w:pPr>
        <w:rPr>
          <w:rFonts w:ascii="Times New Roman" w:hAnsi="Times New Roman" w:cs="Times New Roman"/>
          <w:sz w:val="24"/>
          <w:szCs w:val="24"/>
        </w:rPr>
      </w:pPr>
      <w:r>
        <w:rPr>
          <w:rFonts w:ascii="Times New Roman" w:hAnsi="Times New Roman" w:cs="Times New Roman"/>
          <w:sz w:val="24"/>
          <w:szCs w:val="24"/>
        </w:rPr>
        <w:t>6、以“交钥匙”方式采购的货物，在满足技术标书本节上述要求之外，供货范围还包括如下界定（货物）：</w:t>
      </w:r>
    </w:p>
    <w:p w14:paraId="0C7F367F">
      <w:pPr>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 xml:space="preserve">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01FAD4B8">
      <w:pPr>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 xml:space="preserve"> 供货范围包括货物（或生产线）正常运行所必需的全套连线设备、材料等。如货物端联接法兰外端面之内的、电气系统界面压线板（插座等）之内的设备、材料、联接螺栓、垫片等。</w:t>
      </w:r>
    </w:p>
    <w:p w14:paraId="60CD82BA">
      <w:pPr>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 xml:space="preserve"> 供货范围包括货物（或生产线）正常运行、使用所需要的过桥、护栏、防护网、盖板等辅助设施。</w:t>
      </w:r>
    </w:p>
    <w:p w14:paraId="023EE58F">
      <w:pPr>
        <w:rPr>
          <w:rFonts w:ascii="Times New Roman" w:hAnsi="Times New Roman" w:cs="Times New Roman"/>
          <w:color w:val="000000"/>
          <w:sz w:val="24"/>
          <w:szCs w:val="24"/>
        </w:rPr>
      </w:pPr>
      <w:r>
        <w:rPr>
          <w:rFonts w:hint="eastAsia" w:ascii="宋体" w:hAnsi="宋体" w:eastAsia="宋体" w:cs="宋体"/>
          <w:sz w:val="24"/>
          <w:szCs w:val="24"/>
        </w:rPr>
        <w:t>④</w:t>
      </w:r>
      <w:r>
        <w:rPr>
          <w:rFonts w:ascii="Times New Roman" w:hAnsi="Times New Roman" w:cs="Times New Roman"/>
          <w:sz w:val="24"/>
          <w:szCs w:val="24"/>
        </w:rPr>
        <w:t xml:space="preserve">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ascii="Times New Roman" w:hAnsi="Times New Roman" w:cs="Times New Roman"/>
          <w:color w:val="000000"/>
          <w:sz w:val="24"/>
          <w:szCs w:val="24"/>
        </w:rPr>
        <w:t>。</w:t>
      </w:r>
    </w:p>
    <w:p w14:paraId="34787DBB">
      <w:pPr>
        <w:rPr>
          <w:rFonts w:ascii="Times New Roman" w:hAnsi="Times New Roman" w:cs="Times New Roman"/>
          <w:b/>
          <w:sz w:val="24"/>
          <w:szCs w:val="24"/>
        </w:rPr>
      </w:pPr>
      <w:r>
        <w:rPr>
          <w:rFonts w:ascii="Times New Roman" w:hAnsi="Times New Roman" w:cs="Times New Roman"/>
          <w:b/>
          <w:sz w:val="24"/>
          <w:szCs w:val="24"/>
        </w:rPr>
        <w:t>三、备品备件、易损件和专用耗材供货范围</w:t>
      </w:r>
    </w:p>
    <w:p w14:paraId="6BB04483">
      <w:pPr>
        <w:rPr>
          <w:rFonts w:ascii="Times New Roman" w:hAnsi="Times New Roman" w:cs="Times New Roman"/>
          <w:sz w:val="24"/>
          <w:szCs w:val="24"/>
        </w:rPr>
      </w:pPr>
      <w:r>
        <w:rPr>
          <w:rFonts w:ascii="Times New Roman" w:hAnsi="Times New Roman" w:cs="Times New Roman"/>
          <w:sz w:val="24"/>
          <w:szCs w:val="24"/>
        </w:rPr>
        <w:t>1、招标方招标档所指备品备件、易损件和专用耗材，是招标方为保证设备质保期之后正常运行一年所自备自用的备品备件、易损件和专用耗材；</w:t>
      </w:r>
    </w:p>
    <w:p w14:paraId="17391039">
      <w:pPr>
        <w:rPr>
          <w:rFonts w:ascii="Times New Roman" w:hAnsi="Times New Roman" w:cs="Times New Roman"/>
          <w:sz w:val="24"/>
          <w:szCs w:val="24"/>
        </w:rPr>
      </w:pPr>
      <w:r>
        <w:rPr>
          <w:rFonts w:ascii="Times New Roman" w:hAnsi="Times New Roman" w:cs="Times New Roman"/>
          <w:sz w:val="24"/>
          <w:szCs w:val="24"/>
        </w:rPr>
        <w:t>2、投标方应提供设备维修所必需的专用工具，并附详细清单（包括名称、型号、规格、单位、数量、生产厂家、单价、总价等条目）；</w:t>
      </w:r>
    </w:p>
    <w:p w14:paraId="78B2764F">
      <w:pPr>
        <w:rPr>
          <w:rFonts w:ascii="Times New Roman" w:hAnsi="Times New Roman" w:cs="Times New Roman"/>
          <w:sz w:val="24"/>
          <w:szCs w:val="24"/>
        </w:rPr>
      </w:pPr>
      <w:r>
        <w:rPr>
          <w:rFonts w:ascii="Times New Roman" w:hAnsi="Times New Roman" w:cs="Times New Roman"/>
          <w:sz w:val="24"/>
          <w:szCs w:val="24"/>
        </w:rPr>
        <w:t>3、投标方应提供易损件和专用耗材的制造图纸及其技术要求等资料；</w:t>
      </w:r>
    </w:p>
    <w:p w14:paraId="3D929271">
      <w:pPr>
        <w:rPr>
          <w:rFonts w:ascii="Times New Roman" w:hAnsi="Times New Roman" w:cs="Times New Roman"/>
          <w:sz w:val="24"/>
          <w:szCs w:val="24"/>
        </w:rPr>
      </w:pPr>
      <w:r>
        <w:rPr>
          <w:rFonts w:ascii="Times New Roman" w:hAnsi="Times New Roman" w:cs="Times New Roman"/>
          <w:sz w:val="24"/>
          <w:szCs w:val="24"/>
        </w:rPr>
        <w:t>4、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p>
    <w:p w14:paraId="302B1F1E">
      <w:pPr>
        <w:rPr>
          <w:rFonts w:ascii="Times New Roman" w:hAnsi="Times New Roman" w:cs="Times New Roman"/>
          <w:sz w:val="24"/>
          <w:szCs w:val="24"/>
        </w:rPr>
      </w:pPr>
      <w:r>
        <w:rPr>
          <w:rFonts w:ascii="Times New Roman" w:hAnsi="Times New Roman" w:cs="Times New Roman"/>
          <w:sz w:val="24"/>
          <w:szCs w:val="24"/>
        </w:rPr>
        <w:t>5</w:t>
      </w:r>
      <w:r>
        <w:rPr>
          <w:rFonts w:hint="eastAsia" w:ascii="Times New Roman" w:hAnsi="Times New Roman" w:cs="Times New Roman"/>
          <w:sz w:val="24"/>
          <w:szCs w:val="24"/>
        </w:rPr>
        <w:t>、</w:t>
      </w:r>
      <w:r>
        <w:rPr>
          <w:rFonts w:ascii="Times New Roman" w:hAnsi="Times New Roman" w:cs="Times New Roman"/>
          <w:sz w:val="24"/>
          <w:szCs w:val="24"/>
        </w:rPr>
        <w:t>备品备件、易损件和专用耗材，其费用应分类单列，并计入投标总报价之内。</w:t>
      </w:r>
    </w:p>
    <w:p w14:paraId="0D3355FA">
      <w:pPr>
        <w:rPr>
          <w:rFonts w:ascii="Times New Roman" w:hAnsi="Times New Roman" w:cs="Times New Roman"/>
          <w:b/>
          <w:sz w:val="24"/>
          <w:szCs w:val="24"/>
        </w:rPr>
      </w:pPr>
      <w:r>
        <w:rPr>
          <w:rFonts w:ascii="Times New Roman" w:hAnsi="Times New Roman" w:cs="Times New Roman"/>
          <w:b/>
          <w:sz w:val="24"/>
          <w:szCs w:val="24"/>
        </w:rPr>
        <w:t>四、技术资料供货范围</w:t>
      </w:r>
    </w:p>
    <w:p w14:paraId="6FB45490">
      <w:pPr>
        <w:rPr>
          <w:rFonts w:ascii="Times New Roman" w:hAnsi="Times New Roman" w:cs="Times New Roman"/>
          <w:sz w:val="24"/>
          <w:szCs w:val="24"/>
        </w:rPr>
      </w:pPr>
      <w:r>
        <w:rPr>
          <w:rFonts w:ascii="Times New Roman" w:hAnsi="Times New Roman" w:cs="Times New Roman"/>
          <w:sz w:val="24"/>
          <w:szCs w:val="24"/>
        </w:rPr>
        <w:t>1、在终验收前，提供确定的维修所需要且招标方可以自行采购的外购件、外协件、电气元件及主要原材料的供货厂家明细表。</w:t>
      </w:r>
    </w:p>
    <w:p w14:paraId="5DAC1A3A">
      <w:pPr>
        <w:rPr>
          <w:rFonts w:ascii="Times New Roman" w:hAnsi="Times New Roman" w:cs="Times New Roman"/>
          <w:sz w:val="24"/>
          <w:szCs w:val="24"/>
        </w:rPr>
      </w:pPr>
      <w:r>
        <w:rPr>
          <w:rFonts w:ascii="Times New Roman" w:hAnsi="Times New Roman" w:cs="Times New Roman"/>
          <w:sz w:val="24"/>
          <w:szCs w:val="24"/>
        </w:rPr>
        <w:t>2、在终验收后、终验收后的第一笔货款支付日之前，提供包括货物的备品备件、易损件和专用耗材的图纸及技术参数、技术要求等资料。</w:t>
      </w:r>
    </w:p>
    <w:p w14:paraId="46E2DDD1">
      <w:pPr>
        <w:rPr>
          <w:rFonts w:ascii="Times New Roman" w:hAnsi="Times New Roman" w:cs="Times New Roman"/>
          <w:sz w:val="24"/>
          <w:szCs w:val="24"/>
        </w:rPr>
      </w:pPr>
      <w:r>
        <w:rPr>
          <w:rFonts w:ascii="Times New Roman" w:hAnsi="Times New Roman" w:cs="Times New Roman"/>
          <w:sz w:val="24"/>
          <w:szCs w:val="24"/>
        </w:rPr>
        <w:t>3、在终验收后、终验收后的第一笔货款支付日之前，提供关于采购货物的使用说明书、合格证等技术资料。</w:t>
      </w:r>
    </w:p>
    <w:p w14:paraId="003C8943">
      <w:pPr>
        <w:rPr>
          <w:rFonts w:ascii="Times New Roman" w:hAnsi="Times New Roman" w:cs="Times New Roman"/>
          <w:sz w:val="24"/>
          <w:szCs w:val="24"/>
        </w:rPr>
      </w:pPr>
      <w:r>
        <w:rPr>
          <w:rFonts w:ascii="Times New Roman" w:hAnsi="Times New Roman" w:cs="Times New Roman"/>
          <w:sz w:val="24"/>
          <w:szCs w:val="24"/>
        </w:rPr>
        <w:t>4、在终验收后、终验收后的第一笔货款支付日之前，提供关于采购货物（或生产线）的电气资料（包括接线图、原理图、布线图、梯形图等）。</w:t>
      </w:r>
    </w:p>
    <w:p w14:paraId="3B206E25">
      <w:pPr>
        <w:rPr>
          <w:rFonts w:ascii="Times New Roman" w:hAnsi="Times New Roman" w:cs="Times New Roman"/>
          <w:sz w:val="24"/>
          <w:szCs w:val="24"/>
        </w:rPr>
      </w:pPr>
      <w:r>
        <w:rPr>
          <w:rFonts w:ascii="Times New Roman" w:hAnsi="Times New Roman" w:cs="Times New Roman"/>
          <w:sz w:val="24"/>
          <w:szCs w:val="24"/>
        </w:rPr>
        <w:t>5、本条款所列的技术资料、图片等，投标方应各</w:t>
      </w:r>
      <w:r>
        <w:rPr>
          <w:rFonts w:ascii="Times New Roman" w:hAnsi="Times New Roman" w:cs="Times New Roman"/>
          <w:color w:val="000000"/>
          <w:sz w:val="24"/>
          <w:szCs w:val="24"/>
        </w:rPr>
        <w:t>提供2套，其中1套</w:t>
      </w:r>
      <w:r>
        <w:rPr>
          <w:rFonts w:ascii="Times New Roman" w:hAnsi="Times New Roman" w:cs="Times New Roman"/>
          <w:sz w:val="24"/>
          <w:szCs w:val="24"/>
        </w:rPr>
        <w:t>为电子版光盘；每份技术档应装有目录清单，电子版及纸板内容编排一致，方便查阅。</w:t>
      </w:r>
    </w:p>
    <w:p w14:paraId="6E0EE428">
      <w:pPr>
        <w:rPr>
          <w:rFonts w:ascii="Times New Roman" w:hAnsi="Times New Roman" w:cs="Times New Roman"/>
          <w:color w:val="000000"/>
          <w:sz w:val="24"/>
          <w:szCs w:val="24"/>
        </w:rPr>
      </w:pPr>
      <w:r>
        <w:rPr>
          <w:rFonts w:ascii="Times New Roman" w:hAnsi="Times New Roman" w:cs="Times New Roman"/>
          <w:sz w:val="24"/>
          <w:szCs w:val="24"/>
        </w:rPr>
        <w:t>6、本条款所列要求，如招标方认为投标方提供的资料不能满足要求时，有权要求投标方免费补充或增加。</w:t>
      </w:r>
    </w:p>
    <w:p w14:paraId="15DFF602">
      <w:pPr>
        <w:rPr>
          <w:rFonts w:ascii="Times New Roman" w:hAnsi="Times New Roman" w:cs="Times New Roman"/>
          <w:b/>
          <w:sz w:val="24"/>
          <w:szCs w:val="24"/>
        </w:rPr>
      </w:pPr>
      <w:r>
        <w:rPr>
          <w:rFonts w:ascii="Times New Roman" w:hAnsi="Times New Roman" w:cs="Times New Roman"/>
          <w:b/>
          <w:sz w:val="24"/>
          <w:szCs w:val="24"/>
        </w:rPr>
        <w:t>五、供货范围特别提示</w:t>
      </w:r>
    </w:p>
    <w:p w14:paraId="2D391290">
      <w:pPr>
        <w:rPr>
          <w:rFonts w:ascii="Times New Roman" w:hAnsi="Times New Roman" w:cs="Times New Roman"/>
          <w:sz w:val="24"/>
          <w:szCs w:val="24"/>
        </w:rPr>
      </w:pPr>
      <w:r>
        <w:rPr>
          <w:rFonts w:ascii="Times New Roman" w:hAnsi="Times New Roman" w:cs="Times New Roman"/>
          <w:sz w:val="24"/>
          <w:szCs w:val="24"/>
        </w:rPr>
        <w:t>如果投标方认为本节所列的供货范围难以满足，则仍需要按照本要求提供，但该部分货物应当在投标报价中单独列明货物名称及质量、货值。</w:t>
      </w:r>
    </w:p>
    <w:p w14:paraId="6EE869F6">
      <w:pPr>
        <w:rPr>
          <w:rFonts w:ascii="Times New Roman" w:hAnsi="Times New Roman" w:cs="Times New Roman"/>
          <w:b/>
          <w:sz w:val="24"/>
          <w:szCs w:val="24"/>
        </w:rPr>
      </w:pPr>
      <w:r>
        <w:rPr>
          <w:rFonts w:ascii="Times New Roman" w:hAnsi="Times New Roman" w:cs="Times New Roman"/>
          <w:b/>
          <w:sz w:val="24"/>
          <w:szCs w:val="24"/>
        </w:rPr>
        <w:t>第二节  供货方式</w:t>
      </w:r>
    </w:p>
    <w:p w14:paraId="5D8A4DCE">
      <w:pPr>
        <w:rPr>
          <w:rFonts w:ascii="Times New Roman" w:hAnsi="Times New Roman" w:cs="Times New Roman"/>
          <w:b/>
          <w:sz w:val="24"/>
          <w:szCs w:val="24"/>
        </w:rPr>
      </w:pPr>
      <w:r>
        <w:rPr>
          <w:rFonts w:ascii="Times New Roman" w:hAnsi="Times New Roman" w:cs="Times New Roman"/>
          <w:b/>
          <w:sz w:val="24"/>
          <w:szCs w:val="24"/>
        </w:rPr>
        <w:t>一、供货方式</w:t>
      </w:r>
    </w:p>
    <w:p w14:paraId="384D6F0B">
      <w:pPr>
        <w:rPr>
          <w:rFonts w:ascii="Times New Roman" w:hAnsi="Times New Roman" w:cs="Times New Roman"/>
          <w:sz w:val="24"/>
          <w:szCs w:val="24"/>
        </w:rPr>
      </w:pPr>
      <w:r>
        <w:rPr>
          <w:rFonts w:ascii="Times New Roman" w:hAnsi="Times New Roman" w:cs="Times New Roman"/>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4EECB3B">
      <w:pPr>
        <w:rPr>
          <w:rFonts w:ascii="Times New Roman" w:hAnsi="Times New Roman" w:cs="Times New Roman"/>
          <w:b/>
          <w:sz w:val="24"/>
          <w:szCs w:val="24"/>
        </w:rPr>
      </w:pPr>
      <w:r>
        <w:rPr>
          <w:rFonts w:ascii="Times New Roman" w:hAnsi="Times New Roman" w:cs="Times New Roman"/>
          <w:b/>
          <w:sz w:val="24"/>
          <w:szCs w:val="24"/>
        </w:rPr>
        <w:t>二、供货地点</w:t>
      </w:r>
    </w:p>
    <w:p w14:paraId="633BCEA5">
      <w:pPr>
        <w:rPr>
          <w:rFonts w:ascii="Times New Roman" w:hAnsi="Times New Roman" w:cs="Times New Roman"/>
          <w:sz w:val="24"/>
          <w:szCs w:val="24"/>
        </w:rPr>
      </w:pPr>
      <w:r>
        <w:rPr>
          <w:rFonts w:ascii="Times New Roman" w:hAnsi="Times New Roman" w:cs="Times New Roman"/>
          <w:sz w:val="24"/>
          <w:szCs w:val="24"/>
        </w:rPr>
        <w:t>中国重汽集团杭州发动机有限公司。</w:t>
      </w:r>
    </w:p>
    <w:p w14:paraId="62E07CDA">
      <w:pPr>
        <w:rPr>
          <w:rFonts w:ascii="Times New Roman" w:hAnsi="Times New Roman" w:cs="Times New Roman"/>
          <w:b/>
          <w:sz w:val="24"/>
          <w:szCs w:val="24"/>
        </w:rPr>
      </w:pPr>
      <w:r>
        <w:rPr>
          <w:rFonts w:ascii="Times New Roman" w:hAnsi="Times New Roman" w:cs="Times New Roman"/>
          <w:b/>
          <w:sz w:val="24"/>
          <w:szCs w:val="24"/>
        </w:rPr>
        <w:t>三、供货时间</w:t>
      </w:r>
    </w:p>
    <w:p w14:paraId="6C63DD5D">
      <w:pPr>
        <w:rPr>
          <w:rFonts w:ascii="Times New Roman" w:hAnsi="Times New Roman" w:cs="Times New Roman"/>
          <w:sz w:val="24"/>
          <w:szCs w:val="24"/>
        </w:rPr>
      </w:pPr>
      <w:r>
        <w:rPr>
          <w:rFonts w:ascii="Times New Roman" w:hAnsi="Times New Roman" w:cs="Times New Roman"/>
          <w:sz w:val="24"/>
          <w:szCs w:val="24"/>
        </w:rPr>
        <w:t>自合同签定生效之日起，</w:t>
      </w:r>
      <w:r>
        <w:rPr>
          <w:rFonts w:ascii="Times New Roman" w:hAnsi="Times New Roman" w:cs="Times New Roman"/>
          <w:color w:val="FF0000"/>
          <w:sz w:val="24"/>
          <w:szCs w:val="24"/>
          <w:u w:val="single"/>
        </w:rPr>
        <w:t xml:space="preserve"> 60</w:t>
      </w:r>
      <w:r>
        <w:rPr>
          <w:rFonts w:ascii="Times New Roman" w:hAnsi="Times New Roman" w:cs="Times New Roman"/>
          <w:sz w:val="24"/>
          <w:szCs w:val="24"/>
        </w:rPr>
        <w:t>个日历日之内交货至供货地点。</w:t>
      </w:r>
    </w:p>
    <w:p w14:paraId="40C0FC98">
      <w:pPr>
        <w:rPr>
          <w:rFonts w:ascii="Times New Roman" w:hAnsi="Times New Roman" w:cs="Times New Roman"/>
          <w:sz w:val="24"/>
          <w:szCs w:val="24"/>
        </w:rPr>
      </w:pPr>
      <w:r>
        <w:rPr>
          <w:rFonts w:ascii="Times New Roman" w:hAnsi="Times New Roman" w:cs="Times New Roman"/>
          <w:sz w:val="24"/>
          <w:szCs w:val="24"/>
        </w:rPr>
        <w:t>接续</w:t>
      </w:r>
      <w:r>
        <w:rPr>
          <w:rFonts w:hint="eastAsia" w:ascii="Times New Roman" w:hAnsi="Times New Roman" w:cs="Times New Roman"/>
          <w:color w:val="FF0000"/>
          <w:sz w:val="24"/>
          <w:szCs w:val="24"/>
          <w:u w:val="single"/>
        </w:rPr>
        <w:t xml:space="preserve"> </w:t>
      </w:r>
      <w:r>
        <w:rPr>
          <w:rFonts w:ascii="Times New Roman" w:hAnsi="Times New Roman" w:cs="Times New Roman"/>
          <w:color w:val="FF0000"/>
          <w:sz w:val="24"/>
          <w:szCs w:val="24"/>
          <w:u w:val="single"/>
        </w:rPr>
        <w:t xml:space="preserve">35 </w:t>
      </w:r>
      <w:r>
        <w:rPr>
          <w:rFonts w:ascii="Times New Roman" w:hAnsi="Times New Roman" w:cs="Times New Roman"/>
          <w:sz w:val="24"/>
          <w:szCs w:val="24"/>
        </w:rPr>
        <w:t xml:space="preserve"> 个日历日之内安装调试完毕。</w:t>
      </w:r>
    </w:p>
    <w:p w14:paraId="2713D88D">
      <w:pPr>
        <w:rPr>
          <w:rFonts w:ascii="Times New Roman" w:hAnsi="Times New Roman" w:cs="Times New Roman"/>
          <w:sz w:val="24"/>
          <w:szCs w:val="24"/>
        </w:rPr>
      </w:pPr>
      <w:r>
        <w:rPr>
          <w:rFonts w:ascii="Times New Roman" w:hAnsi="Times New Roman" w:cs="Times New Roman"/>
          <w:sz w:val="24"/>
          <w:szCs w:val="24"/>
        </w:rPr>
        <w:t>接续</w:t>
      </w:r>
      <w:r>
        <w:rPr>
          <w:rFonts w:ascii="Times New Roman" w:hAnsi="Times New Roman" w:cs="Times New Roman"/>
          <w:color w:val="FF0000"/>
          <w:sz w:val="24"/>
          <w:szCs w:val="24"/>
          <w:u w:val="single"/>
        </w:rPr>
        <w:t xml:space="preserve"> 15</w:t>
      </w:r>
      <w:r>
        <w:rPr>
          <w:rFonts w:ascii="Times New Roman" w:hAnsi="Times New Roman" w:cs="Times New Roman"/>
          <w:sz w:val="24"/>
          <w:szCs w:val="24"/>
        </w:rPr>
        <w:t>个日历日之内完成终验收。</w:t>
      </w:r>
    </w:p>
    <w:p w14:paraId="5A9FB3BE">
      <w:pPr>
        <w:rPr>
          <w:rFonts w:ascii="Times New Roman" w:hAnsi="Times New Roman" w:cs="Times New Roman"/>
          <w:sz w:val="24"/>
          <w:szCs w:val="24"/>
        </w:rPr>
      </w:pPr>
      <w:r>
        <w:rPr>
          <w:rFonts w:ascii="Times New Roman" w:hAnsi="Times New Roman" w:cs="Times New Roman"/>
          <w:sz w:val="24"/>
          <w:szCs w:val="24"/>
        </w:rPr>
        <w:t>安装调试工期超过规定时间的，投标人应当随标书提供详细的工期计划。</w:t>
      </w:r>
    </w:p>
    <w:p w14:paraId="0C81D71B">
      <w:pPr>
        <w:rPr>
          <w:rFonts w:ascii="Times New Roman" w:hAnsi="Times New Roman" w:cs="Times New Roman"/>
          <w:b/>
          <w:sz w:val="24"/>
          <w:szCs w:val="24"/>
        </w:rPr>
      </w:pPr>
      <w:r>
        <w:rPr>
          <w:rFonts w:ascii="Times New Roman" w:hAnsi="Times New Roman" w:cs="Times New Roman"/>
          <w:b/>
          <w:sz w:val="24"/>
          <w:szCs w:val="24"/>
        </w:rPr>
        <w:t>四、包装</w:t>
      </w:r>
    </w:p>
    <w:p w14:paraId="02F9ECCB">
      <w:pPr>
        <w:rPr>
          <w:rFonts w:ascii="Times New Roman" w:hAnsi="Times New Roman" w:cs="Times New Roman"/>
          <w:sz w:val="24"/>
          <w:szCs w:val="24"/>
        </w:rPr>
      </w:pPr>
      <w:r>
        <w:rPr>
          <w:rFonts w:ascii="Times New Roman" w:hAnsi="Times New Roman" w:cs="Times New Roman"/>
          <w:sz w:val="24"/>
          <w:szCs w:val="24"/>
        </w:rPr>
        <w:t>1、所提供货物（或设备）的包装，应遵照国家标准和有关包装、包皮的技术条件，或按照最好的商业惯例进行包装。</w:t>
      </w:r>
    </w:p>
    <w:p w14:paraId="09FC3165">
      <w:pPr>
        <w:rPr>
          <w:rFonts w:ascii="Times New Roman" w:hAnsi="Times New Roman" w:cs="Times New Roman"/>
          <w:sz w:val="24"/>
          <w:szCs w:val="24"/>
        </w:rPr>
      </w:pPr>
      <w:r>
        <w:rPr>
          <w:rFonts w:ascii="Times New Roman" w:hAnsi="Times New Roman"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14:paraId="15544921">
      <w:pPr>
        <w:rPr>
          <w:rFonts w:ascii="Times New Roman" w:hAnsi="Times New Roman" w:cs="Times New Roman"/>
          <w:sz w:val="24"/>
          <w:szCs w:val="24"/>
        </w:rPr>
      </w:pPr>
      <w:r>
        <w:rPr>
          <w:rFonts w:ascii="Times New Roman" w:hAnsi="Times New Roman" w:cs="Times New Roman"/>
          <w:sz w:val="24"/>
          <w:szCs w:val="24"/>
        </w:rPr>
        <w:t>3、所提供货物（或设备）的包装，应能防止其一般性被窃或受外力破坏；一般不得采用有大缝隙的板条包装。</w:t>
      </w:r>
    </w:p>
    <w:p w14:paraId="0E78A970">
      <w:pPr>
        <w:rPr>
          <w:rFonts w:ascii="Times New Roman" w:hAnsi="Times New Roman" w:cs="Times New Roman"/>
          <w:sz w:val="24"/>
          <w:szCs w:val="24"/>
        </w:rPr>
      </w:pPr>
      <w:r>
        <w:rPr>
          <w:rFonts w:ascii="Times New Roman" w:hAnsi="Times New Roman" w:cs="Times New Roman"/>
          <w:sz w:val="24"/>
          <w:szCs w:val="24"/>
        </w:rPr>
        <w:t>4、应对包装件做必要的加固和固定，以防止运输可能造成的损坏。</w:t>
      </w:r>
    </w:p>
    <w:p w14:paraId="64EB4BB2">
      <w:pPr>
        <w:rPr>
          <w:rFonts w:ascii="Times New Roman" w:hAnsi="Times New Roman" w:cs="Times New Roman"/>
          <w:sz w:val="24"/>
          <w:szCs w:val="24"/>
        </w:rPr>
      </w:pPr>
      <w:r>
        <w:rPr>
          <w:rFonts w:ascii="Times New Roman" w:hAnsi="Times New Roman" w:cs="Times New Roman"/>
          <w:sz w:val="24"/>
          <w:szCs w:val="24"/>
        </w:rPr>
        <w:t>5、每个包装件应有装箱单，并至少标明名称、型号规格、数量、净重和毛重、投标方（或供货商）名称和制造日期等相关内容。</w:t>
      </w:r>
    </w:p>
    <w:p w14:paraId="2D28E26E">
      <w:pPr>
        <w:rPr>
          <w:rFonts w:ascii="Times New Roman" w:hAnsi="Times New Roman" w:cs="Times New Roman"/>
          <w:sz w:val="24"/>
          <w:szCs w:val="24"/>
        </w:rPr>
      </w:pPr>
      <w:r>
        <w:rPr>
          <w:rFonts w:ascii="Times New Roman" w:hAnsi="Times New Roman" w:cs="Times New Roman"/>
          <w:sz w:val="24"/>
          <w:szCs w:val="24"/>
        </w:rPr>
        <w:t>6、每个包装箱应有明显标志，并具有中文书写的合同号、装运标志、发货和到货地点名称、发货人和收货人名称、货物名称和项目号、箱号和外型尺寸等内容。</w:t>
      </w:r>
    </w:p>
    <w:p w14:paraId="4C133C1E">
      <w:pPr>
        <w:rPr>
          <w:rFonts w:ascii="Times New Roman" w:hAnsi="Times New Roman" w:cs="Times New Roman"/>
          <w:sz w:val="24"/>
          <w:szCs w:val="24"/>
        </w:rPr>
      </w:pPr>
      <w:r>
        <w:rPr>
          <w:rFonts w:ascii="Times New Roman" w:hAnsi="Times New Roman" w:cs="Times New Roman"/>
          <w:sz w:val="24"/>
          <w:szCs w:val="24"/>
        </w:rPr>
        <w:t>7、应按照不同的装运要求在包装箱上标明“小心轻放”、“箭头向上”、“防潮”、“防磁”、“不准平放”等标志，以及其他适用的国标通用标志。</w:t>
      </w:r>
    </w:p>
    <w:p w14:paraId="34185CCE">
      <w:pPr>
        <w:rPr>
          <w:rFonts w:ascii="Times New Roman" w:hAnsi="Times New Roman" w:cs="Times New Roman"/>
          <w:sz w:val="24"/>
          <w:szCs w:val="24"/>
        </w:rPr>
      </w:pPr>
      <w:r>
        <w:rPr>
          <w:rFonts w:ascii="Times New Roman" w:hAnsi="Times New Roman" w:cs="Times New Roman"/>
          <w:sz w:val="24"/>
          <w:szCs w:val="24"/>
        </w:rPr>
        <w:t>8、包装箱应连续编号，不应出现重复编号。</w:t>
      </w:r>
    </w:p>
    <w:p w14:paraId="3EADAC1B">
      <w:pPr>
        <w:rPr>
          <w:rFonts w:ascii="Times New Roman" w:hAnsi="Times New Roman" w:cs="Times New Roman"/>
          <w:sz w:val="24"/>
          <w:szCs w:val="24"/>
        </w:rPr>
      </w:pPr>
      <w:r>
        <w:rPr>
          <w:rFonts w:ascii="Times New Roman" w:hAnsi="Times New Roman" w:cs="Times New Roman"/>
          <w:sz w:val="24"/>
          <w:szCs w:val="24"/>
        </w:rPr>
        <w:t>9、在不受到外界破坏情况下，包装应保证自交货日起一年内货物（或设备）完好无损。</w:t>
      </w:r>
    </w:p>
    <w:p w14:paraId="65982962">
      <w:pPr>
        <w:rPr>
          <w:rFonts w:ascii="Times New Roman" w:hAnsi="Times New Roman" w:cs="Times New Roman"/>
          <w:b/>
          <w:sz w:val="24"/>
          <w:szCs w:val="24"/>
        </w:rPr>
      </w:pPr>
      <w:r>
        <w:rPr>
          <w:rFonts w:ascii="Times New Roman" w:hAnsi="Times New Roman" w:cs="Times New Roman"/>
          <w:b/>
          <w:sz w:val="24"/>
          <w:szCs w:val="24"/>
        </w:rPr>
        <w:t>五、运输</w:t>
      </w:r>
    </w:p>
    <w:p w14:paraId="4C502549">
      <w:pPr>
        <w:rPr>
          <w:rFonts w:ascii="Times New Roman" w:hAnsi="Times New Roman" w:cs="Times New Roman"/>
          <w:sz w:val="24"/>
          <w:szCs w:val="24"/>
        </w:rPr>
      </w:pPr>
      <w:r>
        <w:rPr>
          <w:rFonts w:ascii="Times New Roman" w:hAnsi="Times New Roman" w:cs="Times New Roman"/>
          <w:sz w:val="24"/>
          <w:szCs w:val="24"/>
        </w:rPr>
        <w:t>1、应负责将货物（或设备）运到目的地，并必须做到货物（或设备）在任何运输过程中不受损坏和遗失。</w:t>
      </w:r>
    </w:p>
    <w:p w14:paraId="74C9F4E2">
      <w:pPr>
        <w:rPr>
          <w:rFonts w:ascii="Times New Roman" w:hAnsi="Times New Roman" w:cs="Times New Roman"/>
          <w:sz w:val="24"/>
          <w:szCs w:val="24"/>
        </w:rPr>
      </w:pPr>
      <w:r>
        <w:rPr>
          <w:rFonts w:ascii="Times New Roman" w:hAnsi="Times New Roman" w:cs="Times New Roman"/>
          <w:sz w:val="24"/>
          <w:szCs w:val="24"/>
        </w:rPr>
        <w:t>2、一般情况下，经由铁路、公路运输的包装件尺寸和重量不应超过国家所规定的尺寸限制。特殊情况应予以说明。</w:t>
      </w:r>
    </w:p>
    <w:p w14:paraId="362F3F30">
      <w:pPr>
        <w:rPr>
          <w:rFonts w:ascii="Times New Roman" w:hAnsi="Times New Roman" w:cs="Times New Roman"/>
          <w:sz w:val="24"/>
          <w:szCs w:val="24"/>
        </w:rPr>
      </w:pPr>
      <w:r>
        <w:rPr>
          <w:rFonts w:ascii="Times New Roman" w:hAnsi="Times New Roman" w:cs="Times New Roman"/>
          <w:sz w:val="24"/>
          <w:szCs w:val="24"/>
        </w:rPr>
        <w:t>3、在每批货物（或设备）发出后，应立即通知买方；通知中应指明：合同号、货运单号、件数、重量和货物（或设备）发出日期等相关内容。</w:t>
      </w:r>
    </w:p>
    <w:p w14:paraId="46A33986">
      <w:pPr>
        <w:rPr>
          <w:rFonts w:ascii="Times New Roman" w:hAnsi="Times New Roman" w:cs="Times New Roman"/>
          <w:sz w:val="24"/>
          <w:szCs w:val="24"/>
        </w:rPr>
      </w:pPr>
      <w:r>
        <w:rPr>
          <w:rFonts w:ascii="Times New Roman" w:hAnsi="Times New Roman" w:cs="Times New Roman"/>
          <w:sz w:val="24"/>
          <w:szCs w:val="24"/>
        </w:rPr>
        <w:t>4、货物（或设备）运抵交货地点后，应负责货物（或设备）的卸货、搬运、保管等事宜；或按照合同约定。</w:t>
      </w:r>
    </w:p>
    <w:p w14:paraId="3B840799">
      <w:pPr>
        <w:jc w:val="center"/>
        <w:rPr>
          <w:rFonts w:ascii="Times New Roman" w:hAnsi="Times New Roman" w:cs="Times New Roman"/>
          <w:b/>
          <w:sz w:val="28"/>
          <w:szCs w:val="28"/>
        </w:rPr>
      </w:pPr>
      <w:r>
        <w:rPr>
          <w:rFonts w:ascii="Times New Roman" w:hAnsi="Times New Roman" w:cs="Times New Roman"/>
          <w:b/>
          <w:sz w:val="28"/>
          <w:szCs w:val="28"/>
        </w:rPr>
        <w:t>第四章  质保期及售后服务</w:t>
      </w:r>
    </w:p>
    <w:p w14:paraId="600FBC5F">
      <w:pPr>
        <w:rPr>
          <w:rFonts w:ascii="Times New Roman" w:hAnsi="Times New Roman" w:cs="Times New Roman"/>
          <w:b/>
          <w:sz w:val="24"/>
          <w:szCs w:val="24"/>
        </w:rPr>
      </w:pPr>
      <w:r>
        <w:rPr>
          <w:rFonts w:ascii="Times New Roman" w:hAnsi="Times New Roman" w:cs="Times New Roman"/>
          <w:b/>
          <w:sz w:val="24"/>
          <w:szCs w:val="24"/>
        </w:rPr>
        <w:t>一、质保期及质保要求</w:t>
      </w:r>
    </w:p>
    <w:p w14:paraId="725016F5">
      <w:pPr>
        <w:rPr>
          <w:rFonts w:ascii="Times New Roman" w:hAnsi="Times New Roman" w:cs="Times New Roman"/>
          <w:sz w:val="24"/>
          <w:szCs w:val="24"/>
        </w:rPr>
      </w:pPr>
      <w:r>
        <w:rPr>
          <w:rFonts w:ascii="Times New Roman" w:hAnsi="Times New Roman" w:cs="Times New Roman"/>
          <w:sz w:val="24"/>
          <w:szCs w:val="24"/>
        </w:rPr>
        <w:t>1、全部供货范围内的设备、材料、零配件和工器具等，除合同特别约定外，其质保期均自终验收签字生效之日起</w:t>
      </w:r>
      <w:r>
        <w:rPr>
          <w:rFonts w:ascii="Times New Roman" w:hAnsi="Times New Roman" w:cs="Times New Roman"/>
          <w:sz w:val="24"/>
          <w:szCs w:val="24"/>
          <w:u w:val="single"/>
        </w:rPr>
        <w:t xml:space="preserve"> 12 </w:t>
      </w:r>
      <w:r>
        <w:rPr>
          <w:rFonts w:ascii="Times New Roman" w:hAnsi="Times New Roman" w:cs="Times New Roman"/>
          <w:sz w:val="24"/>
          <w:szCs w:val="24"/>
        </w:rPr>
        <w:t>个月。</w:t>
      </w:r>
    </w:p>
    <w:p w14:paraId="6BA0ECD9">
      <w:pPr>
        <w:rPr>
          <w:rFonts w:ascii="Times New Roman" w:hAnsi="Times New Roman" w:cs="Times New Roman"/>
          <w:sz w:val="24"/>
          <w:szCs w:val="24"/>
        </w:rPr>
      </w:pPr>
      <w:r>
        <w:rPr>
          <w:rFonts w:ascii="Times New Roman" w:hAnsi="Times New Roman" w:cs="Times New Roman"/>
          <w:sz w:val="24"/>
          <w:szCs w:val="24"/>
        </w:rPr>
        <w:t>投标货物或涉及的关键总成和零件，如果有更长时间质保期，允许更改并说明，此将有利于投标方。设计使用寿命短于质保期的易损件除外，但属于易损件的，应当有明确说明。</w:t>
      </w:r>
    </w:p>
    <w:p w14:paraId="76CA95CD">
      <w:pPr>
        <w:rPr>
          <w:rFonts w:ascii="Times New Roman" w:hAnsi="Times New Roman" w:cs="Times New Roman"/>
          <w:sz w:val="24"/>
          <w:szCs w:val="24"/>
        </w:rPr>
      </w:pPr>
      <w:r>
        <w:rPr>
          <w:rFonts w:ascii="Times New Roman" w:hAnsi="Times New Roman"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58E8D2DB">
      <w:pPr>
        <w:rPr>
          <w:rFonts w:ascii="Times New Roman" w:hAnsi="Times New Roman" w:cs="Times New Roman"/>
          <w:sz w:val="24"/>
          <w:szCs w:val="24"/>
        </w:rPr>
      </w:pPr>
      <w:r>
        <w:rPr>
          <w:rFonts w:ascii="Times New Roman" w:hAnsi="Times New Roman" w:cs="Times New Roman"/>
          <w:sz w:val="24"/>
          <w:szCs w:val="24"/>
        </w:rPr>
        <w:t>3、质保期内免费提供零部件和及时有效的服务。质保期内因货物本身缺陷造成的各种故障，卖方应负责免费维修和服务。</w:t>
      </w:r>
    </w:p>
    <w:p w14:paraId="4B6DBAB6">
      <w:pPr>
        <w:rPr>
          <w:rFonts w:ascii="Times New Roman" w:hAnsi="Times New Roman" w:cs="Times New Roman"/>
          <w:sz w:val="24"/>
          <w:szCs w:val="24"/>
        </w:rPr>
      </w:pPr>
      <w:r>
        <w:rPr>
          <w:rFonts w:ascii="Times New Roman" w:hAnsi="Times New Roman" w:cs="Times New Roman"/>
          <w:sz w:val="24"/>
          <w:szCs w:val="24"/>
        </w:rPr>
        <w:t>4、质保期终止之日起一年内重复出现的质保期之内出现的故障，仍属质保范围而且应当免费。</w:t>
      </w:r>
    </w:p>
    <w:p w14:paraId="6AA4E2BD">
      <w:pPr>
        <w:rPr>
          <w:rFonts w:ascii="Times New Roman" w:hAnsi="Times New Roman" w:cs="Times New Roman"/>
          <w:b/>
          <w:sz w:val="24"/>
          <w:szCs w:val="24"/>
        </w:rPr>
      </w:pPr>
      <w:r>
        <w:rPr>
          <w:rFonts w:ascii="Times New Roman" w:hAnsi="Times New Roman" w:cs="Times New Roman"/>
          <w:b/>
          <w:sz w:val="24"/>
          <w:szCs w:val="24"/>
        </w:rPr>
        <w:t>二、技术及培训服务</w:t>
      </w:r>
    </w:p>
    <w:p w14:paraId="7052A2CA">
      <w:pPr>
        <w:rPr>
          <w:rFonts w:ascii="Times New Roman" w:hAnsi="Times New Roman" w:cs="Times New Roman"/>
          <w:sz w:val="24"/>
          <w:szCs w:val="24"/>
        </w:rPr>
      </w:pPr>
      <w:r>
        <w:rPr>
          <w:rFonts w:ascii="Times New Roman" w:hAnsi="Times New Roman" w:cs="Times New Roman"/>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Times New Roman" w:hAnsi="Times New Roman" w:cs="Times New Roman"/>
          <w:sz w:val="24"/>
          <w:szCs w:val="24"/>
          <w:u w:val="single"/>
        </w:rPr>
        <w:t xml:space="preserve"> </w:t>
      </w:r>
      <w:r>
        <w:rPr>
          <w:rFonts w:ascii="Times New Roman" w:hAnsi="Times New Roman" w:cs="Times New Roman"/>
          <w:sz w:val="24"/>
          <w:szCs w:val="24"/>
          <w:u w:val="single"/>
        </w:rPr>
        <w:t>3</w:t>
      </w:r>
      <w:r>
        <w:rPr>
          <w:rFonts w:ascii="Times New Roman" w:hAnsi="Times New Roman" w:cs="Times New Roman"/>
          <w:sz w:val="24"/>
          <w:szCs w:val="24"/>
        </w:rPr>
        <w:t>个工作日。</w:t>
      </w:r>
    </w:p>
    <w:p w14:paraId="473720E4">
      <w:pPr>
        <w:rPr>
          <w:rFonts w:ascii="Times New Roman" w:hAnsi="Times New Roman" w:cs="Times New Roman"/>
          <w:sz w:val="24"/>
          <w:szCs w:val="24"/>
        </w:rPr>
      </w:pPr>
      <w:r>
        <w:rPr>
          <w:rFonts w:ascii="Times New Roman" w:hAnsi="Times New Roman" w:cs="Times New Roman"/>
          <w:sz w:val="24"/>
          <w:szCs w:val="24"/>
        </w:rPr>
        <w:t>2、应免费提供一定数量的培训资料。</w:t>
      </w:r>
    </w:p>
    <w:p w14:paraId="31B2C6E9">
      <w:pPr>
        <w:rPr>
          <w:rFonts w:ascii="Times New Roman" w:hAnsi="Times New Roman" w:cs="Times New Roman"/>
          <w:sz w:val="24"/>
          <w:szCs w:val="24"/>
        </w:rPr>
      </w:pPr>
      <w:r>
        <w:rPr>
          <w:rFonts w:ascii="Times New Roman" w:hAnsi="Times New Roman" w:cs="Times New Roman"/>
          <w:sz w:val="24"/>
          <w:szCs w:val="24"/>
        </w:rPr>
        <w:t>3、应按要求免费积极协助和提供买方以及买方所委托的工程设计单位有关人员所需要的、与货物有关的工程设计资料、技术咨询等。</w:t>
      </w:r>
    </w:p>
    <w:p w14:paraId="4FA1160C">
      <w:pPr>
        <w:rPr>
          <w:rFonts w:ascii="Times New Roman" w:hAnsi="Times New Roman" w:cs="Times New Roman"/>
          <w:sz w:val="24"/>
          <w:szCs w:val="24"/>
        </w:rPr>
      </w:pPr>
      <w:r>
        <w:rPr>
          <w:rFonts w:ascii="Times New Roman" w:hAnsi="Times New Roman" w:cs="Times New Roman"/>
          <w:sz w:val="24"/>
          <w:szCs w:val="24"/>
        </w:rPr>
        <w:t>4、若卖方提供货物涉及到外购外协货物、而且该货物的技术质量等较为关键时，卖方应能保证得到配套厂家的技术支持，并免费为买方提供技术服务。</w:t>
      </w:r>
    </w:p>
    <w:p w14:paraId="5DEBAB64">
      <w:pPr>
        <w:rPr>
          <w:rFonts w:ascii="Times New Roman" w:hAnsi="Times New Roman" w:cs="Times New Roman"/>
          <w:sz w:val="24"/>
          <w:szCs w:val="24"/>
        </w:rPr>
      </w:pPr>
      <w:r>
        <w:rPr>
          <w:rFonts w:ascii="Times New Roman" w:hAnsi="Times New Roman" w:cs="Times New Roman"/>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1D7C8AE">
      <w:pPr>
        <w:rPr>
          <w:rFonts w:ascii="Times New Roman" w:hAnsi="Times New Roman" w:cs="Times New Roman"/>
          <w:b/>
          <w:sz w:val="24"/>
          <w:szCs w:val="24"/>
        </w:rPr>
      </w:pPr>
      <w:r>
        <w:rPr>
          <w:rFonts w:ascii="Times New Roman" w:hAnsi="Times New Roman" w:cs="Times New Roman"/>
          <w:b/>
          <w:sz w:val="24"/>
          <w:szCs w:val="24"/>
        </w:rPr>
        <w:t>三、安装调试及验收服务</w:t>
      </w:r>
    </w:p>
    <w:p w14:paraId="59DC7656">
      <w:pPr>
        <w:rPr>
          <w:rFonts w:ascii="Times New Roman" w:hAnsi="Times New Roman" w:cs="Times New Roman"/>
          <w:sz w:val="24"/>
          <w:szCs w:val="24"/>
        </w:rPr>
      </w:pPr>
      <w:r>
        <w:rPr>
          <w:rFonts w:ascii="Times New Roman" w:hAnsi="Times New Roman" w:cs="Times New Roman"/>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353F0E72">
      <w:pPr>
        <w:rPr>
          <w:rFonts w:ascii="Times New Roman" w:hAnsi="Times New Roman" w:cs="Times New Roman"/>
          <w:sz w:val="24"/>
          <w:szCs w:val="24"/>
        </w:rPr>
      </w:pPr>
      <w:r>
        <w:rPr>
          <w:rFonts w:ascii="Times New Roman" w:hAnsi="Times New Roman" w:cs="Times New Roman"/>
          <w:sz w:val="24"/>
          <w:szCs w:val="24"/>
        </w:rPr>
        <w:t>2、若卖方提供的货物涉及到外购外协货物、而且该货物的技术质量等较为关键时，应保证能得到供应商的技术支持，并免费为买方提供安装使用现场的指导与培训。</w:t>
      </w:r>
    </w:p>
    <w:p w14:paraId="7515BA32">
      <w:pPr>
        <w:rPr>
          <w:rFonts w:ascii="Times New Roman" w:hAnsi="Times New Roman" w:cs="Times New Roman"/>
          <w:sz w:val="24"/>
          <w:szCs w:val="24"/>
        </w:rPr>
      </w:pPr>
      <w:r>
        <w:rPr>
          <w:rFonts w:ascii="Times New Roman" w:hAnsi="Times New Roman" w:cs="Times New Roman"/>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B040E0A">
      <w:pPr>
        <w:rPr>
          <w:rFonts w:ascii="Times New Roman" w:hAnsi="Times New Roman" w:cs="Times New Roman"/>
          <w:sz w:val="24"/>
          <w:szCs w:val="24"/>
        </w:rPr>
      </w:pPr>
      <w:r>
        <w:rPr>
          <w:rFonts w:ascii="Times New Roman" w:hAnsi="Times New Roman" w:cs="Times New Roman"/>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1696DBFF">
      <w:pPr>
        <w:rPr>
          <w:rFonts w:ascii="Times New Roman" w:hAnsi="Times New Roman" w:cs="Times New Roman"/>
          <w:sz w:val="24"/>
          <w:szCs w:val="24"/>
        </w:rPr>
      </w:pPr>
      <w:r>
        <w:rPr>
          <w:rFonts w:ascii="Times New Roman" w:hAnsi="Times New Roman" w:cs="Times New Roman"/>
          <w:sz w:val="24"/>
          <w:szCs w:val="24"/>
        </w:rPr>
        <w:t>5、卖方应当向买方提供货物试验、验收的有关标准、规范和方法，同时提供货物涉及并使用的软件合法性证明。</w:t>
      </w:r>
    </w:p>
    <w:p w14:paraId="64DEE67C">
      <w:pPr>
        <w:rPr>
          <w:rFonts w:ascii="Times New Roman" w:hAnsi="Times New Roman" w:cs="Times New Roman"/>
          <w:sz w:val="24"/>
          <w:szCs w:val="24"/>
        </w:rPr>
      </w:pPr>
      <w:r>
        <w:rPr>
          <w:rFonts w:ascii="Times New Roman" w:hAnsi="Times New Roman" w:cs="Times New Roman"/>
          <w:sz w:val="24"/>
          <w:szCs w:val="24"/>
        </w:rPr>
        <w:t>6、服务缺陷视同货物缺陷和履约延期。</w:t>
      </w:r>
    </w:p>
    <w:p w14:paraId="09BB8AB5">
      <w:pPr>
        <w:rPr>
          <w:rFonts w:ascii="Times New Roman" w:hAnsi="Times New Roman" w:cs="Times New Roman"/>
          <w:b/>
          <w:sz w:val="24"/>
          <w:szCs w:val="24"/>
        </w:rPr>
      </w:pPr>
      <w:r>
        <w:rPr>
          <w:rFonts w:ascii="Times New Roman" w:hAnsi="Times New Roman" w:cs="Times New Roman"/>
          <w:b/>
          <w:sz w:val="24"/>
          <w:szCs w:val="24"/>
        </w:rPr>
        <w:t>四、售后服务</w:t>
      </w:r>
    </w:p>
    <w:p w14:paraId="2A420A78">
      <w:pPr>
        <w:rPr>
          <w:rFonts w:ascii="Times New Roman" w:hAnsi="Times New Roman" w:cs="Times New Roman"/>
          <w:sz w:val="24"/>
          <w:szCs w:val="24"/>
        </w:rPr>
      </w:pPr>
      <w:r>
        <w:rPr>
          <w:rFonts w:ascii="Times New Roman" w:hAnsi="Times New Roman" w:cs="Times New Roman"/>
          <w:sz w:val="24"/>
          <w:szCs w:val="24"/>
        </w:rPr>
        <w:t>1、卖方提供的货物涉及的所有售后服务均由卖方负责。如果发生问题并且收到通知，卖方应当在2小时内予以答复。</w:t>
      </w:r>
    </w:p>
    <w:p w14:paraId="67F037A1">
      <w:pPr>
        <w:rPr>
          <w:rFonts w:ascii="Times New Roman" w:hAnsi="Times New Roman" w:cs="Times New Roman"/>
          <w:sz w:val="24"/>
          <w:szCs w:val="24"/>
        </w:rPr>
      </w:pPr>
      <w:r>
        <w:rPr>
          <w:rFonts w:ascii="Times New Roman" w:hAnsi="Times New Roman" w:cs="Times New Roman"/>
          <w:sz w:val="24"/>
          <w:szCs w:val="24"/>
        </w:rPr>
        <w:t>2、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p>
    <w:p w14:paraId="44BAA8D1">
      <w:pPr>
        <w:rPr>
          <w:rFonts w:ascii="Times New Roman" w:hAnsi="Times New Roman" w:cs="Times New Roman"/>
          <w:sz w:val="24"/>
          <w:szCs w:val="24"/>
        </w:rPr>
      </w:pPr>
      <w:r>
        <w:rPr>
          <w:rFonts w:ascii="Times New Roman" w:hAnsi="Times New Roman" w:cs="Times New Roman"/>
          <w:sz w:val="24"/>
          <w:szCs w:val="24"/>
        </w:rPr>
        <w:t>3、卖方派往买方使用现场的人员，应具有较高的业务素质；现场解决问题时，不得无故拖延或推迟，应为买方提供最佳的服务。</w:t>
      </w:r>
    </w:p>
    <w:p w14:paraId="715F8AC4">
      <w:pPr>
        <w:rPr>
          <w:rFonts w:ascii="Times New Roman" w:hAnsi="Times New Roman" w:cs="Times New Roman"/>
          <w:b/>
          <w:sz w:val="24"/>
          <w:szCs w:val="24"/>
        </w:rPr>
      </w:pPr>
      <w:r>
        <w:rPr>
          <w:rFonts w:ascii="Times New Roman" w:hAnsi="Times New Roman" w:cs="Times New Roman"/>
          <w:b/>
          <w:sz w:val="24"/>
          <w:szCs w:val="24"/>
        </w:rPr>
        <w:t>五、其他服务</w:t>
      </w:r>
    </w:p>
    <w:p w14:paraId="70F4031E">
      <w:pPr>
        <w:rPr>
          <w:rFonts w:ascii="Times New Roman" w:hAnsi="Times New Roman" w:cs="Times New Roman"/>
          <w:sz w:val="24"/>
          <w:szCs w:val="24"/>
        </w:rPr>
      </w:pPr>
      <w:r>
        <w:rPr>
          <w:rFonts w:ascii="Times New Roman" w:hAnsi="Times New Roman" w:cs="Times New Roman"/>
          <w:sz w:val="24"/>
          <w:szCs w:val="24"/>
        </w:rPr>
        <w:t>1、若卖方所提供货物有需要进口的，卖方一般应自行、自费办理；必要时，买卖双方共同办理。</w:t>
      </w:r>
    </w:p>
    <w:p w14:paraId="667B0E00">
      <w:pPr>
        <w:rPr>
          <w:rFonts w:ascii="Times New Roman" w:hAnsi="Times New Roman" w:cs="Times New Roman"/>
          <w:sz w:val="24"/>
          <w:szCs w:val="24"/>
        </w:rPr>
      </w:pPr>
      <w:r>
        <w:rPr>
          <w:rFonts w:ascii="Times New Roman" w:hAnsi="Times New Roman" w:cs="Times New Roman"/>
          <w:sz w:val="24"/>
          <w:szCs w:val="24"/>
        </w:rPr>
        <w:t>2、除招标档、投标档、答疑档、技术协议、合同等约定之外，卖方应免费负责必要的或强制性的货物的检验、试验、化验等直接费用。</w:t>
      </w:r>
    </w:p>
    <w:p w14:paraId="7301C1C4">
      <w:pPr>
        <w:rPr>
          <w:rFonts w:ascii="Times New Roman" w:hAnsi="Times New Roman" w:cs="Times New Roman"/>
          <w:sz w:val="24"/>
          <w:szCs w:val="24"/>
        </w:rPr>
      </w:pPr>
      <w:r>
        <w:rPr>
          <w:rFonts w:ascii="Times New Roman" w:hAnsi="Times New Roman" w:cs="Times New Roman"/>
          <w:sz w:val="24"/>
          <w:szCs w:val="24"/>
        </w:rPr>
        <w:t>3、本章节条款所列“免费”，并非指定不可收费，而是指招标档、投标档、答疑档、技术交流档、技术协议书和合同等范围之外，投标方不可另行收取的费用。</w:t>
      </w:r>
    </w:p>
    <w:p w14:paraId="16C77893">
      <w:pPr>
        <w:jc w:val="center"/>
        <w:rPr>
          <w:rFonts w:ascii="Times New Roman" w:hAnsi="Times New Roman" w:cs="Times New Roman"/>
          <w:b/>
          <w:sz w:val="28"/>
          <w:szCs w:val="28"/>
        </w:rPr>
      </w:pPr>
      <w:r>
        <w:rPr>
          <w:rFonts w:ascii="Times New Roman" w:hAnsi="Times New Roman" w:cs="Times New Roman"/>
          <w:b/>
          <w:sz w:val="28"/>
          <w:szCs w:val="28"/>
        </w:rPr>
        <w:t>第五章  预验收和终验收</w:t>
      </w:r>
    </w:p>
    <w:p w14:paraId="77D1058F">
      <w:pPr>
        <w:rPr>
          <w:rFonts w:ascii="Times New Roman" w:hAnsi="Times New Roman" w:cs="Times New Roman"/>
          <w:b/>
          <w:sz w:val="24"/>
          <w:szCs w:val="24"/>
        </w:rPr>
      </w:pPr>
      <w:r>
        <w:rPr>
          <w:rFonts w:ascii="Times New Roman" w:hAnsi="Times New Roman" w:cs="Times New Roman"/>
          <w:b/>
          <w:sz w:val="24"/>
          <w:szCs w:val="24"/>
        </w:rPr>
        <w:t>一、验收依据和验收标准</w:t>
      </w:r>
    </w:p>
    <w:p w14:paraId="47589E3A">
      <w:pPr>
        <w:rPr>
          <w:rFonts w:ascii="Times New Roman" w:hAnsi="Times New Roman" w:cs="Times New Roman"/>
          <w:sz w:val="24"/>
          <w:szCs w:val="24"/>
        </w:rPr>
      </w:pPr>
      <w:r>
        <w:rPr>
          <w:rFonts w:ascii="Times New Roman" w:hAnsi="Times New Roman" w:cs="Times New Roman"/>
          <w:sz w:val="24"/>
          <w:szCs w:val="24"/>
        </w:rPr>
        <w:t>1、验收标准一般以技术协议书和合同规定验收。无论技术协议书和合同，是否全部并准确列明验收所涉及的相关标准，均作为验收标准之一。</w:t>
      </w:r>
    </w:p>
    <w:p w14:paraId="63E217D6">
      <w:pPr>
        <w:rPr>
          <w:rFonts w:ascii="Times New Roman" w:hAnsi="Times New Roman" w:cs="Times New Roman"/>
          <w:sz w:val="24"/>
          <w:szCs w:val="24"/>
        </w:rPr>
      </w:pPr>
      <w:r>
        <w:rPr>
          <w:rFonts w:ascii="Times New Roman" w:hAnsi="Times New Roman" w:cs="Times New Roman"/>
          <w:sz w:val="24"/>
          <w:szCs w:val="24"/>
        </w:rPr>
        <w:t>2、如果验收过程中，发现招标档、投标档、答疑档、技术交流档等与技术协议书、合同存在差异，原则上以涉及条款中对买方最有利条款为验收依据。</w:t>
      </w:r>
    </w:p>
    <w:p w14:paraId="7AB10DC8">
      <w:pPr>
        <w:rPr>
          <w:rFonts w:ascii="Times New Roman" w:hAnsi="Times New Roman" w:cs="Times New Roman"/>
          <w:b/>
          <w:sz w:val="24"/>
          <w:szCs w:val="24"/>
        </w:rPr>
      </w:pPr>
      <w:r>
        <w:rPr>
          <w:rFonts w:ascii="Times New Roman" w:hAnsi="Times New Roman" w:cs="Times New Roman"/>
          <w:b/>
          <w:sz w:val="24"/>
          <w:szCs w:val="24"/>
        </w:rPr>
        <w:t>二、检验</w:t>
      </w:r>
    </w:p>
    <w:p w14:paraId="335532FC">
      <w:pPr>
        <w:jc w:val="both"/>
        <w:rPr>
          <w:rFonts w:ascii="Times New Roman" w:hAnsi="Times New Roman" w:cs="Times New Roman"/>
          <w:sz w:val="24"/>
          <w:szCs w:val="24"/>
        </w:rPr>
      </w:pPr>
      <w:r>
        <w:rPr>
          <w:rFonts w:ascii="Times New Roman" w:hAnsi="Times New Roman" w:cs="Times New Roman"/>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13DCE5C9">
      <w:pPr>
        <w:jc w:val="both"/>
        <w:rPr>
          <w:rFonts w:ascii="Times New Roman" w:hAnsi="Times New Roman" w:cs="Times New Roman"/>
          <w:sz w:val="24"/>
          <w:szCs w:val="24"/>
        </w:rPr>
      </w:pPr>
      <w:r>
        <w:rPr>
          <w:rFonts w:ascii="Times New Roman" w:hAnsi="Times New Roman" w:cs="Times New Roman"/>
          <w:sz w:val="24"/>
          <w:szCs w:val="24"/>
        </w:rPr>
        <w:t>1、国产货物的检验一般由买卖双方共同进行或按照合同要求进行。</w:t>
      </w:r>
    </w:p>
    <w:p w14:paraId="1E69212E">
      <w:pPr>
        <w:jc w:val="both"/>
        <w:rPr>
          <w:rFonts w:ascii="Times New Roman" w:hAnsi="Times New Roman" w:cs="Times New Roman"/>
          <w:sz w:val="24"/>
          <w:szCs w:val="24"/>
        </w:rPr>
      </w:pPr>
      <w:r>
        <w:rPr>
          <w:rFonts w:ascii="Times New Roman" w:hAnsi="Times New Roman" w:cs="Times New Roman"/>
          <w:sz w:val="24"/>
          <w:szCs w:val="24"/>
        </w:rPr>
        <w:t>2、进口货物的检验，卖方需要按照下述要求进行：</w:t>
      </w:r>
    </w:p>
    <w:p w14:paraId="531412DD">
      <w:pPr>
        <w:jc w:val="both"/>
        <w:rPr>
          <w:rFonts w:ascii="Times New Roman" w:hAnsi="Times New Roman" w:cs="Times New Roman"/>
          <w:sz w:val="24"/>
          <w:szCs w:val="24"/>
        </w:rPr>
      </w:pPr>
      <w:r>
        <w:rPr>
          <w:rFonts w:ascii="Times New Roman" w:hAnsi="Times New Roman" w:cs="Times New Roman"/>
          <w:sz w:val="24"/>
          <w:szCs w:val="24"/>
        </w:rPr>
        <w:t>2.1  进口货物发货前，应对货物的质量、型号、规格、性能和数量/重量作精密、全面的检验，并出具证明书，证明所供货物符合合同规定。</w:t>
      </w:r>
    </w:p>
    <w:p w14:paraId="345CB578">
      <w:pPr>
        <w:jc w:val="both"/>
        <w:rPr>
          <w:rFonts w:ascii="Times New Roman" w:hAnsi="Times New Roman" w:cs="Times New Roman"/>
          <w:sz w:val="24"/>
          <w:szCs w:val="24"/>
        </w:rPr>
      </w:pPr>
      <w:r>
        <w:rPr>
          <w:rFonts w:ascii="Times New Roman" w:hAnsi="Times New Roman" w:cs="Times New Roman"/>
          <w:sz w:val="24"/>
          <w:szCs w:val="24"/>
        </w:rPr>
        <w:t>2.2  应依据合同规定的要求，提供买卖双方达成一致的货物的验收标准和装箱单，作为买方检验的依据。</w:t>
      </w:r>
    </w:p>
    <w:p w14:paraId="18A728A4">
      <w:pPr>
        <w:jc w:val="both"/>
        <w:rPr>
          <w:rFonts w:ascii="Times New Roman" w:hAnsi="Times New Roman" w:cs="Times New Roman"/>
          <w:sz w:val="24"/>
          <w:szCs w:val="24"/>
        </w:rPr>
      </w:pPr>
      <w:r>
        <w:rPr>
          <w:rFonts w:ascii="Times New Roman" w:hAnsi="Times New Roman" w:cs="Times New Roman"/>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7051C00">
      <w:pPr>
        <w:rPr>
          <w:rFonts w:ascii="Times New Roman" w:hAnsi="Times New Roman" w:cs="Times New Roman"/>
          <w:b/>
          <w:sz w:val="24"/>
          <w:szCs w:val="24"/>
        </w:rPr>
      </w:pPr>
      <w:r>
        <w:rPr>
          <w:rFonts w:ascii="Times New Roman" w:hAnsi="Times New Roman" w:cs="Times New Roman"/>
          <w:b/>
          <w:sz w:val="24"/>
          <w:szCs w:val="24"/>
        </w:rPr>
        <w:t>三、验收基本条件</w:t>
      </w:r>
    </w:p>
    <w:p w14:paraId="30303DC8">
      <w:pPr>
        <w:rPr>
          <w:rFonts w:ascii="Times New Roman" w:hAnsi="Times New Roman" w:cs="Times New Roman"/>
          <w:sz w:val="24"/>
          <w:szCs w:val="24"/>
        </w:rPr>
      </w:pPr>
      <w:r>
        <w:rPr>
          <w:rFonts w:ascii="Times New Roman" w:hAnsi="Times New Roman" w:cs="Times New Roman"/>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5C7B9FD">
      <w:pPr>
        <w:rPr>
          <w:rFonts w:ascii="Times New Roman" w:hAnsi="Times New Roman" w:cs="Times New Roman"/>
          <w:sz w:val="24"/>
          <w:szCs w:val="24"/>
        </w:rPr>
      </w:pPr>
      <w:r>
        <w:rPr>
          <w:rFonts w:ascii="Times New Roman" w:hAnsi="Times New Roman" w:cs="Times New Roman"/>
          <w:sz w:val="24"/>
          <w:szCs w:val="24"/>
        </w:rPr>
        <w:t>买卖双方按照合同约定执行了合同，同时货物完成了试运行并经检验合格，则具备验收条件。</w:t>
      </w:r>
    </w:p>
    <w:p w14:paraId="11DBCB42">
      <w:pPr>
        <w:rPr>
          <w:rFonts w:ascii="Times New Roman" w:hAnsi="Times New Roman" w:cs="Times New Roman"/>
          <w:sz w:val="24"/>
          <w:szCs w:val="24"/>
        </w:rPr>
      </w:pPr>
      <w:r>
        <w:rPr>
          <w:rFonts w:ascii="Times New Roman" w:hAnsi="Times New Roman" w:cs="Times New Roman"/>
          <w:sz w:val="24"/>
          <w:szCs w:val="24"/>
        </w:rPr>
        <w:t>1、预验收一般条件</w:t>
      </w:r>
    </w:p>
    <w:p w14:paraId="6BD4E697">
      <w:pPr>
        <w:rPr>
          <w:rFonts w:ascii="Times New Roman" w:hAnsi="Times New Roman" w:cs="Times New Roman"/>
          <w:sz w:val="24"/>
          <w:szCs w:val="24"/>
        </w:rPr>
      </w:pPr>
      <w:r>
        <w:rPr>
          <w:rFonts w:ascii="Times New Roman" w:hAnsi="Times New Roman" w:cs="Times New Roman"/>
          <w:sz w:val="24"/>
          <w:szCs w:val="24"/>
        </w:rPr>
        <w:t>1.1  卖方已经按照“供货范围”要求提供了预验收资料，并且资料齐全、完整和有效。</w:t>
      </w:r>
    </w:p>
    <w:p w14:paraId="4BDD19F9">
      <w:pPr>
        <w:rPr>
          <w:rFonts w:ascii="Times New Roman" w:hAnsi="Times New Roman" w:cs="Times New Roman"/>
          <w:sz w:val="24"/>
          <w:szCs w:val="24"/>
        </w:rPr>
      </w:pPr>
      <w:r>
        <w:rPr>
          <w:rFonts w:ascii="Times New Roman" w:hAnsi="Times New Roman" w:cs="Times New Roman"/>
          <w:sz w:val="24"/>
          <w:szCs w:val="24"/>
        </w:rPr>
        <w:t>1.2  货物应完整且所有的零部件应该安装牢固，外观无损伤，所有的焊缝饱满、无残渣等缺陷。</w:t>
      </w:r>
    </w:p>
    <w:p w14:paraId="3EA63C00">
      <w:pPr>
        <w:rPr>
          <w:rFonts w:ascii="Times New Roman" w:hAnsi="Times New Roman" w:cs="Times New Roman"/>
          <w:sz w:val="24"/>
          <w:szCs w:val="24"/>
        </w:rPr>
      </w:pPr>
      <w:r>
        <w:rPr>
          <w:rFonts w:ascii="Times New Roman" w:hAnsi="Times New Roman" w:cs="Times New Roman"/>
          <w:sz w:val="24"/>
          <w:szCs w:val="24"/>
        </w:rPr>
        <w:t>1.3  一般情况下，所有的管路和线缆等，接头应完全正确、可靠地联接；应排列有序（正确、牢固、整齐），有必要的防护，无皱褶、收缩和裂缝等不良现象。</w:t>
      </w:r>
    </w:p>
    <w:p w14:paraId="35D15838">
      <w:pPr>
        <w:rPr>
          <w:rFonts w:ascii="Times New Roman" w:hAnsi="Times New Roman" w:cs="Times New Roman"/>
          <w:sz w:val="24"/>
          <w:szCs w:val="24"/>
        </w:rPr>
      </w:pPr>
      <w:r>
        <w:rPr>
          <w:rFonts w:ascii="Times New Roman" w:hAnsi="Times New Roman" w:cs="Times New Roman"/>
          <w:sz w:val="24"/>
          <w:szCs w:val="24"/>
        </w:rPr>
        <w:t>1.4  使用的压力容器、电气等应具备合格证（如果有压力容器）。</w:t>
      </w:r>
    </w:p>
    <w:p w14:paraId="0F383000">
      <w:pPr>
        <w:rPr>
          <w:rFonts w:ascii="Times New Roman" w:hAnsi="Times New Roman" w:cs="Times New Roman"/>
          <w:sz w:val="24"/>
          <w:szCs w:val="24"/>
        </w:rPr>
      </w:pPr>
      <w:r>
        <w:rPr>
          <w:rFonts w:ascii="Times New Roman" w:hAnsi="Times New Roman" w:cs="Times New Roman"/>
          <w:sz w:val="24"/>
          <w:szCs w:val="24"/>
        </w:rPr>
        <w:t>1.5  货物的油漆质量应饱满、有光泽，无掉漆、无色差、无“桔皮”等不良现象（特殊标志除外）。</w:t>
      </w:r>
    </w:p>
    <w:p w14:paraId="510527F5">
      <w:pPr>
        <w:rPr>
          <w:rFonts w:ascii="Times New Roman" w:hAnsi="Times New Roman" w:cs="Times New Roman"/>
          <w:sz w:val="24"/>
          <w:szCs w:val="24"/>
        </w:rPr>
      </w:pPr>
      <w:r>
        <w:rPr>
          <w:rFonts w:ascii="Times New Roman" w:hAnsi="Times New Roman" w:cs="Times New Roman"/>
          <w:sz w:val="24"/>
          <w:szCs w:val="24"/>
        </w:rPr>
        <w:t>1.6  货物标牌完整、清晰、明确。</w:t>
      </w:r>
    </w:p>
    <w:p w14:paraId="7EABC373">
      <w:pPr>
        <w:rPr>
          <w:rFonts w:ascii="Times New Roman" w:hAnsi="Times New Roman" w:cs="Times New Roman"/>
          <w:sz w:val="24"/>
          <w:szCs w:val="24"/>
        </w:rPr>
      </w:pPr>
      <w:r>
        <w:rPr>
          <w:rFonts w:ascii="Times New Roman" w:hAnsi="Times New Roman" w:cs="Times New Roman"/>
          <w:sz w:val="24"/>
          <w:szCs w:val="24"/>
        </w:rPr>
        <w:t>1.7  货物的安全要求符合中国最新的相关法律、法规、标准和规范以及合同要求。</w:t>
      </w:r>
    </w:p>
    <w:p w14:paraId="1ABE8BDE">
      <w:pPr>
        <w:rPr>
          <w:rFonts w:ascii="Times New Roman" w:hAnsi="Times New Roman" w:cs="Times New Roman"/>
          <w:sz w:val="24"/>
          <w:szCs w:val="24"/>
        </w:rPr>
      </w:pPr>
      <w:r>
        <w:rPr>
          <w:rFonts w:ascii="Times New Roman" w:hAnsi="Times New Roman" w:cs="Times New Roman"/>
          <w:sz w:val="24"/>
          <w:szCs w:val="24"/>
        </w:rPr>
        <w:t>1.8  设备（或材料）应运行灵活、稳定、可靠、安全，无异常声音和非正常振动，设备不允许出现漏水、漏液、漏气（汽）、漏电。</w:t>
      </w:r>
    </w:p>
    <w:p w14:paraId="4201BBCC">
      <w:pPr>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预验收基本要求</w:t>
      </w:r>
    </w:p>
    <w:p w14:paraId="5FEF09D7">
      <w:pPr>
        <w:rPr>
          <w:rFonts w:ascii="Times New Roman" w:hAnsi="Times New Roman" w:cs="Times New Roman"/>
          <w:sz w:val="24"/>
          <w:szCs w:val="24"/>
        </w:rPr>
      </w:pPr>
      <w:r>
        <w:rPr>
          <w:rFonts w:ascii="Times New Roman" w:hAnsi="Times New Roman" w:cs="Times New Roman"/>
          <w:sz w:val="24"/>
          <w:szCs w:val="24"/>
        </w:rPr>
        <w:t>2.1  设备构成、备件齐全</w:t>
      </w:r>
    </w:p>
    <w:p w14:paraId="4378C7BC">
      <w:pPr>
        <w:rPr>
          <w:rFonts w:ascii="Times New Roman" w:hAnsi="Times New Roman" w:cs="Times New Roman"/>
          <w:sz w:val="24"/>
          <w:szCs w:val="24"/>
        </w:rPr>
      </w:pPr>
      <w:r>
        <w:rPr>
          <w:rFonts w:ascii="Times New Roman" w:hAnsi="Times New Roman" w:cs="Times New Roman"/>
          <w:sz w:val="24"/>
          <w:szCs w:val="24"/>
        </w:rPr>
        <w:t>2.2  设备技术原理符合标书要求</w:t>
      </w:r>
    </w:p>
    <w:p w14:paraId="392D45E2">
      <w:pPr>
        <w:rPr>
          <w:rFonts w:ascii="Times New Roman" w:hAnsi="Times New Roman" w:cs="Times New Roman"/>
          <w:sz w:val="24"/>
          <w:szCs w:val="24"/>
        </w:rPr>
      </w:pPr>
      <w:r>
        <w:rPr>
          <w:rFonts w:ascii="Times New Roman" w:hAnsi="Times New Roman" w:cs="Times New Roman"/>
          <w:sz w:val="24"/>
          <w:szCs w:val="24"/>
        </w:rPr>
        <w:t>2.3  预验收原则上要求一次完成。若一次验收不成功，最多允许两次；如果出现第三次验收失败，重新作价或退货；</w:t>
      </w:r>
    </w:p>
    <w:p w14:paraId="59A83790">
      <w:pP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w:t>
      </w:r>
      <w:r>
        <w:rPr>
          <w:rFonts w:ascii="Times New Roman" w:hAnsi="Times New Roman" w:cs="Times New Roman"/>
          <w:sz w:val="24"/>
          <w:szCs w:val="24"/>
        </w:rPr>
        <w:t>终验收一般条件</w:t>
      </w:r>
    </w:p>
    <w:p w14:paraId="7D6EADA5">
      <w:pPr>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.1 依据招标档、投标档、答疑档、技术交流档等形成并达成一致的技术协议书和合同规定的终验收条件验收。</w:t>
      </w:r>
    </w:p>
    <w:p w14:paraId="43755335">
      <w:pPr>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.2 出现下列问题之一，视作验收失败：</w:t>
      </w:r>
    </w:p>
    <w:p w14:paraId="2F1F0AF9">
      <w:pPr>
        <w:rPr>
          <w:rFonts w:ascii="Times New Roman" w:hAnsi="Times New Roman" w:cs="Times New Roman"/>
          <w:sz w:val="24"/>
          <w:szCs w:val="24"/>
        </w:rPr>
      </w:pPr>
      <w:r>
        <w:rPr>
          <w:rFonts w:ascii="Times New Roman" w:hAnsi="Times New Roman" w:cs="Times New Roman"/>
          <w:sz w:val="24"/>
          <w:szCs w:val="24"/>
        </w:rPr>
        <w:t>3.2.1 设备验收时，其参数无法满足招标书中的技术要求。</w:t>
      </w:r>
    </w:p>
    <w:p w14:paraId="10340A23">
      <w:pPr>
        <w:rPr>
          <w:rFonts w:ascii="Times New Roman" w:hAnsi="Times New Roman" w:cs="Times New Roman"/>
          <w:sz w:val="24"/>
          <w:szCs w:val="24"/>
        </w:rPr>
      </w:pPr>
      <w:r>
        <w:rPr>
          <w:rFonts w:ascii="Times New Roman" w:hAnsi="Times New Roman" w:cs="Times New Roman"/>
          <w:sz w:val="24"/>
          <w:szCs w:val="24"/>
        </w:rPr>
        <w:t>3.2.2 在整个验收过程中发生关键零部件损坏或重大故障；</w:t>
      </w:r>
    </w:p>
    <w:p w14:paraId="5F2AC6F2">
      <w:pPr>
        <w:rPr>
          <w:rFonts w:ascii="Times New Roman" w:hAnsi="Times New Roman" w:cs="Times New Roman"/>
          <w:sz w:val="24"/>
          <w:szCs w:val="24"/>
        </w:rPr>
      </w:pPr>
      <w:r>
        <w:rPr>
          <w:rFonts w:ascii="Times New Roman" w:hAnsi="Times New Roman" w:cs="Times New Roman"/>
          <w:sz w:val="24"/>
          <w:szCs w:val="24"/>
        </w:rPr>
        <w:t>3.2.3 更换的零部件货值超过总货值的1%。</w:t>
      </w:r>
    </w:p>
    <w:p w14:paraId="4A6AECD9">
      <w:pPr>
        <w:rPr>
          <w:rFonts w:ascii="Times New Roman" w:hAnsi="Times New Roman" w:cs="Times New Roman"/>
          <w:sz w:val="24"/>
          <w:szCs w:val="24"/>
        </w:rPr>
      </w:pPr>
      <w:r>
        <w:rPr>
          <w:rFonts w:ascii="Times New Roman" w:hAnsi="Times New Roman" w:cs="Times New Roman"/>
          <w:sz w:val="24"/>
          <w:szCs w:val="24"/>
        </w:rPr>
        <w:t>3.3 累计负载运行实际性能（或生产率）达不到合同规定；</w:t>
      </w:r>
    </w:p>
    <w:p w14:paraId="0F4DA771">
      <w:pPr>
        <w:rPr>
          <w:rFonts w:ascii="Times New Roman" w:hAnsi="Times New Roman" w:cs="Times New Roman"/>
          <w:sz w:val="24"/>
          <w:szCs w:val="24"/>
        </w:rPr>
      </w:pPr>
      <w:r>
        <w:rPr>
          <w:rFonts w:ascii="Times New Roman" w:hAnsi="Times New Roman" w:cs="Times New Roman"/>
          <w:sz w:val="24"/>
          <w:szCs w:val="24"/>
        </w:rPr>
        <w:t>3.4 终验收原则上要求一次完成。若一次验收不成功，最多允许两次；如果出现第三次验收失败，重新作价或退货；</w:t>
      </w:r>
    </w:p>
    <w:p w14:paraId="15D077E0">
      <w:pPr>
        <w:rPr>
          <w:rFonts w:ascii="Times New Roman" w:hAnsi="Times New Roman" w:cs="Times New Roman"/>
          <w:sz w:val="24"/>
          <w:szCs w:val="24"/>
        </w:rPr>
      </w:pPr>
      <w:r>
        <w:rPr>
          <w:rFonts w:ascii="Times New Roman" w:hAnsi="Times New Roman" w:cs="Times New Roman"/>
          <w:sz w:val="24"/>
          <w:szCs w:val="24"/>
        </w:rPr>
        <w:t>3.5 终验收通过后买卖双方共同签署终验收报告，并移交、核对全部供货范围内物品。</w:t>
      </w:r>
    </w:p>
    <w:p w14:paraId="49C397CB">
      <w:pPr>
        <w:jc w:val="center"/>
        <w:rPr>
          <w:rFonts w:ascii="Times New Roman" w:hAnsi="Times New Roman" w:cs="Times New Roman"/>
          <w:b/>
          <w:sz w:val="28"/>
          <w:szCs w:val="28"/>
        </w:rPr>
      </w:pPr>
      <w:r>
        <w:rPr>
          <w:rFonts w:ascii="Times New Roman" w:hAnsi="Times New Roman" w:cs="Times New Roman"/>
          <w:b/>
          <w:sz w:val="28"/>
          <w:szCs w:val="28"/>
        </w:rPr>
        <w:t>第六章  投标技术档一般要求</w:t>
      </w:r>
    </w:p>
    <w:p w14:paraId="07390CE3">
      <w:pPr>
        <w:rPr>
          <w:rFonts w:ascii="Times New Roman" w:hAnsi="Times New Roman" w:cs="Times New Roman"/>
          <w:b/>
          <w:sz w:val="24"/>
          <w:szCs w:val="24"/>
        </w:rPr>
      </w:pPr>
      <w:r>
        <w:rPr>
          <w:rFonts w:ascii="Times New Roman" w:hAnsi="Times New Roman" w:cs="Times New Roman"/>
          <w:b/>
          <w:sz w:val="24"/>
          <w:szCs w:val="24"/>
        </w:rPr>
        <w:t>一、技术档一般内容要求</w:t>
      </w:r>
    </w:p>
    <w:p w14:paraId="21232D5A">
      <w:pPr>
        <w:rPr>
          <w:rFonts w:ascii="Times New Roman" w:hAnsi="Times New Roman" w:cs="Times New Roman"/>
          <w:sz w:val="24"/>
          <w:szCs w:val="24"/>
        </w:rPr>
      </w:pPr>
      <w:r>
        <w:rPr>
          <w:rFonts w:ascii="Times New Roman" w:hAnsi="Times New Roman" w:cs="Times New Roman"/>
          <w:sz w:val="24"/>
          <w:szCs w:val="24"/>
        </w:rPr>
        <w:t>1、投标方应认真阅读招标档和本技术标书，并按要求编写投标技术档。</w:t>
      </w:r>
    </w:p>
    <w:p w14:paraId="573F3953">
      <w:pPr>
        <w:rPr>
          <w:rFonts w:ascii="Times New Roman" w:hAnsi="Times New Roman" w:cs="Times New Roman"/>
          <w:sz w:val="24"/>
          <w:szCs w:val="24"/>
        </w:rPr>
      </w:pPr>
      <w:r>
        <w:rPr>
          <w:rFonts w:ascii="Times New Roman" w:hAnsi="Times New Roman" w:cs="Times New Roman"/>
          <w:sz w:val="24"/>
          <w:szCs w:val="24"/>
        </w:rPr>
        <w:t>2、投标技术档至少应对投标货物的功能用途、技术性能、质量标准、技术参数等作出详细说明。</w:t>
      </w:r>
    </w:p>
    <w:p w14:paraId="25C36B6E">
      <w:pPr>
        <w:rPr>
          <w:rFonts w:ascii="Times New Roman" w:hAnsi="Times New Roman" w:cs="Times New Roman"/>
          <w:sz w:val="24"/>
          <w:szCs w:val="24"/>
        </w:rPr>
      </w:pPr>
      <w:r>
        <w:rPr>
          <w:rFonts w:ascii="Times New Roman" w:hAnsi="Times New Roman" w:cs="Times New Roman"/>
          <w:sz w:val="24"/>
          <w:szCs w:val="24"/>
        </w:rPr>
        <w:t>3、投标技术档至少应根据投标货物的关键设备、总成、零部件或系统作出满足或优于招标档要求的详细说明。</w:t>
      </w:r>
    </w:p>
    <w:p w14:paraId="22E16695">
      <w:pPr>
        <w:rPr>
          <w:rFonts w:ascii="Times New Roman" w:hAnsi="Times New Roman" w:cs="Times New Roman"/>
          <w:sz w:val="24"/>
          <w:szCs w:val="24"/>
        </w:rPr>
      </w:pPr>
      <w:r>
        <w:rPr>
          <w:rFonts w:ascii="Times New Roman" w:hAnsi="Times New Roman" w:cs="Times New Roman"/>
          <w:sz w:val="24"/>
          <w:szCs w:val="24"/>
        </w:rPr>
        <w:t>4、投标技术档至少应按照招标档要求（或投标方建议）列明备品备件、易损件和专用耗材明细。</w:t>
      </w:r>
    </w:p>
    <w:p w14:paraId="331D782F">
      <w:pPr>
        <w:rPr>
          <w:rFonts w:ascii="Times New Roman" w:hAnsi="Times New Roman" w:cs="Times New Roman"/>
          <w:sz w:val="24"/>
          <w:szCs w:val="24"/>
        </w:rPr>
      </w:pPr>
      <w:r>
        <w:rPr>
          <w:rFonts w:ascii="Times New Roman" w:hAnsi="Times New Roman" w:cs="Times New Roman"/>
          <w:sz w:val="24"/>
          <w:szCs w:val="24"/>
        </w:rPr>
        <w:t>5、投标方应当而且必须分别说明所列备品备件、易损件和专用耗材的使用寿命（以有效工作小时数说明）。</w:t>
      </w:r>
    </w:p>
    <w:p w14:paraId="780325DD">
      <w:pPr>
        <w:rPr>
          <w:rFonts w:ascii="Times New Roman" w:hAnsi="Times New Roman" w:cs="Times New Roman"/>
          <w:sz w:val="24"/>
          <w:szCs w:val="24"/>
        </w:rPr>
      </w:pPr>
      <w:r>
        <w:rPr>
          <w:rFonts w:ascii="Times New Roman" w:hAnsi="Times New Roman" w:cs="Times New Roman"/>
          <w:sz w:val="24"/>
          <w:szCs w:val="24"/>
        </w:rPr>
        <w:t>6、“开标一览表”和“明细表”仅作为投标方编制投标技术档的一般格式。其中序号编写应当便于招标方了解分类或分项货物之间的所属关系，如1、1.1、1.2。</w:t>
      </w:r>
    </w:p>
    <w:p w14:paraId="4FA76D0F">
      <w:pPr>
        <w:rPr>
          <w:rFonts w:ascii="Times New Roman" w:hAnsi="Times New Roman" w:cs="Times New Roman"/>
          <w:sz w:val="24"/>
          <w:szCs w:val="24"/>
        </w:rPr>
      </w:pPr>
      <w:r>
        <w:rPr>
          <w:rFonts w:ascii="Times New Roman" w:hAnsi="Times New Roman" w:cs="Times New Roman"/>
          <w:sz w:val="24"/>
          <w:szCs w:val="24"/>
        </w:rPr>
        <w:t>7、应当尽可能将货物的配置列全、列细，这将有助于投标方胜出。</w:t>
      </w:r>
    </w:p>
    <w:p w14:paraId="473D62FE">
      <w:pPr>
        <w:rPr>
          <w:rFonts w:ascii="Times New Roman" w:hAnsi="Times New Roman" w:cs="Times New Roman"/>
          <w:sz w:val="24"/>
          <w:szCs w:val="24"/>
        </w:rPr>
      </w:pPr>
      <w:r>
        <w:rPr>
          <w:rFonts w:ascii="Times New Roman" w:hAnsi="Times New Roman" w:cs="Times New Roman"/>
          <w:sz w:val="24"/>
          <w:szCs w:val="24"/>
        </w:rPr>
        <w:t>8、单价与总价之间、总价与分类小计价之间、分类小计价与合计价之间数据应当齐全而且准确。</w:t>
      </w:r>
    </w:p>
    <w:p w14:paraId="20549715">
      <w:pPr>
        <w:rPr>
          <w:rFonts w:ascii="Times New Roman" w:hAnsi="Times New Roman" w:cs="Times New Roman"/>
          <w:sz w:val="24"/>
          <w:szCs w:val="24"/>
        </w:rPr>
      </w:pPr>
      <w:r>
        <w:rPr>
          <w:rFonts w:ascii="Times New Roman" w:hAnsi="Times New Roman" w:cs="Times New Roman"/>
          <w:sz w:val="24"/>
          <w:szCs w:val="24"/>
        </w:rPr>
        <w:t>9、本条款表格中的制造商，应当为全称或公认的简称。</w:t>
      </w:r>
    </w:p>
    <w:p w14:paraId="0DD27892">
      <w:pPr>
        <w:rPr>
          <w:rFonts w:ascii="Times New Roman" w:hAnsi="Times New Roman" w:cs="Times New Roman"/>
          <w:b/>
          <w:sz w:val="24"/>
          <w:szCs w:val="24"/>
        </w:rPr>
      </w:pPr>
      <w:r>
        <w:rPr>
          <w:rFonts w:ascii="Times New Roman" w:hAnsi="Times New Roman" w:cs="Times New Roman"/>
          <w:b/>
          <w:sz w:val="24"/>
          <w:szCs w:val="24"/>
        </w:rPr>
        <w:t>二、技术档中货物报价格式要求</w:t>
      </w:r>
    </w:p>
    <w:p w14:paraId="4C9342AE">
      <w:pPr>
        <w:rPr>
          <w:rFonts w:ascii="Times New Roman" w:hAnsi="Times New Roman" w:cs="Times New Roman"/>
          <w:sz w:val="24"/>
          <w:szCs w:val="24"/>
        </w:rPr>
      </w:pPr>
      <w:r>
        <w:rPr>
          <w:rFonts w:ascii="Times New Roman" w:hAnsi="Times New Roman" w:cs="Times New Roman"/>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20905C6F">
      <w:pPr>
        <w:rPr>
          <w:rFonts w:ascii="Times New Roman" w:hAnsi="Times New Roman" w:cs="Times New Roman"/>
          <w:sz w:val="24"/>
          <w:szCs w:val="24"/>
        </w:rPr>
      </w:pPr>
      <w:r>
        <w:rPr>
          <w:rFonts w:ascii="Times New Roman" w:hAnsi="Times New Roman" w:cs="Times New Roman"/>
          <w:sz w:val="24"/>
          <w:szCs w:val="24"/>
        </w:rPr>
        <w:t>2、如果投标总报价与其它价格出现错误或不一致，将有可能导致废标。</w:t>
      </w:r>
    </w:p>
    <w:p w14:paraId="7A84BADA">
      <w:pPr>
        <w:rPr>
          <w:rFonts w:ascii="Times New Roman" w:hAnsi="Times New Roman" w:cs="Times New Roman"/>
          <w:sz w:val="24"/>
          <w:szCs w:val="24"/>
        </w:rPr>
      </w:pPr>
      <w:r>
        <w:rPr>
          <w:rFonts w:ascii="Times New Roman" w:hAnsi="Times New Roman" w:cs="Times New Roman"/>
          <w:sz w:val="24"/>
          <w:szCs w:val="24"/>
        </w:rPr>
        <w:t>3、投标总报价为自合同签定生效至合同无异议执行完毕涉及的买方需要支付的全部费用。如投标方认为本招标及投标货物涉及特需或专门的设计，应当单独列明设计费。</w:t>
      </w:r>
    </w:p>
    <w:p w14:paraId="772839B1">
      <w:pPr>
        <w:rPr>
          <w:rFonts w:ascii="Times New Roman" w:hAnsi="Times New Roman" w:cs="Times New Roman"/>
          <w:sz w:val="24"/>
          <w:szCs w:val="24"/>
        </w:rPr>
      </w:pPr>
      <w:r>
        <w:rPr>
          <w:rFonts w:ascii="Times New Roman" w:hAnsi="Times New Roman" w:cs="Times New Roman"/>
          <w:sz w:val="24"/>
          <w:szCs w:val="24"/>
        </w:rPr>
        <w:t>4、要求投标总报价、分项报价、明细报价之间应当具有相互间对应关系以及填报分项和明细报价，仅为便于评标而不妨碍投标人以最合适的形式签署合同。</w:t>
      </w:r>
    </w:p>
    <w:p w14:paraId="1E8BBC68">
      <w:pPr>
        <w:rPr>
          <w:rFonts w:ascii="Times New Roman" w:hAnsi="Times New Roman" w:cs="Times New Roman"/>
          <w:b/>
          <w:sz w:val="24"/>
          <w:szCs w:val="24"/>
        </w:rPr>
      </w:pPr>
      <w:r>
        <w:rPr>
          <w:rFonts w:ascii="Times New Roman" w:hAnsi="Times New Roman" w:cs="Times New Roman"/>
          <w:b/>
          <w:sz w:val="24"/>
          <w:szCs w:val="24"/>
        </w:rPr>
        <w:t>三、验收标准及内容要求</w:t>
      </w:r>
    </w:p>
    <w:p w14:paraId="5DFA6C2F">
      <w:pPr>
        <w:rPr>
          <w:rFonts w:ascii="Times New Roman" w:hAnsi="Times New Roman" w:cs="Times New Roman"/>
          <w:sz w:val="24"/>
          <w:szCs w:val="24"/>
        </w:rPr>
      </w:pPr>
      <w:r>
        <w:rPr>
          <w:rFonts w:ascii="Times New Roman" w:hAnsi="Times New Roman" w:cs="Times New Roman"/>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50B7380A">
      <w:pPr>
        <w:jc w:val="center"/>
        <w:rPr>
          <w:rFonts w:ascii="Times New Roman" w:hAnsi="Times New Roman" w:cs="Times New Roman"/>
          <w:b/>
          <w:sz w:val="28"/>
          <w:szCs w:val="28"/>
        </w:rPr>
      </w:pPr>
      <w:r>
        <w:rPr>
          <w:rFonts w:ascii="Times New Roman" w:hAnsi="Times New Roman" w:cs="Times New Roman"/>
          <w:b/>
          <w:sz w:val="28"/>
          <w:szCs w:val="28"/>
        </w:rPr>
        <w:t>第七章  其他要求及说明</w:t>
      </w:r>
    </w:p>
    <w:p w14:paraId="6902DD29">
      <w:pPr>
        <w:rPr>
          <w:rFonts w:ascii="Times New Roman" w:hAnsi="Times New Roman" w:cs="Times New Roman"/>
          <w:b/>
          <w:sz w:val="24"/>
          <w:szCs w:val="24"/>
        </w:rPr>
      </w:pPr>
      <w:r>
        <w:rPr>
          <w:rFonts w:ascii="Times New Roman" w:hAnsi="Times New Roman" w:cs="Times New Roman"/>
          <w:b/>
          <w:sz w:val="24"/>
          <w:szCs w:val="24"/>
        </w:rPr>
        <w:t>一、要求</w:t>
      </w:r>
    </w:p>
    <w:p w14:paraId="34306D36">
      <w:pPr>
        <w:rPr>
          <w:rFonts w:ascii="Times New Roman" w:hAnsi="Times New Roman" w:cs="Times New Roman"/>
          <w:sz w:val="24"/>
          <w:szCs w:val="24"/>
        </w:rPr>
      </w:pPr>
      <w:r>
        <w:rPr>
          <w:rFonts w:ascii="Times New Roman" w:hAnsi="Times New Roman" w:cs="Times New Roman"/>
          <w:sz w:val="24"/>
          <w:szCs w:val="24"/>
        </w:rPr>
        <w:t>为保证本技术标书所列采购货物的质量以及先进性、可靠性、经济性和实用性，要求投标方在投标档中，至少应具备以下资格证明档或资料：</w:t>
      </w:r>
    </w:p>
    <w:p w14:paraId="2F7BB7F7">
      <w:pPr>
        <w:rPr>
          <w:rFonts w:ascii="Times New Roman" w:hAnsi="Times New Roman" w:cs="Times New Roman"/>
          <w:sz w:val="24"/>
          <w:szCs w:val="24"/>
        </w:rPr>
      </w:pPr>
      <w:r>
        <w:rPr>
          <w:rFonts w:ascii="Times New Roman" w:hAnsi="Times New Roman" w:cs="Times New Roman"/>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7373B6CC">
      <w:pPr>
        <w:rPr>
          <w:rFonts w:ascii="Times New Roman" w:hAnsi="Times New Roman" w:cs="Times New Roman"/>
          <w:sz w:val="24"/>
          <w:szCs w:val="24"/>
        </w:rPr>
      </w:pPr>
      <w:r>
        <w:rPr>
          <w:rFonts w:ascii="Times New Roman" w:hAnsi="Times New Roman" w:cs="Times New Roman"/>
          <w:sz w:val="24"/>
          <w:szCs w:val="24"/>
        </w:rPr>
        <w:t>2、必须附有：2022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1BB6DA19">
      <w:pPr>
        <w:rPr>
          <w:rFonts w:ascii="Times New Roman" w:hAnsi="Times New Roman" w:cs="Times New Roman"/>
          <w:b/>
          <w:sz w:val="24"/>
          <w:szCs w:val="24"/>
        </w:rPr>
      </w:pPr>
      <w:r>
        <w:rPr>
          <w:rFonts w:ascii="Times New Roman" w:hAnsi="Times New Roman" w:cs="Times New Roman"/>
          <w:b/>
          <w:sz w:val="24"/>
          <w:szCs w:val="24"/>
        </w:rPr>
        <w:t>二、说明</w:t>
      </w:r>
    </w:p>
    <w:p w14:paraId="228600A5">
      <w:pPr>
        <w:rPr>
          <w:rFonts w:ascii="Times New Roman" w:hAnsi="Times New Roman" w:cs="Times New Roman"/>
          <w:sz w:val="24"/>
          <w:szCs w:val="24"/>
        </w:rPr>
      </w:pPr>
      <w:r>
        <w:rPr>
          <w:rFonts w:ascii="Times New Roman" w:hAnsi="Times New Roman" w:cs="Times New Roman"/>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548CB771">
      <w:pPr>
        <w:rPr>
          <w:rFonts w:ascii="Times New Roman" w:hAnsi="Times New Roman" w:cs="Times New Roman"/>
          <w:sz w:val="24"/>
          <w:szCs w:val="24"/>
        </w:rPr>
      </w:pPr>
      <w:r>
        <w:rPr>
          <w:rFonts w:ascii="Times New Roman" w:hAnsi="Times New Roman" w:cs="Times New Roman"/>
          <w:sz w:val="24"/>
          <w:szCs w:val="24"/>
        </w:rPr>
        <w:t>2、即使有建议意见或建议方案，仍应依据招标档和本技术标书要求，编写符合要求的投标档。建议方案或建议意见，应以单独篇章或档，予以说明和报价。</w:t>
      </w:r>
    </w:p>
    <w:p w14:paraId="371B363A">
      <w:pPr>
        <w:rPr>
          <w:rFonts w:ascii="Times New Roman" w:hAnsi="Times New Roman" w:cs="Times New Roman"/>
          <w:sz w:val="24"/>
          <w:szCs w:val="24"/>
        </w:rPr>
      </w:pPr>
      <w:r>
        <w:rPr>
          <w:rFonts w:ascii="Times New Roman" w:hAnsi="Times New Roman" w:cs="Times New Roman"/>
          <w:sz w:val="24"/>
          <w:szCs w:val="24"/>
        </w:rPr>
        <w:t>3、招标档、投标档、答疑档、技术交流档、技术协议书等，在采购过程全部为有效档，如有差异，以对招标方最有利的条款为准。</w:t>
      </w:r>
    </w:p>
    <w:p w14:paraId="21D5040E">
      <w:pPr>
        <w:rPr>
          <w:rFonts w:ascii="Times New Roman" w:hAnsi="Times New Roman" w:cs="Times New Roman"/>
          <w:sz w:val="24"/>
          <w:szCs w:val="24"/>
        </w:rPr>
      </w:pPr>
      <w:r>
        <w:rPr>
          <w:rFonts w:ascii="Times New Roman" w:hAnsi="Times New Roman" w:cs="Times New Roman"/>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697897A7">
      <w:pPr>
        <w:rPr>
          <w:rFonts w:ascii="宋体" w:hAnsi="宋体" w:eastAsia="宋体" w:cs="宋体"/>
          <w:sz w:val="24"/>
          <w:szCs w:val="24"/>
          <w:highlight w:val="none"/>
        </w:rPr>
      </w:pPr>
      <w:r>
        <w:rPr>
          <w:rFonts w:ascii="宋体" w:hAnsi="宋体" w:eastAsia="宋体" w:cs="宋体"/>
          <w:sz w:val="24"/>
          <w:szCs w:val="24"/>
          <w:highlight w:val="none"/>
        </w:rPr>
        <w:br w:type="page"/>
      </w:r>
    </w:p>
    <w:p w14:paraId="4830AF8C">
      <w:pPr>
        <w:pStyle w:val="17"/>
      </w:pPr>
    </w:p>
    <w:p w14:paraId="3E619213">
      <w:pPr>
        <w:adjustRightInd w:val="0"/>
        <w:snapToGrid w:val="0"/>
        <w:spacing w:line="360" w:lineRule="auto"/>
        <w:ind w:firstLine="480" w:firstLineChars="200"/>
        <w:rPr>
          <w:rFonts w:ascii="宋体" w:hAnsi="宋体" w:eastAsia="宋体" w:cs="宋体"/>
          <w:sz w:val="24"/>
          <w:szCs w:val="24"/>
          <w:highlight w:val="none"/>
        </w:rPr>
      </w:pPr>
    </w:p>
    <w:bookmarkEnd w:id="32"/>
    <w:bookmarkEnd w:id="33"/>
    <w:p w14:paraId="544DB76D">
      <w:pPr>
        <w:spacing w:line="360" w:lineRule="auto"/>
        <w:jc w:val="center"/>
        <w:outlineLvl w:val="0"/>
        <w:rPr>
          <w:rFonts w:ascii="宋体" w:hAnsi="Calibri" w:eastAsia="宋体" w:cs="Times New Roman"/>
          <w:b/>
          <w:sz w:val="36"/>
          <w:szCs w:val="36"/>
        </w:rPr>
      </w:pPr>
      <w:bookmarkStart w:id="40"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32BD47B6">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99065F0">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2F4A41F">
      <w:pPr>
        <w:adjustRightInd w:val="0"/>
        <w:snapToGrid w:val="0"/>
        <w:spacing w:line="360" w:lineRule="auto"/>
        <w:ind w:firstLine="400"/>
        <w:jc w:val="left"/>
        <w:rPr>
          <w:rFonts w:hint="eastAsia" w:ascii="宋体" w:hAnsi="宋体"/>
          <w:sz w:val="20"/>
          <w:szCs w:val="20"/>
        </w:rPr>
      </w:pPr>
    </w:p>
    <w:p w14:paraId="3460FF2F">
      <w:pPr>
        <w:adjustRightInd w:val="0"/>
        <w:snapToGrid w:val="0"/>
        <w:spacing w:line="360" w:lineRule="auto"/>
        <w:ind w:firstLine="1040"/>
        <w:jc w:val="center"/>
        <w:rPr>
          <w:rFonts w:hint="eastAsia" w:ascii="方正小标宋简体" w:hAnsi="宋体" w:eastAsia="方正小标宋简体"/>
          <w:bCs/>
          <w:sz w:val="52"/>
          <w:szCs w:val="36"/>
        </w:rPr>
      </w:pPr>
    </w:p>
    <w:p w14:paraId="6B6DA8DD">
      <w:pPr>
        <w:adjustRightInd w:val="0"/>
        <w:snapToGrid w:val="0"/>
        <w:spacing w:line="360" w:lineRule="auto"/>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设备采购合同（模板1）</w:t>
      </w:r>
    </w:p>
    <w:p w14:paraId="75D7990C">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1C35565A">
      <w:pPr>
        <w:adjustRightInd w:val="0"/>
        <w:snapToGrid w:val="0"/>
        <w:spacing w:line="360" w:lineRule="auto"/>
        <w:ind w:firstLine="723"/>
        <w:jc w:val="left"/>
        <w:rPr>
          <w:rFonts w:hint="eastAsia" w:ascii="宋体" w:hAnsi="宋体"/>
          <w:b/>
          <w:sz w:val="36"/>
          <w:szCs w:val="36"/>
        </w:rPr>
      </w:pPr>
    </w:p>
    <w:p w14:paraId="06819C11">
      <w:pPr>
        <w:adjustRightInd w:val="0"/>
        <w:snapToGrid w:val="0"/>
        <w:spacing w:line="360" w:lineRule="auto"/>
        <w:ind w:firstLine="723"/>
        <w:jc w:val="left"/>
        <w:rPr>
          <w:rFonts w:hint="eastAsia" w:ascii="宋体" w:hAnsi="宋体"/>
          <w:b/>
          <w:sz w:val="36"/>
          <w:szCs w:val="36"/>
        </w:rPr>
      </w:pPr>
    </w:p>
    <w:p w14:paraId="107172B9">
      <w:pPr>
        <w:adjustRightInd w:val="0"/>
        <w:snapToGrid w:val="0"/>
        <w:spacing w:line="360" w:lineRule="auto"/>
        <w:ind w:firstLine="723"/>
        <w:jc w:val="left"/>
        <w:rPr>
          <w:rFonts w:hint="eastAsia" w:ascii="宋体" w:hAnsi="宋体"/>
          <w:b/>
          <w:sz w:val="36"/>
          <w:szCs w:val="36"/>
        </w:rPr>
      </w:pPr>
    </w:p>
    <w:p w14:paraId="7AE9E037">
      <w:pPr>
        <w:adjustRightInd w:val="0"/>
        <w:snapToGrid w:val="0"/>
        <w:spacing w:line="360" w:lineRule="auto"/>
        <w:ind w:firstLine="723"/>
        <w:jc w:val="left"/>
        <w:rPr>
          <w:rFonts w:hint="eastAsia" w:ascii="宋体" w:hAnsi="宋体"/>
          <w:b/>
          <w:sz w:val="36"/>
          <w:szCs w:val="36"/>
        </w:rPr>
      </w:pPr>
    </w:p>
    <w:p w14:paraId="1884B493">
      <w:pPr>
        <w:adjustRightInd w:val="0"/>
        <w:snapToGrid w:val="0"/>
        <w:spacing w:line="360" w:lineRule="auto"/>
        <w:ind w:firstLine="723"/>
        <w:jc w:val="left"/>
        <w:rPr>
          <w:rFonts w:hint="eastAsia" w:ascii="宋体" w:hAnsi="宋体"/>
          <w:b/>
          <w:sz w:val="36"/>
          <w:szCs w:val="36"/>
        </w:rPr>
      </w:pPr>
    </w:p>
    <w:p w14:paraId="715AD76E">
      <w:pPr>
        <w:adjustRightInd w:val="0"/>
        <w:snapToGrid w:val="0"/>
        <w:spacing w:line="360" w:lineRule="auto"/>
        <w:ind w:firstLine="723"/>
        <w:jc w:val="left"/>
        <w:rPr>
          <w:rFonts w:hint="eastAsia" w:ascii="宋体" w:hAnsi="宋体"/>
          <w:b/>
          <w:sz w:val="36"/>
          <w:szCs w:val="36"/>
        </w:rPr>
      </w:pPr>
    </w:p>
    <w:p w14:paraId="3614A721">
      <w:pPr>
        <w:adjustRightInd w:val="0"/>
        <w:snapToGrid w:val="0"/>
        <w:spacing w:line="360" w:lineRule="auto"/>
        <w:ind w:firstLine="723"/>
        <w:jc w:val="left"/>
        <w:rPr>
          <w:rFonts w:hint="eastAsia" w:ascii="宋体" w:hAnsi="宋体"/>
          <w:b/>
          <w:sz w:val="36"/>
          <w:szCs w:val="36"/>
        </w:rPr>
      </w:pPr>
    </w:p>
    <w:p w14:paraId="497B3E4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F86A11C">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37041F4">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1B510A">
      <w:pPr>
        <w:spacing w:line="360" w:lineRule="auto"/>
        <w:ind w:right="480"/>
        <w:rPr>
          <w:rFonts w:hint="eastAsia"/>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4672F42A">
      <w:pPr>
        <w:spacing w:line="360" w:lineRule="auto"/>
        <w:ind w:right="480" w:firstLine="440"/>
        <w:rPr>
          <w:rFonts w:hint="eastAsia"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74AA3704">
      <w:pPr>
        <w:spacing w:line="360" w:lineRule="auto"/>
        <w:ind w:firstLine="440"/>
        <w:rPr>
          <w:rFonts w:hint="eastAsia" w:ascii="仿宋_GB2312" w:hAnsi="宋体" w:eastAsia="仿宋_GB2312"/>
          <w:bCs/>
          <w:sz w:val="24"/>
          <w:szCs w:val="24"/>
        </w:rPr>
      </w:pPr>
      <w:r>
        <w:rPr>
          <w:rFonts w:hint="eastAsia" w:ascii="宋体" w:hAnsi="宋体"/>
          <w:bCs/>
          <w:sz w:val="22"/>
        </w:rPr>
        <w:t xml:space="preserve">  </w:t>
      </w:r>
      <w:bookmarkStart w:id="41" w:name="_Toc24623"/>
      <w:bookmarkStart w:id="42" w:name="_Toc16330037"/>
      <w:bookmarkStart w:id="43" w:name="_Toc25120"/>
      <w:bookmarkStart w:id="44" w:name="_Toc3778"/>
      <w:bookmarkStart w:id="45" w:name="_Toc5379"/>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0A7AE941">
      <w:pPr>
        <w:spacing w:line="360" w:lineRule="auto"/>
        <w:rPr>
          <w:rFonts w:hint="eastAsia" w:ascii="仿宋_GB2312" w:hAnsi="宋体" w:eastAsia="仿宋_GB2312"/>
          <w:bCs/>
          <w:sz w:val="24"/>
          <w:szCs w:val="24"/>
        </w:rPr>
      </w:pPr>
      <w:r>
        <w:rPr>
          <w:rFonts w:hint="eastAsia" w:ascii="仿宋_GB2312" w:hAnsi="宋体" w:eastAsia="仿宋_GB2312"/>
          <w:bCs/>
          <w:sz w:val="24"/>
          <w:szCs w:val="24"/>
        </w:rPr>
        <w:t xml:space="preserve">    </w:t>
      </w:r>
    </w:p>
    <w:p w14:paraId="02E9EF1C">
      <w:pPr>
        <w:spacing w:line="360" w:lineRule="auto"/>
        <w:ind w:right="-189" w:rightChars="-90" w:firstLine="120" w:firstLineChars="50"/>
        <w:jc w:val="left"/>
        <w:rPr>
          <w:rFonts w:hint="eastAsia"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1C498AAF">
      <w:pPr>
        <w:spacing w:line="360" w:lineRule="auto"/>
        <w:ind w:right="-189" w:rightChars="-90" w:firstLine="482"/>
        <w:jc w:val="left"/>
        <w:rPr>
          <w:rFonts w:hint="eastAsia" w:ascii="仿宋_GB2312" w:hAnsi="宋体" w:eastAsia="仿宋_GB2312"/>
          <w:b/>
          <w:bCs/>
          <w:sz w:val="24"/>
          <w:szCs w:val="24"/>
          <w:u w:val="single"/>
        </w:rPr>
      </w:pPr>
    </w:p>
    <w:p w14:paraId="53F62B1C">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65909B1">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DD7F54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14:paraId="1C1BA8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6BEEA1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09F542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E1E113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B3A590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03AD4D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14:paraId="4E88A3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B282D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B505C7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14:paraId="6BB6FED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5C309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35DC8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22B7D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6654B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E0679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B2EB9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E81DB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EE085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14:paraId="1F716E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399C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250FE28">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14:paraId="5E37638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C29E16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84A1A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A643A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CD233C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0B2088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14:paraId="05B1C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BDD4C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1941B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2936F0A">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8644C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FF19DD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B4C4C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742A4E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53FE53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18317F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2D42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AA5A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A090BB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8DCA8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14:paraId="03BE26F5">
      <w:pPr>
        <w:pStyle w:val="11"/>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A57C26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0FAD16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CBAFD4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99ED75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0868C5C">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3A3CA8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C61F5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08E94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315070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BE4601F">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0808F4B">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224299BD">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0BD8687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5EA4C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47867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DBFB0A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3600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A5E630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C0FDF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56112F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3C1A4F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3B1613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14:paraId="39F7CBA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93038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4738CA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2A1F24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9C3846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14:paraId="616527A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5113A5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96B1B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11BB8F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280255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7D1C62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704E4B6">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5E75512">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635753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5449A9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6AE95D">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1A9CCD0">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3B097EB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961647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9F6A0A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67AD105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3B12DD6F">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ABC9F0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D5CABA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3D27841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CFEAEA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64EC99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74990E6">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3C15E7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14:paraId="48B011C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67849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37701C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14:paraId="676D1C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75BF6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D83FCB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8FEF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B70F2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0101B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759100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6417B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ABDB9B4">
      <w:pPr>
        <w:pStyle w:val="3"/>
        <w:tabs>
          <w:tab w:val="right" w:leader="dot" w:pos="9061"/>
        </w:tabs>
        <w:spacing w:before="312" w:beforeLines="100"/>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4405A4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6AC0B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E3C0C2">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14:paraId="38C5A64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C24F45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0EABD6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2913C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8405CA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3D7A28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4723A5B">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14:paraId="3F7BAD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7DF6F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D5BD0B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2AD867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99A11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BD93ED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14:paraId="22FE8B6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37883B2">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0A56930">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C5AF3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AB0B12F">
      <w:pPr>
        <w:spacing w:line="360" w:lineRule="auto"/>
        <w:ind w:firstLine="420" w:firstLineChars="200"/>
        <w:rPr>
          <w:rFonts w:hint="eastAsia" w:asciiTheme="minorEastAsia" w:hAnsiTheme="minorEastAsia" w:eastAsiaTheme="minorEastAsia" w:cstheme="minorEastAsia"/>
          <w:sz w:val="20"/>
          <w:szCs w:val="20"/>
        </w:rPr>
      </w:pPr>
      <w:r>
        <w:rPr>
          <w:rFonts w:hint="eastAsia"/>
        </w:rPr>
        <w:t xml:space="preserve">    </w:t>
      </w:r>
    </w:p>
    <w:p w14:paraId="60249D70">
      <w:pPr>
        <w:spacing w:line="360" w:lineRule="auto"/>
        <w:ind w:firstLine="400"/>
        <w:rPr>
          <w:rFonts w:hint="eastAsia" w:ascii="宋体" w:hAnsi="宋体"/>
          <w:snapToGrid w:val="0"/>
          <w:kern w:val="0"/>
          <w:sz w:val="20"/>
          <w:szCs w:val="20"/>
          <w:lang w:eastAsia="zh-Hans"/>
        </w:rPr>
      </w:pPr>
    </w:p>
    <w:p w14:paraId="1794178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6E38863">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55FA5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F6CE56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FB2A48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3B718FE">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6D72590">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95C154E">
      <w:pPr>
        <w:spacing w:line="360" w:lineRule="auto"/>
        <w:rPr>
          <w:rFonts w:hint="eastAsia" w:ascii="仿宋_GB2312" w:eastAsia="仿宋_GB2312"/>
          <w:sz w:val="24"/>
          <w:szCs w:val="24"/>
        </w:rPr>
      </w:pPr>
    </w:p>
    <w:p w14:paraId="3CAA44F3">
      <w:pPr>
        <w:pStyle w:val="3"/>
        <w:tabs>
          <w:tab w:val="right" w:leader="dot" w:pos="9061"/>
        </w:tabs>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B240287">
      <w:pPr>
        <w:rPr>
          <w:rFonts w:hint="eastAsia"/>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538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F81F698">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7DE014F">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AE4F03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BE14B5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D1554F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669D02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463B0D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F837921">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CA9EB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221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168431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E2137C">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57123EE2">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2034A57">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0347D2DC">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571011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0B43878F">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38B425FB">
            <w:pPr>
              <w:pStyle w:val="26"/>
              <w:spacing w:line="360" w:lineRule="auto"/>
              <w:ind w:left="480" w:firstLine="480"/>
              <w:jc w:val="center"/>
              <w:rPr>
                <w:rFonts w:hint="eastAsia" w:ascii="仿宋_GB2312" w:eastAsia="仿宋_GB2312" w:hAnsiTheme="minorEastAsia" w:cstheme="minorEastAsia"/>
                <w:sz w:val="24"/>
                <w:szCs w:val="24"/>
              </w:rPr>
            </w:pPr>
          </w:p>
        </w:tc>
      </w:tr>
      <w:tr w14:paraId="103C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C354D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29B505E">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B66F4D3">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27CB11DA">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478B1D0">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154A355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5AECBD44">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725CD2B">
            <w:pPr>
              <w:pStyle w:val="26"/>
              <w:spacing w:line="360" w:lineRule="auto"/>
              <w:ind w:left="480" w:firstLine="480"/>
              <w:jc w:val="center"/>
              <w:rPr>
                <w:rFonts w:hint="eastAsia" w:ascii="仿宋_GB2312" w:eastAsia="仿宋_GB2312" w:hAnsiTheme="minorEastAsia" w:cstheme="minorEastAsia"/>
                <w:sz w:val="24"/>
                <w:szCs w:val="24"/>
              </w:rPr>
            </w:pPr>
          </w:p>
        </w:tc>
      </w:tr>
      <w:tr w14:paraId="2DF4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C29A9F">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B27AAA">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7B18885F">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734A2B0">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95235A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E0D096">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8AED592">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6441C06">
            <w:pPr>
              <w:pStyle w:val="26"/>
              <w:spacing w:line="360" w:lineRule="auto"/>
              <w:ind w:left="480" w:firstLine="480"/>
              <w:jc w:val="center"/>
              <w:rPr>
                <w:rFonts w:hint="eastAsia" w:ascii="仿宋_GB2312" w:eastAsia="仿宋_GB2312" w:hAnsiTheme="minorEastAsia" w:cstheme="minorEastAsia"/>
                <w:sz w:val="24"/>
                <w:szCs w:val="24"/>
              </w:rPr>
            </w:pPr>
          </w:p>
        </w:tc>
      </w:tr>
      <w:tr w14:paraId="3807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84F6152">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8552F66">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7084721">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039D861F">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4D2F1187">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C03FB6">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58F086">
            <w:pPr>
              <w:spacing w:line="360" w:lineRule="auto"/>
              <w:jc w:val="center"/>
              <w:rPr>
                <w:rFonts w:hint="eastAsia" w:ascii="仿宋_GB2312" w:eastAsia="仿宋_GB2312" w:hAnsiTheme="minorEastAsia" w:cstheme="minorEastAsia"/>
                <w:sz w:val="24"/>
                <w:szCs w:val="24"/>
              </w:rPr>
            </w:pPr>
          </w:p>
        </w:tc>
        <w:tc>
          <w:tcPr>
            <w:tcW w:w="708" w:type="dxa"/>
            <w:vAlign w:val="center"/>
          </w:tcPr>
          <w:p w14:paraId="5A10227D">
            <w:pPr>
              <w:spacing w:line="360" w:lineRule="auto"/>
              <w:jc w:val="center"/>
              <w:rPr>
                <w:rFonts w:hint="eastAsia" w:ascii="仿宋_GB2312" w:eastAsia="仿宋_GB2312" w:hAnsiTheme="minorEastAsia" w:cstheme="minorEastAsia"/>
                <w:sz w:val="24"/>
                <w:szCs w:val="24"/>
              </w:rPr>
            </w:pPr>
          </w:p>
        </w:tc>
      </w:tr>
    </w:tbl>
    <w:p w14:paraId="25D3A082">
      <w:pPr>
        <w:ind w:firstLine="400"/>
        <w:rPr>
          <w:rFonts w:hint="eastAsia" w:cs="等线"/>
          <w:sz w:val="20"/>
          <w:szCs w:val="20"/>
        </w:rPr>
      </w:pPr>
      <w:r>
        <w:rPr>
          <w:rFonts w:hint="eastAsia" w:cs="等线"/>
          <w:sz w:val="20"/>
          <w:szCs w:val="20"/>
        </w:rPr>
        <w:br w:type="page"/>
      </w:r>
    </w:p>
    <w:p w14:paraId="6263D8DD">
      <w:pPr>
        <w:pStyle w:val="3"/>
        <w:tabs>
          <w:tab w:val="right" w:leader="dot" w:pos="9061"/>
        </w:tabs>
        <w:ind w:firstLine="560"/>
        <w:rPr>
          <w:rFonts w:hint="eastAsia" w:ascii="方正小标宋简体" w:hAnsi="方正小标宋简体" w:eastAsia="方正小标宋简体" w:cs="方正小标宋简体"/>
          <w:sz w:val="40"/>
          <w:szCs w:val="21"/>
          <w:highlight w:val="none"/>
        </w:rPr>
      </w:pPr>
      <w:r>
        <w:rPr>
          <w:rFonts w:hint="eastAsia" w:ascii="黑体" w:hAnsi="黑体" w:eastAsia="黑体" w:cs="等线"/>
          <w:b w:val="0"/>
          <w:sz w:val="28"/>
          <w:szCs w:val="28"/>
        </w:rPr>
        <w:t xml:space="preserve">附件二 </w:t>
      </w:r>
      <w:bookmarkEnd w:id="41"/>
      <w:bookmarkEnd w:id="42"/>
      <w:bookmarkEnd w:id="43"/>
      <w:bookmarkEnd w:id="44"/>
      <w:bookmarkEnd w:id="45"/>
      <w:r>
        <w:rPr>
          <w:rFonts w:hint="eastAsia" w:ascii="黑体" w:hAnsi="黑体" w:eastAsia="黑体" w:cs="等线"/>
          <w:b w:val="0"/>
          <w:sz w:val="28"/>
          <w:szCs w:val="28"/>
        </w:rPr>
        <w:t>技术协议书</w:t>
      </w:r>
      <w:r>
        <w:rPr>
          <w:rFonts w:hint="eastAsia" w:ascii="方正小标宋简体" w:hAnsi="方正小标宋简体" w:eastAsia="方正小标宋简体" w:cs="方正小标宋简体"/>
          <w:sz w:val="40"/>
          <w:szCs w:val="21"/>
          <w:highlight w:val="none"/>
        </w:rPr>
        <w:br w:type="page"/>
      </w:r>
    </w:p>
    <w:p w14:paraId="26BCA4A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E05B911">
      <w:pPr>
        <w:pStyle w:val="12"/>
        <w:spacing w:before="8" w:after="156"/>
        <w:rPr>
          <w:rFonts w:ascii="楷体" w:hAnsi="楷体" w:eastAsia="楷体" w:cs="楷体"/>
          <w:sz w:val="44"/>
          <w:szCs w:val="28"/>
          <w:highlight w:val="none"/>
        </w:rPr>
      </w:pPr>
    </w:p>
    <w:p w14:paraId="2C999A91">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BCB7AE7">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6836BBA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16CA817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71D56CBF">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3B9D645">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2B5DEAB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D0213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63A73F2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222E9AC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0F4957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7215DF0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C19D46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15F64A9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497334E">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7980BA1">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F03069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3220A64C">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9988A8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5C080E0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C0DFA7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164F542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highlight w:val="none"/>
        </w:rPr>
      </w:pPr>
    </w:p>
    <w:p w14:paraId="20B7C723">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455F4356">
      <w:pPr>
        <w:pStyle w:val="12"/>
        <w:spacing w:after="156"/>
        <w:rPr>
          <w:rFonts w:ascii="楷体" w:hAnsi="楷体" w:eastAsia="楷体" w:cs="楷体"/>
          <w:b/>
          <w:sz w:val="24"/>
          <w:szCs w:val="28"/>
          <w:highlight w:val="none"/>
        </w:rPr>
      </w:pPr>
    </w:p>
    <w:p w14:paraId="72A707DD">
      <w:pPr>
        <w:pStyle w:val="12"/>
        <w:spacing w:before="1" w:after="156"/>
        <w:rPr>
          <w:rFonts w:ascii="楷体" w:hAnsi="楷体" w:eastAsia="楷体" w:cs="楷体"/>
          <w:b/>
          <w:sz w:val="24"/>
          <w:szCs w:val="28"/>
          <w:highlight w:val="none"/>
        </w:rPr>
      </w:pPr>
    </w:p>
    <w:p w14:paraId="0CE5B0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2AC6642">
      <w:pPr>
        <w:pStyle w:val="12"/>
        <w:spacing w:after="156"/>
        <w:rPr>
          <w:rFonts w:ascii="楷体" w:hAnsi="楷体" w:eastAsia="楷体" w:cs="楷体"/>
          <w:b/>
          <w:sz w:val="24"/>
          <w:szCs w:val="28"/>
          <w:highlight w:val="none"/>
        </w:rPr>
      </w:pPr>
    </w:p>
    <w:p w14:paraId="0ADBD6D5">
      <w:pPr>
        <w:pStyle w:val="12"/>
        <w:spacing w:before="4" w:after="156"/>
        <w:rPr>
          <w:rFonts w:ascii="楷体" w:hAnsi="楷体" w:eastAsia="楷体" w:cs="楷体"/>
          <w:b/>
          <w:sz w:val="24"/>
          <w:szCs w:val="28"/>
          <w:highlight w:val="none"/>
        </w:rPr>
      </w:pPr>
    </w:p>
    <w:p w14:paraId="2ECD6F9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A3EAEE7">
      <w:pPr>
        <w:tabs>
          <w:tab w:val="left" w:pos="5457"/>
        </w:tabs>
        <w:ind w:left="117"/>
        <w:rPr>
          <w:rFonts w:ascii="楷体" w:hAnsi="楷体" w:eastAsia="楷体" w:cs="楷体"/>
          <w:b/>
          <w:sz w:val="24"/>
          <w:szCs w:val="21"/>
          <w:highlight w:val="none"/>
        </w:rPr>
      </w:pPr>
    </w:p>
    <w:p w14:paraId="71C88C7C">
      <w:pPr>
        <w:keepNext/>
        <w:keepLines/>
        <w:jc w:val="center"/>
        <w:outlineLvl w:val="0"/>
        <w:rPr>
          <w:rFonts w:ascii="Calibri" w:hAnsi="Calibri" w:eastAsia="宋体" w:cs="Times New Roman"/>
          <w:b/>
          <w:bCs/>
          <w:kern w:val="44"/>
          <w:sz w:val="36"/>
          <w:szCs w:val="44"/>
          <w:highlight w:val="none"/>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0"/>
    </w:p>
    <w:p w14:paraId="004B8CE5">
      <w:pPr>
        <w:keepNext/>
        <w:keepLines/>
        <w:rPr>
          <w:rFonts w:ascii="Times New Roman" w:hAnsi="Times New Roman" w:eastAsia="宋体" w:cs="Times New Roman"/>
          <w:b/>
          <w:bCs/>
          <w:color w:val="000000"/>
          <w:sz w:val="24"/>
          <w:szCs w:val="24"/>
          <w:highlight w:val="none"/>
        </w:rPr>
      </w:pPr>
    </w:p>
    <w:p w14:paraId="6D68D61A">
      <w:pPr>
        <w:pStyle w:val="1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26D59338">
      <w:pPr>
        <w:pStyle w:val="17"/>
        <w:rPr>
          <w:rFonts w:ascii="Times New Roman" w:hAnsi="Times New Roman" w:eastAsia="宋体" w:cs="Times New Roman"/>
          <w:b/>
          <w:bCs/>
          <w:color w:val="000000"/>
          <w:sz w:val="24"/>
          <w:szCs w:val="24"/>
          <w:highlight w:val="none"/>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46" w:name="_Toc212369550"/>
      <w:bookmarkStart w:id="47" w:name="_Toc639004"/>
      <w:bookmarkStart w:id="48" w:name="_Toc25811"/>
      <w:bookmarkStart w:id="49"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46"/>
      <w:bookmarkEnd w:id="47"/>
      <w:bookmarkEnd w:id="48"/>
      <w:bookmarkEnd w:id="49"/>
    </w:p>
    <w:p w14:paraId="71144F4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中国重汽集团杭州发动机有限公司</w:t>
      </w:r>
      <w:r>
        <w:rPr>
          <w:rFonts w:hint="eastAsia" w:ascii="宋体" w:hAnsi="宋体" w:eastAsia="宋体" w:cs="Times New Roman"/>
          <w:color w:val="000000"/>
          <w:sz w:val="24"/>
          <w:szCs w:val="24"/>
          <w:highlight w:val="none"/>
        </w:rPr>
        <w:t>：</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eastAsia="zh-CN"/>
        </w:rPr>
        <w:t>试车台架冷却塔更新改造项目、真空混砂机等冷却塔更新改造项目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p>
    <w:p w14:paraId="45D76B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436DA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C9FD7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ACF44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C7DA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AAEB0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5E0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E72DC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77E3A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10A86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86387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D4DA5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6CB479F">
      <w:pPr>
        <w:rPr>
          <w:rFonts w:ascii="黑体" w:hAnsi="Calibri" w:eastAsia="黑体" w:cs="Times New Roman"/>
          <w:color w:val="000000"/>
          <w:sz w:val="24"/>
          <w:szCs w:val="24"/>
          <w:highlight w:val="none"/>
        </w:rPr>
      </w:pPr>
    </w:p>
    <w:p w14:paraId="6F8797FE">
      <w:pPr>
        <w:rPr>
          <w:rFonts w:ascii="黑体" w:hAnsi="Calibri" w:eastAsia="黑体" w:cs="Times New Roman"/>
          <w:color w:val="000000"/>
          <w:sz w:val="24"/>
          <w:szCs w:val="24"/>
          <w:highlight w:val="none"/>
        </w:rPr>
      </w:pPr>
    </w:p>
    <w:p w14:paraId="3FDEE794">
      <w:pPr>
        <w:pStyle w:val="17"/>
        <w:rPr>
          <w:rFonts w:ascii="黑体" w:hAnsi="Calibri" w:eastAsia="黑体" w:cs="Times New Roman"/>
          <w:color w:val="000000"/>
          <w:sz w:val="24"/>
          <w:szCs w:val="24"/>
          <w:highlight w:val="none"/>
        </w:rPr>
      </w:pPr>
    </w:p>
    <w:p w14:paraId="6566FFCA">
      <w:pPr>
        <w:pStyle w:val="17"/>
        <w:rPr>
          <w:rFonts w:ascii="黑体" w:hAnsi="Calibri" w:eastAsia="黑体" w:cs="Times New Roman"/>
          <w:color w:val="000000"/>
          <w:sz w:val="24"/>
          <w:szCs w:val="24"/>
          <w:highlight w:val="none"/>
        </w:rPr>
      </w:pPr>
    </w:p>
    <w:p w14:paraId="3B6FDF38">
      <w:pPr>
        <w:pStyle w:val="17"/>
        <w:rPr>
          <w:rFonts w:ascii="黑体" w:hAnsi="Calibri" w:eastAsia="黑体" w:cs="Times New Roman"/>
          <w:color w:val="000000"/>
          <w:sz w:val="24"/>
          <w:szCs w:val="24"/>
          <w:highlight w:val="none"/>
        </w:rPr>
      </w:pPr>
    </w:p>
    <w:p w14:paraId="4DD34454">
      <w:pPr>
        <w:pStyle w:val="17"/>
        <w:rPr>
          <w:rFonts w:ascii="黑体" w:hAnsi="Calibri" w:eastAsia="黑体" w:cs="Times New Roman"/>
          <w:color w:val="000000"/>
          <w:sz w:val="24"/>
          <w:szCs w:val="24"/>
          <w:highlight w:val="none"/>
        </w:rPr>
      </w:pPr>
    </w:p>
    <w:p w14:paraId="0C70CD3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eastAsia="zh-CN"/>
        </w:rPr>
        <w:t>试车台架冷却塔更新改造项目、真空混砂机等冷却塔更新改造项目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876EC57">
      <w:pPr>
        <w:rPr>
          <w:rFonts w:ascii="Calibri" w:hAnsi="Calibri" w:eastAsia="黑体" w:cs="Times New Roman"/>
          <w:b/>
          <w:bCs/>
          <w:color w:val="000000"/>
          <w:sz w:val="28"/>
          <w:szCs w:val="20"/>
          <w:highlight w:val="none"/>
        </w:rPr>
      </w:pPr>
    </w:p>
    <w:p w14:paraId="3555AE9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33174FF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4"/>
              <w:spacing w:before="114"/>
              <w:ind w:left="720"/>
              <w:rPr>
                <w:highlight w:val="none"/>
              </w:rPr>
            </w:pPr>
            <w:r>
              <w:rPr>
                <w:highlight w:val="none"/>
              </w:rP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0E514A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4"/>
              <w:spacing w:before="114"/>
              <w:ind w:left="720"/>
              <w:rPr>
                <w:highlight w:val="none"/>
              </w:rPr>
            </w:pPr>
            <w:r>
              <w:rPr>
                <w:highlight w:val="none"/>
              </w:rP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4F21D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4"/>
              <w:spacing w:before="111"/>
              <w:ind w:left="720"/>
              <w:rPr>
                <w:highlight w:val="none"/>
              </w:rPr>
            </w:pPr>
            <w:r>
              <w:rPr>
                <w:highlight w:val="none"/>
              </w:rP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35A9CD2">
            <w:pPr>
              <w:pStyle w:val="134"/>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4"/>
              <w:spacing w:before="111"/>
              <w:ind w:left="509"/>
              <w:rPr>
                <w:highlight w:val="none"/>
              </w:rPr>
            </w:pPr>
            <w:r>
              <w:rPr>
                <w:highlight w:val="none"/>
              </w:rP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9809702">
            <w:pPr>
              <w:pStyle w:val="134"/>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4"/>
              <w:spacing w:before="114"/>
              <w:ind w:left="720"/>
              <w:rPr>
                <w:highlight w:val="none"/>
              </w:rPr>
            </w:pPr>
            <w:r>
              <w:rPr>
                <w:highlight w:val="none"/>
              </w:rPr>
              <w:t xml:space="preserve">品牌区分 </w:t>
            </w:r>
          </w:p>
        </w:tc>
        <w:tc>
          <w:tcPr>
            <w:tcW w:w="7500" w:type="dxa"/>
            <w:gridSpan w:val="6"/>
          </w:tcPr>
          <w:p w14:paraId="6CB73591">
            <w:pPr>
              <w:pStyle w:val="134"/>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4"/>
              <w:spacing w:before="178"/>
              <w:ind w:left="720"/>
              <w:rPr>
                <w:highlight w:val="none"/>
              </w:rPr>
            </w:pPr>
            <w:r>
              <w:rPr>
                <w:highlight w:val="none"/>
              </w:rPr>
              <w:t xml:space="preserve">品牌名称 </w:t>
            </w:r>
          </w:p>
        </w:tc>
        <w:tc>
          <w:tcPr>
            <w:tcW w:w="3583" w:type="dxa"/>
            <w:gridSpan w:val="3"/>
            <w:vAlign w:val="center"/>
          </w:tcPr>
          <w:p w14:paraId="61893AC7">
            <w:pPr>
              <w:widowControl/>
              <w:rPr>
                <w:rFonts w:ascii="宋体" w:hAnsi="宋体" w:eastAsia="仿宋_GB2312"/>
                <w:kern w:val="0"/>
                <w:szCs w:val="21"/>
                <w:highlight w:val="none"/>
                <w:lang w:bidi="ar"/>
              </w:rPr>
            </w:pPr>
          </w:p>
        </w:tc>
        <w:tc>
          <w:tcPr>
            <w:tcW w:w="1097" w:type="dxa"/>
          </w:tcPr>
          <w:p w14:paraId="68A0DDC0">
            <w:pPr>
              <w:pStyle w:val="134"/>
              <w:spacing w:before="15"/>
              <w:ind w:left="279"/>
              <w:rPr>
                <w:highlight w:val="none"/>
              </w:rPr>
            </w:pPr>
            <w:r>
              <w:rPr>
                <w:spacing w:val="-2"/>
                <w:highlight w:val="none"/>
              </w:rPr>
              <w:t>质量</w:t>
            </w:r>
            <w:r>
              <w:rPr>
                <w:highlight w:val="none"/>
              </w:rPr>
              <w:t xml:space="preserve"> </w:t>
            </w:r>
          </w:p>
          <w:p w14:paraId="7E67F972">
            <w:pPr>
              <w:pStyle w:val="134"/>
              <w:spacing w:before="30" w:line="277" w:lineRule="exact"/>
              <w:ind w:left="279"/>
              <w:rPr>
                <w:highlight w:val="none"/>
              </w:rPr>
            </w:pPr>
            <w:r>
              <w:rPr>
                <w:rFonts w:hint="eastAsia"/>
                <w:highlight w:val="none"/>
              </w:rPr>
              <w:t>体系</w:t>
            </w:r>
          </w:p>
        </w:tc>
        <w:tc>
          <w:tcPr>
            <w:tcW w:w="2820" w:type="dxa"/>
            <w:gridSpan w:val="2"/>
          </w:tcPr>
          <w:p w14:paraId="75D97D6D">
            <w:pPr>
              <w:pStyle w:val="134"/>
              <w:spacing w:before="158"/>
              <w:jc w:val="center"/>
              <w:rPr>
                <w:sz w:val="24"/>
                <w:highlight w:val="none"/>
              </w:rPr>
            </w:pPr>
            <w:r>
              <w:rPr>
                <w:rFonts w:hint="eastAsia"/>
                <w:kern w:val="0"/>
                <w:szCs w:val="21"/>
                <w:highlight w:val="none"/>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4"/>
              <w:spacing w:before="149"/>
              <w:ind w:left="3345" w:right="3223"/>
              <w:jc w:val="center"/>
              <w:rPr>
                <w:highlight w:val="none"/>
              </w:rPr>
            </w:pPr>
            <w:r>
              <w:rPr>
                <w:rFonts w:hint="eastAsia"/>
                <w:szCs w:val="21"/>
                <w:highlight w:val="none"/>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52907951">
            <w:pPr>
              <w:widowControl/>
              <w:textAlignment w:val="center"/>
              <w:rPr>
                <w:rFonts w:ascii="宋体" w:hAnsi="宋体" w:eastAsia="宋体" w:cs="宋体"/>
                <w:szCs w:val="21"/>
                <w:highlight w:val="none"/>
              </w:rPr>
            </w:pPr>
          </w:p>
        </w:tc>
        <w:tc>
          <w:tcPr>
            <w:tcW w:w="1530" w:type="dxa"/>
            <w:vAlign w:val="center"/>
          </w:tcPr>
          <w:p w14:paraId="0B8AF0C5">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C436EF6">
            <w:pPr>
              <w:widowControl/>
              <w:jc w:val="center"/>
              <w:textAlignment w:val="center"/>
              <w:rPr>
                <w:rFonts w:ascii="宋体" w:hAnsi="宋体" w:eastAsia="宋体" w:cs="宋体"/>
                <w:szCs w:val="21"/>
                <w:highlight w:val="none"/>
              </w:rPr>
            </w:pPr>
          </w:p>
        </w:tc>
        <w:tc>
          <w:tcPr>
            <w:tcW w:w="1097" w:type="dxa"/>
            <w:vAlign w:val="center"/>
          </w:tcPr>
          <w:p w14:paraId="7204B27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93ED2F3">
            <w:pPr>
              <w:widowControl/>
              <w:jc w:val="center"/>
              <w:textAlignment w:val="center"/>
              <w:rPr>
                <w:rFonts w:ascii="宋体" w:hAnsi="宋体" w:eastAsia="宋体" w:cs="宋体"/>
                <w:szCs w:val="21"/>
                <w:highlight w:val="none"/>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283A7E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70A096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FB2AD4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D84F9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1DA6F0B">
            <w:pPr>
              <w:widowControl/>
              <w:jc w:val="left"/>
              <w:rPr>
                <w:rFonts w:ascii="宋体" w:hAnsi="宋体" w:eastAsia="宋体" w:cs="宋体"/>
                <w:kern w:val="0"/>
                <w:szCs w:val="21"/>
                <w:highlight w:val="none"/>
                <w:lang w:bidi="ar"/>
              </w:rPr>
            </w:pPr>
          </w:p>
        </w:tc>
      </w:tr>
    </w:tbl>
    <w:p w14:paraId="2CDF4E86">
      <w:pPr>
        <w:pStyle w:val="17"/>
        <w:rPr>
          <w:rFonts w:ascii="Times New Roman" w:hAnsi="Times New Roman" w:eastAsia="宋体" w:cs="Times New Roman"/>
          <w:b/>
          <w:bCs/>
          <w:color w:val="000000"/>
          <w:sz w:val="24"/>
          <w:szCs w:val="24"/>
          <w:highlight w:val="none"/>
        </w:rPr>
      </w:pPr>
    </w:p>
    <w:p w14:paraId="0DD430E4">
      <w:pPr>
        <w:pStyle w:val="17"/>
        <w:rPr>
          <w:rFonts w:ascii="Times New Roman" w:hAnsi="Times New Roman" w:eastAsia="宋体" w:cs="Times New Roman"/>
          <w:b/>
          <w:bCs/>
          <w:color w:val="000000"/>
          <w:sz w:val="24"/>
          <w:szCs w:val="24"/>
          <w:highlight w:val="none"/>
        </w:rPr>
      </w:pPr>
    </w:p>
    <w:p w14:paraId="206455E0">
      <w:pPr>
        <w:pStyle w:val="17"/>
        <w:rPr>
          <w:rFonts w:ascii="Times New Roman" w:hAnsi="Times New Roman" w:eastAsia="宋体" w:cs="Times New Roman"/>
          <w:b/>
          <w:bCs/>
          <w:color w:val="000000"/>
          <w:sz w:val="24"/>
          <w:szCs w:val="24"/>
          <w:highlight w:val="none"/>
        </w:rPr>
      </w:pPr>
    </w:p>
    <w:p w14:paraId="443F2AF2">
      <w:pPr>
        <w:pStyle w:val="17"/>
        <w:rPr>
          <w:rFonts w:ascii="Times New Roman" w:hAnsi="Times New Roman" w:eastAsia="宋体" w:cs="Times New Roman"/>
          <w:b/>
          <w:bCs/>
          <w:color w:val="000000"/>
          <w:sz w:val="24"/>
          <w:szCs w:val="24"/>
          <w:highlight w:val="none"/>
        </w:rPr>
      </w:pPr>
    </w:p>
    <w:p w14:paraId="465F6513">
      <w:pPr>
        <w:pStyle w:val="17"/>
        <w:rPr>
          <w:rFonts w:ascii="Times New Roman" w:hAnsi="Times New Roman" w:eastAsia="宋体" w:cs="Times New Roman"/>
          <w:b/>
          <w:bCs/>
          <w:color w:val="000000"/>
          <w:sz w:val="24"/>
          <w:szCs w:val="24"/>
          <w:highlight w:val="none"/>
        </w:rPr>
      </w:pPr>
    </w:p>
    <w:p w14:paraId="54B5579A">
      <w:pPr>
        <w:pStyle w:val="17"/>
        <w:rPr>
          <w:rFonts w:ascii="Times New Roman" w:hAnsi="Times New Roman" w:eastAsia="宋体" w:cs="Times New Roman"/>
          <w:b/>
          <w:bCs/>
          <w:color w:val="000000"/>
          <w:sz w:val="24"/>
          <w:szCs w:val="24"/>
          <w:highlight w:val="none"/>
        </w:rPr>
      </w:pPr>
    </w:p>
    <w:p w14:paraId="4BEE96A5">
      <w:pPr>
        <w:pStyle w:val="17"/>
        <w:rPr>
          <w:rFonts w:ascii="Times New Roman" w:hAnsi="Times New Roman" w:eastAsia="宋体" w:cs="Times New Roman"/>
          <w:b/>
          <w:bCs/>
          <w:color w:val="000000"/>
          <w:sz w:val="24"/>
          <w:szCs w:val="24"/>
          <w:highlight w:val="none"/>
        </w:rPr>
      </w:pPr>
    </w:p>
    <w:p w14:paraId="1B1620C5">
      <w:pPr>
        <w:pStyle w:val="17"/>
        <w:rPr>
          <w:rFonts w:ascii="Times New Roman" w:hAnsi="Times New Roman" w:eastAsia="宋体" w:cs="Times New Roman"/>
          <w:b/>
          <w:bCs/>
          <w:color w:val="000000"/>
          <w:sz w:val="24"/>
          <w:szCs w:val="24"/>
          <w:highlight w:val="none"/>
        </w:rPr>
      </w:pPr>
    </w:p>
    <w:p w14:paraId="3AF3DD77">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883E50A">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424268A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8B58E5C">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23220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6DD791B">
      <w:pPr>
        <w:rPr>
          <w:rFonts w:ascii="宋体" w:hAnsi="Calibri" w:eastAsia="宋体" w:cs="宋体"/>
          <w:b/>
          <w:bCs/>
          <w:color w:val="000000"/>
          <w:sz w:val="28"/>
          <w:szCs w:val="20"/>
          <w:highlight w:val="none"/>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eastAsia="zh-CN"/>
        </w:rPr>
        <w:t>试车台架冷却塔更新改造项目、真空混砂机等冷却塔更新改造项目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中国重汽集团杭州发动机有限公司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B3D0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47A3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573C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75D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B66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03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161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39E9E4D">
      <w:pPr>
        <w:rPr>
          <w:rFonts w:ascii="宋体" w:hAnsi="Calibri" w:eastAsia="宋体" w:cs="宋体"/>
          <w:b/>
          <w:bCs/>
          <w:color w:val="000000"/>
          <w:sz w:val="28"/>
          <w:szCs w:val="20"/>
          <w:highlight w:val="none"/>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45C1C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试车台架冷却塔更新改造项目、真空混砂机等冷却塔更新改造项目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7F649D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E7AFA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EE2E1E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highlight w:val="none"/>
              </w:rPr>
            </w:pPr>
          </w:p>
        </w:tc>
        <w:tc>
          <w:tcPr>
            <w:tcW w:w="3449" w:type="dxa"/>
          </w:tcPr>
          <w:p w14:paraId="37179F11">
            <w:pPr>
              <w:jc w:val="center"/>
              <w:rPr>
                <w:rFonts w:ascii="Times New Roman" w:hAnsi="Times New Roman" w:eastAsia="宋体" w:cs="Times New Roman"/>
                <w:b/>
                <w:sz w:val="24"/>
                <w:szCs w:val="20"/>
                <w:highlight w:val="none"/>
              </w:rPr>
            </w:pPr>
          </w:p>
        </w:tc>
        <w:tc>
          <w:tcPr>
            <w:tcW w:w="2414" w:type="dxa"/>
          </w:tcPr>
          <w:p w14:paraId="203E3096">
            <w:pPr>
              <w:jc w:val="center"/>
              <w:rPr>
                <w:rFonts w:ascii="Times New Roman" w:hAnsi="Times New Roman" w:eastAsia="宋体" w:cs="Times New Roman"/>
                <w:b/>
                <w:sz w:val="24"/>
                <w:szCs w:val="20"/>
                <w:highlight w:val="none"/>
              </w:rPr>
            </w:pPr>
          </w:p>
        </w:tc>
        <w:tc>
          <w:tcPr>
            <w:tcW w:w="1608" w:type="dxa"/>
          </w:tcPr>
          <w:p w14:paraId="0CDAA311">
            <w:pPr>
              <w:jc w:val="center"/>
              <w:rPr>
                <w:rFonts w:ascii="Times New Roman" w:hAnsi="Times New Roman" w:eastAsia="宋体" w:cs="Times New Roman"/>
                <w:b/>
                <w:sz w:val="24"/>
                <w:szCs w:val="20"/>
                <w:highlight w:val="none"/>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highlight w:val="none"/>
              </w:rPr>
            </w:pPr>
          </w:p>
        </w:tc>
        <w:tc>
          <w:tcPr>
            <w:tcW w:w="3449" w:type="dxa"/>
          </w:tcPr>
          <w:p w14:paraId="15895F3C">
            <w:pPr>
              <w:jc w:val="center"/>
              <w:rPr>
                <w:rFonts w:ascii="Times New Roman" w:hAnsi="Times New Roman" w:eastAsia="宋体" w:cs="Times New Roman"/>
                <w:b/>
                <w:sz w:val="24"/>
                <w:szCs w:val="20"/>
                <w:highlight w:val="none"/>
              </w:rPr>
            </w:pPr>
          </w:p>
        </w:tc>
        <w:tc>
          <w:tcPr>
            <w:tcW w:w="2414" w:type="dxa"/>
          </w:tcPr>
          <w:p w14:paraId="52174342">
            <w:pPr>
              <w:jc w:val="center"/>
              <w:rPr>
                <w:rFonts w:ascii="Times New Roman" w:hAnsi="Times New Roman" w:eastAsia="宋体" w:cs="Times New Roman"/>
                <w:b/>
                <w:sz w:val="24"/>
                <w:szCs w:val="20"/>
                <w:highlight w:val="none"/>
              </w:rPr>
            </w:pPr>
          </w:p>
        </w:tc>
        <w:tc>
          <w:tcPr>
            <w:tcW w:w="1608" w:type="dxa"/>
          </w:tcPr>
          <w:p w14:paraId="617C193C">
            <w:pPr>
              <w:jc w:val="center"/>
              <w:rPr>
                <w:rFonts w:ascii="Times New Roman" w:hAnsi="Times New Roman" w:eastAsia="宋体" w:cs="Times New Roman"/>
                <w:b/>
                <w:sz w:val="24"/>
                <w:szCs w:val="20"/>
                <w:highlight w:val="none"/>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highlight w:val="none"/>
              </w:rPr>
            </w:pPr>
          </w:p>
        </w:tc>
        <w:tc>
          <w:tcPr>
            <w:tcW w:w="3449" w:type="dxa"/>
          </w:tcPr>
          <w:p w14:paraId="64B667A5">
            <w:pPr>
              <w:jc w:val="center"/>
              <w:rPr>
                <w:rFonts w:ascii="Times New Roman" w:hAnsi="Times New Roman" w:eastAsia="宋体" w:cs="Times New Roman"/>
                <w:b/>
                <w:sz w:val="24"/>
                <w:szCs w:val="20"/>
                <w:highlight w:val="none"/>
              </w:rPr>
            </w:pPr>
          </w:p>
        </w:tc>
        <w:tc>
          <w:tcPr>
            <w:tcW w:w="2414" w:type="dxa"/>
          </w:tcPr>
          <w:p w14:paraId="44B3071A">
            <w:pPr>
              <w:jc w:val="center"/>
              <w:rPr>
                <w:rFonts w:ascii="Times New Roman" w:hAnsi="Times New Roman" w:eastAsia="宋体" w:cs="Times New Roman"/>
                <w:b/>
                <w:sz w:val="24"/>
                <w:szCs w:val="20"/>
                <w:highlight w:val="none"/>
              </w:rPr>
            </w:pPr>
          </w:p>
        </w:tc>
        <w:tc>
          <w:tcPr>
            <w:tcW w:w="1608" w:type="dxa"/>
          </w:tcPr>
          <w:p w14:paraId="232438FA">
            <w:pPr>
              <w:jc w:val="center"/>
              <w:rPr>
                <w:rFonts w:ascii="Times New Roman" w:hAnsi="Times New Roman" w:eastAsia="宋体" w:cs="Times New Roman"/>
                <w:b/>
                <w:sz w:val="24"/>
                <w:szCs w:val="20"/>
                <w:highlight w:val="none"/>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highlight w:val="none"/>
              </w:rPr>
            </w:pPr>
          </w:p>
        </w:tc>
        <w:tc>
          <w:tcPr>
            <w:tcW w:w="3449" w:type="dxa"/>
          </w:tcPr>
          <w:p w14:paraId="0C3A5831">
            <w:pPr>
              <w:jc w:val="center"/>
              <w:rPr>
                <w:rFonts w:ascii="Times New Roman" w:hAnsi="Times New Roman" w:eastAsia="宋体" w:cs="Times New Roman"/>
                <w:b/>
                <w:sz w:val="24"/>
                <w:szCs w:val="20"/>
                <w:highlight w:val="none"/>
              </w:rPr>
            </w:pPr>
          </w:p>
        </w:tc>
        <w:tc>
          <w:tcPr>
            <w:tcW w:w="2414" w:type="dxa"/>
          </w:tcPr>
          <w:p w14:paraId="3555FD0F">
            <w:pPr>
              <w:jc w:val="center"/>
              <w:rPr>
                <w:rFonts w:ascii="Times New Roman" w:hAnsi="Times New Roman" w:eastAsia="宋体" w:cs="Times New Roman"/>
                <w:b/>
                <w:sz w:val="24"/>
                <w:szCs w:val="20"/>
                <w:highlight w:val="none"/>
              </w:rPr>
            </w:pPr>
          </w:p>
        </w:tc>
        <w:tc>
          <w:tcPr>
            <w:tcW w:w="1608" w:type="dxa"/>
          </w:tcPr>
          <w:p w14:paraId="3ED9F733">
            <w:pPr>
              <w:jc w:val="center"/>
              <w:rPr>
                <w:rFonts w:ascii="Times New Roman" w:hAnsi="Times New Roman" w:eastAsia="宋体" w:cs="Times New Roman"/>
                <w:b/>
                <w:sz w:val="24"/>
                <w:szCs w:val="20"/>
                <w:highlight w:val="none"/>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highlight w:val="none"/>
              </w:rPr>
            </w:pPr>
          </w:p>
        </w:tc>
        <w:tc>
          <w:tcPr>
            <w:tcW w:w="3449" w:type="dxa"/>
          </w:tcPr>
          <w:p w14:paraId="5518B909">
            <w:pPr>
              <w:jc w:val="center"/>
              <w:rPr>
                <w:rFonts w:ascii="Times New Roman" w:hAnsi="Times New Roman" w:eastAsia="宋体" w:cs="Times New Roman"/>
                <w:b/>
                <w:sz w:val="24"/>
                <w:szCs w:val="20"/>
                <w:highlight w:val="none"/>
              </w:rPr>
            </w:pPr>
          </w:p>
        </w:tc>
        <w:tc>
          <w:tcPr>
            <w:tcW w:w="2414" w:type="dxa"/>
          </w:tcPr>
          <w:p w14:paraId="307F7080">
            <w:pPr>
              <w:jc w:val="center"/>
              <w:rPr>
                <w:rFonts w:ascii="Times New Roman" w:hAnsi="Times New Roman" w:eastAsia="宋体" w:cs="Times New Roman"/>
                <w:b/>
                <w:sz w:val="24"/>
                <w:szCs w:val="20"/>
                <w:highlight w:val="none"/>
              </w:rPr>
            </w:pPr>
          </w:p>
        </w:tc>
        <w:tc>
          <w:tcPr>
            <w:tcW w:w="1608" w:type="dxa"/>
          </w:tcPr>
          <w:p w14:paraId="240BBD5C">
            <w:pPr>
              <w:jc w:val="center"/>
              <w:rPr>
                <w:rFonts w:ascii="Times New Roman" w:hAnsi="Times New Roman" w:eastAsia="宋体" w:cs="Times New Roman"/>
                <w:b/>
                <w:sz w:val="24"/>
                <w:szCs w:val="20"/>
                <w:highlight w:val="none"/>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highlight w:val="none"/>
              </w:rPr>
            </w:pPr>
          </w:p>
        </w:tc>
        <w:tc>
          <w:tcPr>
            <w:tcW w:w="3449" w:type="dxa"/>
          </w:tcPr>
          <w:p w14:paraId="1319CAE3">
            <w:pPr>
              <w:jc w:val="center"/>
              <w:rPr>
                <w:rFonts w:ascii="Times New Roman" w:hAnsi="Times New Roman" w:eastAsia="宋体" w:cs="Times New Roman"/>
                <w:b/>
                <w:sz w:val="24"/>
                <w:szCs w:val="20"/>
                <w:highlight w:val="none"/>
              </w:rPr>
            </w:pPr>
          </w:p>
        </w:tc>
        <w:tc>
          <w:tcPr>
            <w:tcW w:w="2414" w:type="dxa"/>
          </w:tcPr>
          <w:p w14:paraId="5F892C72">
            <w:pPr>
              <w:jc w:val="center"/>
              <w:rPr>
                <w:rFonts w:ascii="Times New Roman" w:hAnsi="Times New Roman" w:eastAsia="宋体" w:cs="Times New Roman"/>
                <w:b/>
                <w:sz w:val="24"/>
                <w:szCs w:val="20"/>
                <w:highlight w:val="none"/>
              </w:rPr>
            </w:pPr>
          </w:p>
        </w:tc>
        <w:tc>
          <w:tcPr>
            <w:tcW w:w="1608" w:type="dxa"/>
          </w:tcPr>
          <w:p w14:paraId="2C7B0448">
            <w:pPr>
              <w:jc w:val="center"/>
              <w:rPr>
                <w:rFonts w:ascii="Times New Roman" w:hAnsi="Times New Roman" w:eastAsia="宋体" w:cs="Times New Roman"/>
                <w:b/>
                <w:sz w:val="24"/>
                <w:szCs w:val="20"/>
                <w:highlight w:val="none"/>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highlight w:val="none"/>
              </w:rPr>
            </w:pPr>
          </w:p>
        </w:tc>
        <w:tc>
          <w:tcPr>
            <w:tcW w:w="3449" w:type="dxa"/>
          </w:tcPr>
          <w:p w14:paraId="7C823F97">
            <w:pPr>
              <w:jc w:val="center"/>
              <w:rPr>
                <w:rFonts w:ascii="Times New Roman" w:hAnsi="Times New Roman" w:eastAsia="宋体" w:cs="Times New Roman"/>
                <w:b/>
                <w:sz w:val="24"/>
                <w:szCs w:val="20"/>
                <w:highlight w:val="none"/>
              </w:rPr>
            </w:pPr>
          </w:p>
        </w:tc>
        <w:tc>
          <w:tcPr>
            <w:tcW w:w="2414" w:type="dxa"/>
          </w:tcPr>
          <w:p w14:paraId="2BCE8303">
            <w:pPr>
              <w:jc w:val="center"/>
              <w:rPr>
                <w:rFonts w:ascii="Times New Roman" w:hAnsi="Times New Roman" w:eastAsia="宋体" w:cs="Times New Roman"/>
                <w:b/>
                <w:sz w:val="24"/>
                <w:szCs w:val="20"/>
                <w:highlight w:val="none"/>
              </w:rPr>
            </w:pPr>
          </w:p>
        </w:tc>
        <w:tc>
          <w:tcPr>
            <w:tcW w:w="1608" w:type="dxa"/>
          </w:tcPr>
          <w:p w14:paraId="2C84C702">
            <w:pPr>
              <w:jc w:val="center"/>
              <w:rPr>
                <w:rFonts w:ascii="Times New Roman" w:hAnsi="Times New Roman" w:eastAsia="宋体" w:cs="Times New Roman"/>
                <w:b/>
                <w:sz w:val="24"/>
                <w:szCs w:val="20"/>
                <w:highlight w:val="none"/>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highlight w:val="none"/>
              </w:rPr>
            </w:pPr>
          </w:p>
        </w:tc>
        <w:tc>
          <w:tcPr>
            <w:tcW w:w="3449" w:type="dxa"/>
          </w:tcPr>
          <w:p w14:paraId="12F0B10F">
            <w:pPr>
              <w:jc w:val="center"/>
              <w:rPr>
                <w:rFonts w:ascii="Times New Roman" w:hAnsi="Times New Roman" w:eastAsia="宋体" w:cs="Times New Roman"/>
                <w:b/>
                <w:sz w:val="24"/>
                <w:szCs w:val="20"/>
                <w:highlight w:val="none"/>
              </w:rPr>
            </w:pPr>
          </w:p>
        </w:tc>
        <w:tc>
          <w:tcPr>
            <w:tcW w:w="2414" w:type="dxa"/>
          </w:tcPr>
          <w:p w14:paraId="36C54971">
            <w:pPr>
              <w:jc w:val="center"/>
              <w:rPr>
                <w:rFonts w:ascii="Times New Roman" w:hAnsi="Times New Roman" w:eastAsia="宋体" w:cs="Times New Roman"/>
                <w:b/>
                <w:sz w:val="24"/>
                <w:szCs w:val="20"/>
                <w:highlight w:val="none"/>
              </w:rPr>
            </w:pPr>
          </w:p>
        </w:tc>
        <w:tc>
          <w:tcPr>
            <w:tcW w:w="1608" w:type="dxa"/>
          </w:tcPr>
          <w:p w14:paraId="499F4858">
            <w:pPr>
              <w:jc w:val="center"/>
              <w:rPr>
                <w:rFonts w:ascii="Times New Roman" w:hAnsi="Times New Roman" w:eastAsia="宋体" w:cs="Times New Roman"/>
                <w:b/>
                <w:sz w:val="24"/>
                <w:szCs w:val="20"/>
                <w:highlight w:val="none"/>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highlight w:val="none"/>
              </w:rPr>
            </w:pPr>
          </w:p>
        </w:tc>
        <w:tc>
          <w:tcPr>
            <w:tcW w:w="3449" w:type="dxa"/>
          </w:tcPr>
          <w:p w14:paraId="2A00B220">
            <w:pPr>
              <w:jc w:val="center"/>
              <w:rPr>
                <w:rFonts w:ascii="Times New Roman" w:hAnsi="Times New Roman" w:eastAsia="宋体" w:cs="Times New Roman"/>
                <w:b/>
                <w:sz w:val="24"/>
                <w:szCs w:val="20"/>
                <w:highlight w:val="none"/>
              </w:rPr>
            </w:pPr>
          </w:p>
        </w:tc>
        <w:tc>
          <w:tcPr>
            <w:tcW w:w="2414" w:type="dxa"/>
          </w:tcPr>
          <w:p w14:paraId="77BE407A">
            <w:pPr>
              <w:jc w:val="center"/>
              <w:rPr>
                <w:rFonts w:ascii="Times New Roman" w:hAnsi="Times New Roman" w:eastAsia="宋体" w:cs="Times New Roman"/>
                <w:b/>
                <w:sz w:val="24"/>
                <w:szCs w:val="20"/>
                <w:highlight w:val="none"/>
              </w:rPr>
            </w:pPr>
          </w:p>
        </w:tc>
        <w:tc>
          <w:tcPr>
            <w:tcW w:w="1608" w:type="dxa"/>
          </w:tcPr>
          <w:p w14:paraId="58BC73C4">
            <w:pPr>
              <w:jc w:val="center"/>
              <w:rPr>
                <w:rFonts w:ascii="Times New Roman" w:hAnsi="Times New Roman" w:eastAsia="宋体" w:cs="Times New Roman"/>
                <w:b/>
                <w:sz w:val="24"/>
                <w:szCs w:val="20"/>
                <w:highlight w:val="none"/>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highlight w:val="none"/>
              </w:rPr>
            </w:pPr>
          </w:p>
        </w:tc>
        <w:tc>
          <w:tcPr>
            <w:tcW w:w="3449" w:type="dxa"/>
          </w:tcPr>
          <w:p w14:paraId="75F0A1D4">
            <w:pPr>
              <w:jc w:val="center"/>
              <w:rPr>
                <w:rFonts w:ascii="Times New Roman" w:hAnsi="Times New Roman" w:eastAsia="宋体" w:cs="Times New Roman"/>
                <w:b/>
                <w:sz w:val="24"/>
                <w:szCs w:val="20"/>
                <w:highlight w:val="none"/>
              </w:rPr>
            </w:pPr>
          </w:p>
        </w:tc>
        <w:tc>
          <w:tcPr>
            <w:tcW w:w="2414" w:type="dxa"/>
          </w:tcPr>
          <w:p w14:paraId="2B7D454B">
            <w:pPr>
              <w:jc w:val="center"/>
              <w:rPr>
                <w:rFonts w:ascii="Times New Roman" w:hAnsi="Times New Roman" w:eastAsia="宋体" w:cs="Times New Roman"/>
                <w:b/>
                <w:sz w:val="24"/>
                <w:szCs w:val="20"/>
                <w:highlight w:val="none"/>
              </w:rPr>
            </w:pPr>
          </w:p>
        </w:tc>
        <w:tc>
          <w:tcPr>
            <w:tcW w:w="1608" w:type="dxa"/>
          </w:tcPr>
          <w:p w14:paraId="7FD80AB6">
            <w:pPr>
              <w:jc w:val="center"/>
              <w:rPr>
                <w:rFonts w:ascii="Times New Roman" w:hAnsi="Times New Roman" w:eastAsia="宋体" w:cs="Times New Roman"/>
                <w:b/>
                <w:sz w:val="24"/>
                <w:szCs w:val="20"/>
                <w:highlight w:val="none"/>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highlight w:val="none"/>
              </w:rPr>
            </w:pPr>
          </w:p>
        </w:tc>
        <w:tc>
          <w:tcPr>
            <w:tcW w:w="3449" w:type="dxa"/>
          </w:tcPr>
          <w:p w14:paraId="3A04244A">
            <w:pPr>
              <w:jc w:val="center"/>
              <w:rPr>
                <w:rFonts w:ascii="Times New Roman" w:hAnsi="Times New Roman" w:eastAsia="宋体" w:cs="Times New Roman"/>
                <w:b/>
                <w:sz w:val="24"/>
                <w:szCs w:val="20"/>
                <w:highlight w:val="none"/>
              </w:rPr>
            </w:pPr>
          </w:p>
        </w:tc>
        <w:tc>
          <w:tcPr>
            <w:tcW w:w="2414" w:type="dxa"/>
          </w:tcPr>
          <w:p w14:paraId="4BF0EDCB">
            <w:pPr>
              <w:jc w:val="center"/>
              <w:rPr>
                <w:rFonts w:ascii="Times New Roman" w:hAnsi="Times New Roman" w:eastAsia="宋体" w:cs="Times New Roman"/>
                <w:b/>
                <w:sz w:val="24"/>
                <w:szCs w:val="20"/>
                <w:highlight w:val="none"/>
              </w:rPr>
            </w:pPr>
          </w:p>
        </w:tc>
        <w:tc>
          <w:tcPr>
            <w:tcW w:w="1608" w:type="dxa"/>
          </w:tcPr>
          <w:p w14:paraId="74DF6673">
            <w:pPr>
              <w:jc w:val="center"/>
              <w:rPr>
                <w:rFonts w:ascii="Times New Roman" w:hAnsi="Times New Roman" w:eastAsia="宋体" w:cs="Times New Roman"/>
                <w:b/>
                <w:sz w:val="24"/>
                <w:szCs w:val="20"/>
                <w:highlight w:val="none"/>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highlight w:val="none"/>
              </w:rPr>
            </w:pPr>
          </w:p>
        </w:tc>
        <w:tc>
          <w:tcPr>
            <w:tcW w:w="3449" w:type="dxa"/>
          </w:tcPr>
          <w:p w14:paraId="786109B0">
            <w:pPr>
              <w:jc w:val="center"/>
              <w:rPr>
                <w:rFonts w:ascii="Times New Roman" w:hAnsi="Times New Roman" w:eastAsia="宋体" w:cs="Times New Roman"/>
                <w:b/>
                <w:sz w:val="24"/>
                <w:szCs w:val="20"/>
                <w:highlight w:val="none"/>
              </w:rPr>
            </w:pPr>
          </w:p>
        </w:tc>
        <w:tc>
          <w:tcPr>
            <w:tcW w:w="2414" w:type="dxa"/>
          </w:tcPr>
          <w:p w14:paraId="3DBDA0CB">
            <w:pPr>
              <w:jc w:val="center"/>
              <w:rPr>
                <w:rFonts w:ascii="Times New Roman" w:hAnsi="Times New Roman" w:eastAsia="宋体" w:cs="Times New Roman"/>
                <w:b/>
                <w:sz w:val="24"/>
                <w:szCs w:val="20"/>
                <w:highlight w:val="none"/>
              </w:rPr>
            </w:pPr>
          </w:p>
        </w:tc>
        <w:tc>
          <w:tcPr>
            <w:tcW w:w="1608" w:type="dxa"/>
          </w:tcPr>
          <w:p w14:paraId="2ECE6F54">
            <w:pPr>
              <w:jc w:val="center"/>
              <w:rPr>
                <w:rFonts w:ascii="Times New Roman" w:hAnsi="Times New Roman" w:eastAsia="宋体" w:cs="Times New Roman"/>
                <w:b/>
                <w:sz w:val="24"/>
                <w:szCs w:val="20"/>
                <w:highlight w:val="none"/>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highlight w:val="none"/>
              </w:rPr>
            </w:pPr>
          </w:p>
        </w:tc>
        <w:tc>
          <w:tcPr>
            <w:tcW w:w="3449" w:type="dxa"/>
          </w:tcPr>
          <w:p w14:paraId="6EF521E3">
            <w:pPr>
              <w:jc w:val="center"/>
              <w:rPr>
                <w:rFonts w:ascii="Times New Roman" w:hAnsi="Times New Roman" w:eastAsia="宋体" w:cs="Times New Roman"/>
                <w:b/>
                <w:sz w:val="24"/>
                <w:szCs w:val="20"/>
                <w:highlight w:val="none"/>
              </w:rPr>
            </w:pPr>
          </w:p>
        </w:tc>
        <w:tc>
          <w:tcPr>
            <w:tcW w:w="2414" w:type="dxa"/>
          </w:tcPr>
          <w:p w14:paraId="4D21F621">
            <w:pPr>
              <w:jc w:val="center"/>
              <w:rPr>
                <w:rFonts w:ascii="Times New Roman" w:hAnsi="Times New Roman" w:eastAsia="宋体" w:cs="Times New Roman"/>
                <w:b/>
                <w:sz w:val="24"/>
                <w:szCs w:val="20"/>
                <w:highlight w:val="none"/>
              </w:rPr>
            </w:pPr>
          </w:p>
        </w:tc>
        <w:tc>
          <w:tcPr>
            <w:tcW w:w="1608" w:type="dxa"/>
          </w:tcPr>
          <w:p w14:paraId="2AEC22C9">
            <w:pPr>
              <w:jc w:val="center"/>
              <w:rPr>
                <w:rFonts w:ascii="Times New Roman" w:hAnsi="Times New Roman" w:eastAsia="宋体" w:cs="Times New Roman"/>
                <w:b/>
                <w:sz w:val="24"/>
                <w:szCs w:val="20"/>
                <w:highlight w:val="none"/>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highlight w:val="none"/>
              </w:rPr>
            </w:pPr>
          </w:p>
        </w:tc>
        <w:tc>
          <w:tcPr>
            <w:tcW w:w="3449" w:type="dxa"/>
          </w:tcPr>
          <w:p w14:paraId="612E39AE">
            <w:pPr>
              <w:jc w:val="center"/>
              <w:rPr>
                <w:rFonts w:ascii="Times New Roman" w:hAnsi="Times New Roman" w:eastAsia="宋体" w:cs="Times New Roman"/>
                <w:b/>
                <w:sz w:val="24"/>
                <w:szCs w:val="20"/>
                <w:highlight w:val="none"/>
              </w:rPr>
            </w:pPr>
          </w:p>
        </w:tc>
        <w:tc>
          <w:tcPr>
            <w:tcW w:w="2414" w:type="dxa"/>
          </w:tcPr>
          <w:p w14:paraId="4567AC17">
            <w:pPr>
              <w:jc w:val="center"/>
              <w:rPr>
                <w:rFonts w:ascii="Times New Roman" w:hAnsi="Times New Roman" w:eastAsia="宋体" w:cs="Times New Roman"/>
                <w:b/>
                <w:sz w:val="24"/>
                <w:szCs w:val="20"/>
                <w:highlight w:val="none"/>
              </w:rPr>
            </w:pPr>
          </w:p>
        </w:tc>
        <w:tc>
          <w:tcPr>
            <w:tcW w:w="1608" w:type="dxa"/>
          </w:tcPr>
          <w:p w14:paraId="3541CD11">
            <w:pPr>
              <w:jc w:val="center"/>
              <w:rPr>
                <w:rFonts w:ascii="Times New Roman" w:hAnsi="Times New Roman" w:eastAsia="宋体" w:cs="Times New Roman"/>
                <w:b/>
                <w:sz w:val="24"/>
                <w:szCs w:val="20"/>
                <w:highlight w:val="none"/>
              </w:rPr>
            </w:pPr>
          </w:p>
        </w:tc>
      </w:tr>
    </w:tbl>
    <w:p w14:paraId="0E7689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47391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AB8C82">
      <w:pPr>
        <w:rPr>
          <w:rFonts w:ascii="宋体" w:hAnsi="Calibri" w:eastAsia="宋体" w:cs="宋体"/>
          <w:b/>
          <w:bCs/>
          <w:color w:val="000000"/>
          <w:sz w:val="28"/>
          <w:szCs w:val="20"/>
          <w:highlight w:val="none"/>
        </w:rPr>
      </w:pPr>
    </w:p>
    <w:p w14:paraId="203A0037">
      <w:pPr>
        <w:rPr>
          <w:rFonts w:ascii="宋体" w:hAnsi="Calibri" w:eastAsia="宋体" w:cs="宋体"/>
          <w:b/>
          <w:bCs/>
          <w:color w:val="000000"/>
          <w:sz w:val="28"/>
          <w:szCs w:val="20"/>
          <w:highlight w:val="none"/>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5E6C5C2E">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链道输送</w:t>
            </w: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E43300A">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1D235A">
            <w:pPr>
              <w:rPr>
                <w:rFonts w:ascii="Arial"/>
                <w:highlight w:val="none"/>
              </w:rPr>
            </w:pPr>
          </w:p>
        </w:tc>
        <w:tc>
          <w:tcPr>
            <w:tcW w:w="1496" w:type="dxa"/>
            <w:vAlign w:val="center"/>
          </w:tcPr>
          <w:p w14:paraId="12EAAB4F">
            <w:pPr>
              <w:jc w:val="center"/>
              <w:textAlignment w:val="center"/>
              <w:rPr>
                <w:rFonts w:ascii="宋体" w:hAnsi="宋体" w:eastAsia="宋体" w:cs="宋体"/>
                <w:kern w:val="2"/>
                <w:sz w:val="24"/>
                <w:szCs w:val="24"/>
                <w:highlight w:val="none"/>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A3EF8D2">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举升输送</w:t>
            </w: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EA818B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3766D40">
            <w:pPr>
              <w:rPr>
                <w:rFonts w:ascii="Arial"/>
                <w:highlight w:val="none"/>
              </w:rPr>
            </w:pPr>
          </w:p>
        </w:tc>
        <w:tc>
          <w:tcPr>
            <w:tcW w:w="1496" w:type="dxa"/>
            <w:vAlign w:val="center"/>
          </w:tcPr>
          <w:p w14:paraId="5EE2B43E">
            <w:pPr>
              <w:jc w:val="center"/>
              <w:textAlignment w:val="center"/>
              <w:rPr>
                <w:rFonts w:ascii="宋体" w:hAnsi="宋体" w:eastAsia="宋体" w:cs="宋体"/>
                <w:kern w:val="2"/>
                <w:sz w:val="24"/>
                <w:szCs w:val="24"/>
                <w:highlight w:val="none"/>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5079D264">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辊道输送</w:t>
            </w: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6FBDD9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10B3CDA">
            <w:pPr>
              <w:rPr>
                <w:rFonts w:ascii="Arial"/>
                <w:highlight w:val="none"/>
              </w:rPr>
            </w:pPr>
          </w:p>
        </w:tc>
        <w:tc>
          <w:tcPr>
            <w:tcW w:w="1496" w:type="dxa"/>
            <w:vAlign w:val="center"/>
          </w:tcPr>
          <w:p w14:paraId="71FAC5DB">
            <w:pPr>
              <w:jc w:val="center"/>
              <w:textAlignment w:val="center"/>
              <w:rPr>
                <w:rFonts w:hint="default" w:ascii="宋体" w:hAnsi="宋体" w:eastAsia="宋体" w:cs="宋体"/>
                <w:kern w:val="2"/>
                <w:sz w:val="24"/>
                <w:szCs w:val="24"/>
                <w:highlight w:val="none"/>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312E5543">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电气控制系统</w:t>
            </w: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AD5D9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0C285871">
            <w:pPr>
              <w:rPr>
                <w:rFonts w:ascii="Arial"/>
                <w:highlight w:val="none"/>
              </w:rPr>
            </w:pPr>
          </w:p>
        </w:tc>
        <w:tc>
          <w:tcPr>
            <w:tcW w:w="1496" w:type="dxa"/>
            <w:vAlign w:val="center"/>
          </w:tcPr>
          <w:p w14:paraId="35D6A9C1">
            <w:pPr>
              <w:jc w:val="center"/>
              <w:textAlignment w:val="center"/>
              <w:rPr>
                <w:rFonts w:hint="default" w:ascii="宋体" w:hAnsi="宋体" w:eastAsia="宋体" w:cs="宋体"/>
                <w:kern w:val="2"/>
                <w:sz w:val="24"/>
                <w:szCs w:val="24"/>
                <w:highlight w:val="none"/>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1E38AC12">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气动系统</w:t>
            </w: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127DC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261F48A">
            <w:pPr>
              <w:rPr>
                <w:rFonts w:ascii="Arial"/>
                <w:highlight w:val="none"/>
              </w:rPr>
            </w:pPr>
          </w:p>
        </w:tc>
        <w:tc>
          <w:tcPr>
            <w:tcW w:w="1496" w:type="dxa"/>
            <w:vAlign w:val="center"/>
          </w:tcPr>
          <w:p w14:paraId="4DD7F35E">
            <w:pPr>
              <w:jc w:val="center"/>
              <w:textAlignment w:val="center"/>
              <w:rPr>
                <w:rFonts w:ascii="宋体" w:hAnsi="宋体" w:eastAsia="宋体" w:cs="宋体"/>
                <w:kern w:val="2"/>
                <w:sz w:val="24"/>
                <w:szCs w:val="24"/>
                <w:highlight w:val="none"/>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0"/>
              <w:numPr>
                <w:ilvl w:val="0"/>
                <w:numId w:val="0"/>
              </w:numPr>
              <w:adjustRightInd w:val="0"/>
              <w:snapToGrid w:val="0"/>
              <w:spacing w:line="240" w:lineRule="auto"/>
              <w:ind w:left="0" w:leftChars="0" w:firstLine="0" w:firstLineChars="0"/>
              <w:jc w:val="center"/>
              <w:rPr>
                <w:rFonts w:hint="default" w:cs="宋体"/>
                <w:kern w:val="2"/>
                <w:sz w:val="22"/>
                <w:szCs w:val="22"/>
                <w:highlight w:val="none"/>
                <w:lang w:val="en-US" w:eastAsia="zh-CN" w:bidi="ar-SA"/>
              </w:rPr>
            </w:pPr>
            <w:r>
              <w:rPr>
                <w:rFonts w:hint="eastAsia" w:cs="宋体"/>
                <w:kern w:val="2"/>
                <w:sz w:val="22"/>
                <w:szCs w:val="22"/>
                <w:highlight w:val="none"/>
                <w:lang w:val="en-US" w:eastAsia="zh-CN" w:bidi="ar-SA"/>
              </w:rPr>
              <w:t>6</w:t>
            </w: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润滑系统</w:t>
            </w: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808B007">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E5918ED">
            <w:pPr>
              <w:rPr>
                <w:rFonts w:ascii="Arial"/>
                <w:highlight w:val="none"/>
              </w:rPr>
            </w:pPr>
          </w:p>
        </w:tc>
        <w:tc>
          <w:tcPr>
            <w:tcW w:w="1496" w:type="dxa"/>
            <w:vAlign w:val="center"/>
          </w:tcPr>
          <w:p w14:paraId="162D18D5">
            <w:pPr>
              <w:jc w:val="center"/>
              <w:textAlignment w:val="center"/>
              <w:rPr>
                <w:rFonts w:ascii="宋体" w:hAnsi="宋体" w:eastAsia="宋体" w:cs="宋体"/>
                <w:kern w:val="2"/>
                <w:sz w:val="24"/>
                <w:szCs w:val="24"/>
                <w:highlight w:val="none"/>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E77C75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C6F865">
            <w:pPr>
              <w:rPr>
                <w:rFonts w:ascii="Arial"/>
                <w:highlight w:val="none"/>
              </w:rPr>
            </w:pPr>
          </w:p>
        </w:tc>
        <w:tc>
          <w:tcPr>
            <w:tcW w:w="1496" w:type="dxa"/>
            <w:vAlign w:val="center"/>
          </w:tcPr>
          <w:p w14:paraId="2289F65B">
            <w:pPr>
              <w:jc w:val="center"/>
              <w:textAlignment w:val="center"/>
              <w:rPr>
                <w:rFonts w:ascii="宋体" w:hAnsi="宋体" w:eastAsia="宋体" w:cs="宋体"/>
                <w:kern w:val="2"/>
                <w:sz w:val="24"/>
                <w:szCs w:val="24"/>
                <w:highlight w:val="none"/>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6A268A1">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0D734E3B">
            <w:pPr>
              <w:rPr>
                <w:rFonts w:hint="default" w:ascii="宋体" w:hAnsi="宋体" w:eastAsia="宋体" w:cs="宋体"/>
                <w:highlight w:val="none"/>
                <w:lang w:val="en-US" w:eastAsia="zh-CN"/>
              </w:rPr>
            </w:pPr>
          </w:p>
        </w:tc>
        <w:tc>
          <w:tcPr>
            <w:tcW w:w="1474" w:type="dxa"/>
            <w:vAlign w:val="top"/>
          </w:tcPr>
          <w:p w14:paraId="533B7B0E">
            <w:pPr>
              <w:rPr>
                <w:rFonts w:hint="default" w:ascii="宋体" w:hAnsi="宋体" w:eastAsia="宋体" w:cs="宋体"/>
                <w:kern w:val="2"/>
                <w:sz w:val="24"/>
                <w:szCs w:val="24"/>
                <w:highlight w:val="none"/>
                <w:lang w:val="en-US" w:eastAsia="zh-CN" w:bidi="ar-SA"/>
              </w:rPr>
            </w:pPr>
          </w:p>
        </w:tc>
        <w:tc>
          <w:tcPr>
            <w:tcW w:w="2014" w:type="dxa"/>
            <w:vAlign w:val="top"/>
          </w:tcPr>
          <w:p w14:paraId="571C83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7686D3A">
            <w:pPr>
              <w:rPr>
                <w:rFonts w:ascii="Arial"/>
                <w:highlight w:val="none"/>
              </w:rPr>
            </w:pPr>
          </w:p>
        </w:tc>
        <w:tc>
          <w:tcPr>
            <w:tcW w:w="1496" w:type="dxa"/>
            <w:vAlign w:val="center"/>
          </w:tcPr>
          <w:p w14:paraId="47AD720D">
            <w:pPr>
              <w:jc w:val="center"/>
              <w:textAlignment w:val="center"/>
              <w:rPr>
                <w:rFonts w:ascii="宋体" w:hAnsi="宋体" w:eastAsia="宋体" w:cs="宋体"/>
                <w:kern w:val="2"/>
                <w:sz w:val="24"/>
                <w:szCs w:val="24"/>
                <w:highlight w:val="none"/>
                <w:lang w:val="en-US" w:eastAsia="zh-CN" w:bidi="ar-SA"/>
              </w:rPr>
            </w:pPr>
          </w:p>
        </w:tc>
      </w:tr>
    </w:tbl>
    <w:p w14:paraId="35ADE9C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B46ABF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highlight w:val="none"/>
          <w:lang w:val="en-US" w:eastAsia="zh-CN"/>
        </w:rPr>
      </w:pPr>
    </w:p>
    <w:p w14:paraId="4461669D">
      <w:pPr>
        <w:spacing w:line="105" w:lineRule="exact"/>
        <w:rPr>
          <w:highlight w:val="none"/>
        </w:rPr>
      </w:pPr>
    </w:p>
    <w:p w14:paraId="7FC7C5DB">
      <w:pPr>
        <w:rPr>
          <w:rFonts w:hint="default" w:eastAsia="宋体"/>
          <w:highlight w:val="none"/>
          <w:lang w:val="en-US" w:eastAsia="zh-CN"/>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试车台架冷却塔更新改造项目、真空混砂机等冷却塔更新改造项目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highlight w:val="none"/>
              </w:rPr>
            </w:pPr>
          </w:p>
        </w:tc>
        <w:tc>
          <w:tcPr>
            <w:tcW w:w="2082" w:type="dxa"/>
          </w:tcPr>
          <w:p w14:paraId="02E490BF">
            <w:pPr>
              <w:ind w:left="420" w:hanging="420"/>
              <w:rPr>
                <w:rFonts w:ascii="宋体" w:hAnsi="Times New Roman" w:eastAsia="宋体" w:cs="Times New Roman"/>
                <w:b/>
                <w:szCs w:val="20"/>
                <w:highlight w:val="none"/>
              </w:rPr>
            </w:pPr>
          </w:p>
        </w:tc>
        <w:tc>
          <w:tcPr>
            <w:tcW w:w="1355" w:type="dxa"/>
          </w:tcPr>
          <w:p w14:paraId="1591A809">
            <w:pPr>
              <w:ind w:left="420" w:hanging="420"/>
              <w:rPr>
                <w:rFonts w:ascii="宋体" w:hAnsi="Times New Roman" w:eastAsia="宋体" w:cs="Times New Roman"/>
                <w:b/>
                <w:szCs w:val="20"/>
                <w:highlight w:val="none"/>
              </w:rPr>
            </w:pPr>
          </w:p>
        </w:tc>
        <w:tc>
          <w:tcPr>
            <w:tcW w:w="1320" w:type="dxa"/>
          </w:tcPr>
          <w:p w14:paraId="0FE8210A">
            <w:pPr>
              <w:ind w:left="420" w:hanging="420"/>
              <w:rPr>
                <w:rFonts w:ascii="宋体" w:hAnsi="Times New Roman" w:eastAsia="宋体" w:cs="Times New Roman"/>
                <w:b/>
                <w:szCs w:val="20"/>
                <w:highlight w:val="none"/>
              </w:rPr>
            </w:pPr>
          </w:p>
        </w:tc>
        <w:tc>
          <w:tcPr>
            <w:tcW w:w="1023" w:type="dxa"/>
          </w:tcPr>
          <w:p w14:paraId="574836DA">
            <w:pPr>
              <w:ind w:left="420" w:hanging="420"/>
              <w:rPr>
                <w:rFonts w:ascii="宋体" w:hAnsi="Times New Roman" w:eastAsia="宋体" w:cs="Times New Roman"/>
                <w:b/>
                <w:szCs w:val="20"/>
                <w:highlight w:val="none"/>
              </w:rPr>
            </w:pPr>
          </w:p>
        </w:tc>
        <w:tc>
          <w:tcPr>
            <w:tcW w:w="1590" w:type="dxa"/>
          </w:tcPr>
          <w:p w14:paraId="086D2835">
            <w:pPr>
              <w:ind w:left="420" w:hanging="420"/>
              <w:rPr>
                <w:rFonts w:ascii="宋体" w:hAnsi="Times New Roman" w:eastAsia="宋体" w:cs="Times New Roman"/>
                <w:b/>
                <w:szCs w:val="20"/>
                <w:highlight w:val="none"/>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highlight w:val="none"/>
              </w:rPr>
            </w:pPr>
          </w:p>
        </w:tc>
        <w:tc>
          <w:tcPr>
            <w:tcW w:w="2082" w:type="dxa"/>
          </w:tcPr>
          <w:p w14:paraId="73AA90C4">
            <w:pPr>
              <w:ind w:left="420" w:hanging="420"/>
              <w:rPr>
                <w:rFonts w:ascii="宋体" w:hAnsi="Times New Roman" w:eastAsia="宋体" w:cs="Times New Roman"/>
                <w:b/>
                <w:szCs w:val="20"/>
                <w:highlight w:val="none"/>
              </w:rPr>
            </w:pPr>
          </w:p>
        </w:tc>
        <w:tc>
          <w:tcPr>
            <w:tcW w:w="1355" w:type="dxa"/>
          </w:tcPr>
          <w:p w14:paraId="71809481">
            <w:pPr>
              <w:ind w:left="420" w:hanging="420"/>
              <w:rPr>
                <w:rFonts w:ascii="宋体" w:hAnsi="Times New Roman" w:eastAsia="宋体" w:cs="Times New Roman"/>
                <w:b/>
                <w:szCs w:val="20"/>
                <w:highlight w:val="none"/>
              </w:rPr>
            </w:pPr>
          </w:p>
        </w:tc>
        <w:tc>
          <w:tcPr>
            <w:tcW w:w="1320" w:type="dxa"/>
          </w:tcPr>
          <w:p w14:paraId="6CCE08E1">
            <w:pPr>
              <w:ind w:left="420" w:hanging="420"/>
              <w:rPr>
                <w:rFonts w:ascii="宋体" w:hAnsi="Times New Roman" w:eastAsia="宋体" w:cs="Times New Roman"/>
                <w:b/>
                <w:szCs w:val="20"/>
                <w:highlight w:val="none"/>
              </w:rPr>
            </w:pPr>
          </w:p>
        </w:tc>
        <w:tc>
          <w:tcPr>
            <w:tcW w:w="1023" w:type="dxa"/>
          </w:tcPr>
          <w:p w14:paraId="37378EDC">
            <w:pPr>
              <w:ind w:left="420" w:hanging="420"/>
              <w:rPr>
                <w:rFonts w:ascii="宋体" w:hAnsi="Times New Roman" w:eastAsia="宋体" w:cs="Times New Roman"/>
                <w:b/>
                <w:szCs w:val="20"/>
                <w:highlight w:val="none"/>
              </w:rPr>
            </w:pPr>
          </w:p>
        </w:tc>
        <w:tc>
          <w:tcPr>
            <w:tcW w:w="1590" w:type="dxa"/>
          </w:tcPr>
          <w:p w14:paraId="69704FC8">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ED7DFE6">
      <w:pPr>
        <w:rPr>
          <w:rFonts w:ascii="宋体" w:hAnsi="Calibri" w:eastAsia="宋体" w:cs="宋体"/>
          <w:b/>
          <w:bCs/>
          <w:color w:val="000000"/>
          <w:sz w:val="28"/>
          <w:highlight w:val="none"/>
        </w:rPr>
      </w:pPr>
    </w:p>
    <w:p w14:paraId="7AB55A76">
      <w:pPr>
        <w:rPr>
          <w:rFonts w:ascii="宋体" w:hAnsi="Calibri" w:eastAsia="宋体" w:cs="宋体"/>
          <w:b/>
          <w:bCs/>
          <w:color w:val="000000"/>
          <w:sz w:val="28"/>
          <w:highlight w:val="none"/>
        </w:rPr>
        <w:sectPr>
          <w:footerReference r:id="rId27" w:type="default"/>
          <w:pgSz w:w="11906" w:h="16838"/>
          <w:pgMar w:top="1588" w:right="1418" w:bottom="1134" w:left="1418" w:header="851" w:footer="992" w:gutter="0"/>
          <w:pgNumType w:fmt="decimal"/>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6224E264">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0E09DE">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lang w:eastAsia="zh-CN"/>
        </w:rPr>
        <w:t>试车台架冷却塔更新改造项目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中国重汽集团杭州发动机有限公司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8C4F9F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B749D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9C1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ADEF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1B8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A8F75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248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2C8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72E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8C6A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D520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3B3D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B09E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CA11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1D40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4904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49EF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68C4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4EC178">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3610C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D29B0F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377CAF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5B2B655">
      <w:pPr>
        <w:rPr>
          <w:rFonts w:ascii="宋体" w:hAnsi="Calibri" w:eastAsia="宋体" w:cs="宋体"/>
          <w:b/>
          <w:bCs/>
          <w:color w:val="000000"/>
          <w:sz w:val="28"/>
          <w:szCs w:val="20"/>
          <w:highlight w:val="none"/>
        </w:rPr>
        <w:sectPr>
          <w:footerReference r:id="rId29" w:type="first"/>
          <w:footerReference r:id="rId28" w:type="default"/>
          <w:pgSz w:w="11906" w:h="16838"/>
          <w:pgMar w:top="1588" w:right="1418" w:bottom="1134" w:left="1418" w:header="851" w:footer="992" w:gutter="0"/>
          <w:pgNumType w:fmt="decimal"/>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w:t>
      </w:r>
      <w:r>
        <w:rPr>
          <w:rFonts w:hint="eastAsia" w:ascii="宋体" w:hAnsi="宋体" w:eastAsia="宋体" w:cs="Times New Roman"/>
          <w:b/>
          <w:color w:val="000000"/>
          <w:sz w:val="24"/>
          <w:szCs w:val="24"/>
          <w:highlight w:val="none"/>
          <w:lang w:val="en-US" w:eastAsia="zh-CN"/>
        </w:rPr>
        <w:t>包1，包2</w:t>
      </w:r>
      <w:r>
        <w:rPr>
          <w:rFonts w:hint="eastAsia" w:ascii="宋体" w:hAnsi="宋体" w:eastAsia="宋体" w:cs="Times New Roman"/>
          <w:b/>
          <w:color w:val="000000"/>
          <w:sz w:val="24"/>
          <w:szCs w:val="24"/>
          <w:highlight w:val="none"/>
        </w:rPr>
        <w:t>单独封存，以备唱标使用</w:t>
      </w:r>
    </w:p>
    <w:p w14:paraId="4D251A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val="0"/>
          <w:bCs w:val="0"/>
          <w:color w:val="000000"/>
          <w:sz w:val="24"/>
          <w:szCs w:val="24"/>
          <w:highlight w:val="none"/>
          <w:u w:val="single"/>
          <w:lang w:eastAsia="zh-CN"/>
        </w:rPr>
        <w:t>试车台架冷却塔更新改造项目</w:t>
      </w:r>
      <w:r>
        <w:rPr>
          <w:rFonts w:hint="eastAsia" w:ascii="宋体" w:hAnsi="宋体" w:eastAsia="宋体" w:cs="Times New Roman"/>
          <w:color w:val="000000"/>
          <w:sz w:val="24"/>
          <w:szCs w:val="24"/>
          <w:highlight w:val="none"/>
          <w:u w:val="single"/>
        </w:rPr>
        <w:t>、真空混砂机等冷却塔更新改造项目</w:t>
      </w:r>
      <w:r>
        <w:rPr>
          <w:rFonts w:hint="eastAsia" w:ascii="宋体" w:hAnsi="宋体" w:eastAsia="宋体" w:cs="Times New Roman"/>
          <w:color w:val="000000"/>
          <w:sz w:val="24"/>
          <w:szCs w:val="24"/>
          <w:highlight w:val="none"/>
        </w:rPr>
        <w:t xml:space="preserve"> </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27045E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283592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3B15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37B4CBC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2DFB84C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52202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4D59F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2578D77">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6AEA32C">
            <w:pPr>
              <w:jc w:val="center"/>
              <w:rPr>
                <w:rFonts w:hint="eastAsia" w:ascii="Times New Roman" w:hAnsi="Times New Roman" w:eastAsia="宋体" w:cs="Times New Roman"/>
                <w:b/>
                <w:szCs w:val="20"/>
                <w:highlight w:val="none"/>
                <w:lang w:eastAsia="zh-CN"/>
              </w:rPr>
            </w:pPr>
            <w:r>
              <w:rPr>
                <w:rFonts w:hint="eastAsia" w:ascii="Times New Roman" w:hAnsi="Times New Roman" w:eastAsia="宋体" w:cs="Times New Roman"/>
                <w:b/>
                <w:szCs w:val="20"/>
                <w:highlight w:val="none"/>
                <w:lang w:eastAsia="zh-CN"/>
              </w:rPr>
              <w:t>试车台架冷却塔更新改造项目</w:t>
            </w:r>
            <w:r>
              <w:rPr>
                <w:rFonts w:hint="eastAsia" w:ascii="Times New Roman" w:hAnsi="Times New Roman" w:eastAsia="宋体" w:cs="Times New Roman"/>
                <w:b/>
                <w:szCs w:val="20"/>
                <w:highlight w:val="none"/>
                <w:lang w:val="en-US" w:eastAsia="zh-CN"/>
              </w:rPr>
              <w:t>/</w:t>
            </w:r>
            <w:r>
              <w:rPr>
                <w:rFonts w:hint="eastAsia" w:ascii="宋体" w:hAnsi="宋体" w:eastAsia="宋体" w:cs="宋体"/>
                <w:b/>
                <w:szCs w:val="20"/>
                <w:highlight w:val="none"/>
              </w:rPr>
              <w:t>真空混砂机等冷却塔更新改造项目</w:t>
            </w:r>
          </w:p>
        </w:tc>
        <w:tc>
          <w:tcPr>
            <w:tcW w:w="848" w:type="dxa"/>
            <w:vAlign w:val="center"/>
          </w:tcPr>
          <w:p w14:paraId="14B69725">
            <w:pPr>
              <w:jc w:val="center"/>
              <w:rPr>
                <w:rFonts w:ascii="Times New Roman" w:hAnsi="Times New Roman" w:eastAsia="宋体" w:cs="Times New Roman"/>
                <w:b/>
                <w:szCs w:val="20"/>
                <w:highlight w:val="none"/>
              </w:rPr>
            </w:pPr>
          </w:p>
        </w:tc>
        <w:tc>
          <w:tcPr>
            <w:tcW w:w="2270" w:type="dxa"/>
            <w:vAlign w:val="center"/>
          </w:tcPr>
          <w:p w14:paraId="3BD116D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F664358">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1326FD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6FA7CE1">
            <w:pPr>
              <w:jc w:val="center"/>
              <w:rPr>
                <w:rFonts w:ascii="Times New Roman" w:hAnsi="Times New Roman" w:eastAsia="宋体" w:cs="Times New Roman"/>
                <w:b/>
                <w:szCs w:val="20"/>
                <w:highlight w:val="none"/>
              </w:rPr>
            </w:pPr>
          </w:p>
        </w:tc>
        <w:tc>
          <w:tcPr>
            <w:tcW w:w="1243" w:type="dxa"/>
            <w:vAlign w:val="center"/>
          </w:tcPr>
          <w:p w14:paraId="42958680">
            <w:pPr>
              <w:jc w:val="center"/>
              <w:rPr>
                <w:rFonts w:ascii="Times New Roman" w:hAnsi="Times New Roman" w:eastAsia="宋体" w:cs="Times New Roman"/>
                <w:b/>
                <w:szCs w:val="20"/>
                <w:highlight w:val="none"/>
              </w:rPr>
            </w:pPr>
          </w:p>
        </w:tc>
        <w:tc>
          <w:tcPr>
            <w:tcW w:w="705" w:type="dxa"/>
            <w:vAlign w:val="center"/>
          </w:tcPr>
          <w:p w14:paraId="7D55B044">
            <w:pPr>
              <w:jc w:val="center"/>
              <w:rPr>
                <w:rFonts w:ascii="Times New Roman" w:hAnsi="Times New Roman" w:eastAsia="宋体" w:cs="Times New Roman"/>
                <w:b/>
                <w:szCs w:val="20"/>
                <w:highlight w:val="none"/>
              </w:rPr>
            </w:pPr>
          </w:p>
        </w:tc>
        <w:tc>
          <w:tcPr>
            <w:tcW w:w="699" w:type="dxa"/>
            <w:vAlign w:val="center"/>
          </w:tcPr>
          <w:p w14:paraId="5B5823C0">
            <w:pPr>
              <w:jc w:val="center"/>
              <w:rPr>
                <w:rFonts w:ascii="Times New Roman" w:hAnsi="Times New Roman" w:eastAsia="宋体" w:cs="Times New Roman"/>
                <w:b/>
                <w:szCs w:val="20"/>
                <w:highlight w:val="none"/>
              </w:rPr>
            </w:pPr>
          </w:p>
        </w:tc>
      </w:tr>
    </w:tbl>
    <w:p w14:paraId="11E042C0">
      <w:pPr>
        <w:rPr>
          <w:rFonts w:ascii="宋体" w:hAnsi="Arial" w:eastAsia="宋体" w:cs="Times New Roman"/>
          <w:sz w:val="24"/>
          <w:szCs w:val="24"/>
          <w:highlight w:val="none"/>
        </w:rPr>
      </w:pPr>
    </w:p>
    <w:p w14:paraId="636D71B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9C32E3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70278D2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05F39440">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highlight w:val="none"/>
        </w:rPr>
      </w:pPr>
    </w:p>
    <w:p w14:paraId="1C03697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9F1B6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E0DC1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677ADA">
      <w:pPr>
        <w:ind w:firstLine="480"/>
        <w:rPr>
          <w:rFonts w:ascii="宋体" w:hAnsi="Calibri" w:eastAsia="宋体" w:cs="Times New Roman"/>
          <w:color w:val="000000"/>
          <w:sz w:val="24"/>
          <w:szCs w:val="24"/>
          <w:highlight w:val="none"/>
        </w:rPr>
      </w:pPr>
    </w:p>
    <w:p w14:paraId="2DE0CEA5">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2464546E">
      <w:pPr>
        <w:rPr>
          <w:rFonts w:ascii="宋体" w:hAnsi="宋体" w:cs="宋体"/>
          <w:color w:val="000000"/>
          <w:sz w:val="24"/>
          <w:szCs w:val="24"/>
          <w:highlight w:val="none"/>
        </w:rPr>
      </w:pPr>
    </w:p>
    <w:p w14:paraId="3807B430">
      <w:pPr>
        <w:pStyle w:val="4"/>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A986012">
      <w:pPr>
        <w:pStyle w:val="5"/>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jc w:val="center"/>
              <w:rPr>
                <w:rFonts w:hint="default" w:ascii="宋体" w:hAnsi="宋体" w:eastAsia="宋体" w:cs="宋体"/>
                <w:color w:val="000000"/>
                <w:kern w:val="0"/>
                <w:sz w:val="24"/>
                <w:szCs w:val="24"/>
                <w:highlight w:val="none"/>
                <w:lang w:val="en-US" w:eastAsia="zh-CN" w:bidi="ar-SA"/>
              </w:rPr>
            </w:pPr>
          </w:p>
        </w:tc>
        <w:tc>
          <w:tcPr>
            <w:tcW w:w="1722" w:type="dxa"/>
            <w:shd w:val="clear" w:color="auto" w:fill="auto"/>
            <w:vAlign w:val="center"/>
          </w:tcPr>
          <w:p w14:paraId="03AD3DFA">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p>
        </w:tc>
        <w:tc>
          <w:tcPr>
            <w:tcW w:w="703" w:type="dxa"/>
            <w:shd w:val="clear" w:color="auto" w:fill="auto"/>
            <w:vAlign w:val="center"/>
          </w:tcPr>
          <w:p w14:paraId="282F4A75">
            <w:pPr>
              <w:jc w:val="center"/>
              <w:rPr>
                <w:rFonts w:hint="default"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jc w:val="center"/>
              <w:rPr>
                <w:rFonts w:hint="eastAsia" w:ascii="宋体" w:hAnsi="宋体" w:eastAsia="宋体" w:cs="宋体"/>
                <w:color w:val="000000"/>
                <w:kern w:val="0"/>
                <w:sz w:val="24"/>
                <w:szCs w:val="24"/>
                <w:highlight w:val="none"/>
                <w:lang w:val="en-US" w:eastAsia="zh-CN" w:bidi="ar-SA"/>
              </w:rPr>
            </w:pPr>
          </w:p>
        </w:tc>
        <w:tc>
          <w:tcPr>
            <w:tcW w:w="1722" w:type="dxa"/>
            <w:shd w:val="clear" w:color="auto" w:fill="auto"/>
            <w:vAlign w:val="center"/>
          </w:tcPr>
          <w:p w14:paraId="58A2E0C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color="auto" w:fill="auto"/>
            <w:vAlign w:val="center"/>
          </w:tcPr>
          <w:p w14:paraId="7B957227">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hint="eastAsia" w:ascii="宋体" w:hAnsi="宋体" w:eastAsia="宋体" w:cs="宋体"/>
                <w:color w:val="000000"/>
                <w:kern w:val="0"/>
                <w:sz w:val="24"/>
                <w:szCs w:val="24"/>
                <w:highlight w:val="none"/>
                <w:lang w:val="en-US" w:eastAsia="zh-CN" w:bidi="ar-SA"/>
              </w:rPr>
            </w:pPr>
          </w:p>
        </w:tc>
        <w:tc>
          <w:tcPr>
            <w:tcW w:w="1722" w:type="dxa"/>
            <w:shd w:val="clear" w:color="auto" w:fill="auto"/>
            <w:vAlign w:val="center"/>
          </w:tcPr>
          <w:p w14:paraId="4035B93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color="auto" w:fill="auto"/>
            <w:vAlign w:val="center"/>
          </w:tcPr>
          <w:p w14:paraId="680FF4F5">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hint="eastAsia" w:ascii="宋体" w:hAnsi="宋体" w:eastAsia="宋体" w:cs="宋体"/>
                <w:color w:val="000000"/>
                <w:kern w:val="0"/>
                <w:sz w:val="24"/>
                <w:szCs w:val="24"/>
                <w:highlight w:val="none"/>
                <w:lang w:val="en-US" w:eastAsia="zh-CN" w:bidi="ar-SA"/>
              </w:rPr>
            </w:pPr>
          </w:p>
        </w:tc>
        <w:tc>
          <w:tcPr>
            <w:tcW w:w="1722" w:type="dxa"/>
            <w:shd w:val="clear" w:color="auto" w:fill="auto"/>
            <w:vAlign w:val="center"/>
          </w:tcPr>
          <w:p w14:paraId="605C3589">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color="auto" w:fill="auto"/>
            <w:vAlign w:val="center"/>
          </w:tcPr>
          <w:p w14:paraId="4C7EB7BD">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hint="eastAsia" w:ascii="宋体" w:hAnsi="宋体" w:eastAsia="宋体" w:cs="宋体"/>
                <w:color w:val="000000"/>
                <w:kern w:val="0"/>
                <w:sz w:val="24"/>
                <w:szCs w:val="24"/>
                <w:highlight w:val="none"/>
                <w:lang w:val="en-US" w:eastAsia="zh-CN" w:bidi="ar-SA"/>
              </w:rPr>
            </w:pPr>
          </w:p>
        </w:tc>
        <w:tc>
          <w:tcPr>
            <w:tcW w:w="1722" w:type="dxa"/>
            <w:shd w:val="clear" w:color="auto" w:fill="auto"/>
            <w:vAlign w:val="center"/>
          </w:tcPr>
          <w:p w14:paraId="665398E9">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p>
        </w:tc>
        <w:tc>
          <w:tcPr>
            <w:tcW w:w="703" w:type="dxa"/>
            <w:shd w:val="clear" w:color="auto" w:fill="auto"/>
            <w:vAlign w:val="center"/>
          </w:tcPr>
          <w:p w14:paraId="301E1C8E">
            <w:pPr>
              <w:jc w:val="center"/>
              <w:rPr>
                <w:rFonts w:hint="eastAsia" w:ascii="宋体" w:hAnsi="宋体" w:eastAsia="宋体" w:cs="宋体"/>
                <w:color w:val="000000"/>
                <w:kern w:val="0"/>
                <w:sz w:val="24"/>
                <w:szCs w:val="24"/>
                <w:highlight w:val="none"/>
                <w:lang w:val="en-US" w:eastAsia="zh-CN" w:bidi="ar-SA"/>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3C952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6" w:type="dxa"/>
            <w:vAlign w:val="center"/>
          </w:tcPr>
          <w:p w14:paraId="0D41DFC0">
            <w:pPr>
              <w:jc w:val="center"/>
              <w:rPr>
                <w:rFonts w:ascii="宋体" w:hAnsi="宋体" w:eastAsia="宋体" w:cs="宋体"/>
                <w:position w:val="1"/>
                <w:szCs w:val="21"/>
                <w:highlight w:val="none"/>
              </w:rPr>
            </w:pPr>
            <w:r>
              <w:rPr>
                <w:rFonts w:hint="eastAsia" w:cs="宋体"/>
                <w:kern w:val="2"/>
                <w:sz w:val="22"/>
                <w:szCs w:val="22"/>
                <w:highlight w:val="none"/>
                <w:lang w:val="en-US" w:eastAsia="zh-CN" w:bidi="ar-SA"/>
              </w:rPr>
              <w:t>6</w:t>
            </w:r>
          </w:p>
        </w:tc>
        <w:tc>
          <w:tcPr>
            <w:tcW w:w="2315" w:type="dxa"/>
            <w:gridSpan w:val="2"/>
            <w:shd w:val="clear" w:color="auto" w:fill="auto"/>
          </w:tcPr>
          <w:p w14:paraId="7F5AC266">
            <w:pPr>
              <w:jc w:val="center"/>
              <w:rPr>
                <w:rFonts w:hint="eastAsia" w:ascii="宋体" w:hAnsi="宋体" w:eastAsia="宋体" w:cs="Times New Roman"/>
                <w:sz w:val="18"/>
                <w:szCs w:val="18"/>
                <w:highlight w:val="none"/>
              </w:rPr>
            </w:pPr>
          </w:p>
        </w:tc>
        <w:tc>
          <w:tcPr>
            <w:tcW w:w="1722" w:type="dxa"/>
            <w:shd w:val="clear" w:color="auto" w:fill="auto"/>
            <w:vAlign w:val="center"/>
          </w:tcPr>
          <w:p w14:paraId="06B19414">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703" w:type="dxa"/>
            <w:shd w:val="clear" w:color="auto" w:fill="auto"/>
            <w:vAlign w:val="center"/>
          </w:tcPr>
          <w:p w14:paraId="396EE37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550" w:type="dxa"/>
          </w:tcPr>
          <w:p w14:paraId="65739DF6">
            <w:pPr>
              <w:rPr>
                <w:rFonts w:hint="eastAsia" w:ascii="宋体" w:hAnsi="宋体" w:eastAsia="宋体" w:cs="宋体"/>
                <w:szCs w:val="21"/>
                <w:highlight w:val="none"/>
              </w:rPr>
            </w:pPr>
          </w:p>
        </w:tc>
        <w:tc>
          <w:tcPr>
            <w:tcW w:w="2550" w:type="dxa"/>
          </w:tcPr>
          <w:p w14:paraId="6F39BAE4">
            <w:pPr>
              <w:rPr>
                <w:rFonts w:ascii="Arial"/>
                <w:highlight w:val="none"/>
              </w:rPr>
            </w:pPr>
          </w:p>
        </w:tc>
        <w:tc>
          <w:tcPr>
            <w:tcW w:w="2510" w:type="dxa"/>
            <w:tcBorders>
              <w:right w:val="single" w:color="000000" w:sz="4" w:space="0"/>
            </w:tcBorders>
          </w:tcPr>
          <w:p w14:paraId="78FBBD7F">
            <w:pPr>
              <w:rPr>
                <w:rFonts w:ascii="Arial"/>
                <w:highlight w:val="none"/>
              </w:rPr>
            </w:pPr>
          </w:p>
        </w:tc>
        <w:tc>
          <w:tcPr>
            <w:tcW w:w="2196" w:type="dxa"/>
            <w:tcBorders>
              <w:left w:val="single" w:color="000000" w:sz="4" w:space="0"/>
            </w:tcBorders>
          </w:tcPr>
          <w:p w14:paraId="15B789A5">
            <w:pPr>
              <w:rPr>
                <w:rFonts w:ascii="Arial"/>
                <w:highlight w:val="none"/>
              </w:rPr>
            </w:pPr>
          </w:p>
        </w:tc>
        <w:tc>
          <w:tcPr>
            <w:tcW w:w="964" w:type="dxa"/>
          </w:tcPr>
          <w:p w14:paraId="782ABBEE">
            <w:pPr>
              <w:rPr>
                <w:rFonts w:ascii="Arial"/>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shd w:val="clear" w:color="auto" w:fill="auto"/>
            <w:vAlign w:val="center"/>
          </w:tcPr>
          <w:p w14:paraId="106BAEA1">
            <w:pPr>
              <w:pStyle w:val="130"/>
              <w:numPr>
                <w:ilvl w:val="0"/>
                <w:numId w:val="0"/>
              </w:numPr>
              <w:adjustRightInd w:val="0"/>
              <w:snapToGrid w:val="0"/>
              <w:spacing w:line="240" w:lineRule="auto"/>
              <w:ind w:left="0" w:leftChars="0" w:firstLine="0" w:firstLineChars="0"/>
              <w:jc w:val="center"/>
              <w:rPr>
                <w:rFonts w:hint="default" w:cs="宋体" w:asciiTheme="minorHAnsi" w:hAnsiTheme="minorHAnsi" w:eastAsiaTheme="minorEastAsia"/>
                <w:kern w:val="2"/>
                <w:sz w:val="22"/>
                <w:szCs w:val="22"/>
                <w:highlight w:val="none"/>
                <w:lang w:val="en-US" w:eastAsia="zh-CN" w:bidi="ar-SA"/>
              </w:rPr>
            </w:pPr>
          </w:p>
        </w:tc>
        <w:tc>
          <w:tcPr>
            <w:tcW w:w="703" w:type="dxa"/>
            <w:shd w:val="clear" w:color="auto" w:fill="auto"/>
            <w:vAlign w:val="center"/>
          </w:tcPr>
          <w:p w14:paraId="0E170F9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bidi="ar-SA"/>
              </w:rPr>
            </w:pP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18759836">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5246ADDA">
      <w:pPr>
        <w:rPr>
          <w:rFonts w:ascii="宋体" w:hAnsi="宋体" w:eastAsia="宋体" w:cs="宋体"/>
          <w:sz w:val="24"/>
          <w:szCs w:val="24"/>
          <w:highlight w:val="none"/>
        </w:rPr>
      </w:pPr>
    </w:p>
    <w:p w14:paraId="1A18A814">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highlight w:val="none"/>
              </w:rPr>
            </w:pPr>
          </w:p>
          <w:p w14:paraId="649AD62D">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31766AC">
            <w:pPr>
              <w:spacing w:line="295" w:lineRule="auto"/>
              <w:rPr>
                <w:rFonts w:ascii="Arial"/>
                <w:highlight w:val="none"/>
              </w:rPr>
            </w:pPr>
          </w:p>
          <w:p w14:paraId="53CAA4A8">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201BA88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01C572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3A481111">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9C37ED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highlight w:val="none"/>
              </w:rPr>
            </w:pPr>
          </w:p>
        </w:tc>
        <w:tc>
          <w:tcPr>
            <w:tcW w:w="3530" w:type="dxa"/>
            <w:vMerge w:val="continue"/>
            <w:tcBorders>
              <w:top w:val="nil"/>
            </w:tcBorders>
          </w:tcPr>
          <w:p w14:paraId="66F8D401">
            <w:pPr>
              <w:rPr>
                <w:rFonts w:ascii="Arial"/>
                <w:highlight w:val="none"/>
              </w:rPr>
            </w:pPr>
          </w:p>
        </w:tc>
        <w:tc>
          <w:tcPr>
            <w:tcW w:w="2159" w:type="dxa"/>
          </w:tcPr>
          <w:p w14:paraId="72EA0C97">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7F2021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A46919B">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04CC71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D71715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5416BEDF">
            <w:pPr>
              <w:rPr>
                <w:rFonts w:ascii="Arial"/>
                <w:highlight w:val="none"/>
              </w:rPr>
            </w:pPr>
          </w:p>
        </w:tc>
        <w:tc>
          <w:tcPr>
            <w:tcW w:w="2186" w:type="dxa"/>
          </w:tcPr>
          <w:p w14:paraId="07A552CC">
            <w:pPr>
              <w:rPr>
                <w:rFonts w:ascii="Arial"/>
                <w:highlight w:val="none"/>
              </w:rPr>
            </w:pPr>
          </w:p>
        </w:tc>
        <w:tc>
          <w:tcPr>
            <w:tcW w:w="2596" w:type="dxa"/>
          </w:tcPr>
          <w:p w14:paraId="6C661128">
            <w:pPr>
              <w:rPr>
                <w:rFonts w:ascii="Arial"/>
                <w:highlight w:val="none"/>
              </w:rPr>
            </w:pPr>
          </w:p>
        </w:tc>
        <w:tc>
          <w:tcPr>
            <w:tcW w:w="2164" w:type="dxa"/>
          </w:tcPr>
          <w:p w14:paraId="22AD1C73">
            <w:pPr>
              <w:rPr>
                <w:rFonts w:ascii="Arial"/>
                <w:highlight w:val="none"/>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72476CC">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CEE581C">
            <w:pPr>
              <w:rPr>
                <w:rFonts w:ascii="Arial"/>
                <w:highlight w:val="none"/>
              </w:rPr>
            </w:pPr>
          </w:p>
        </w:tc>
        <w:tc>
          <w:tcPr>
            <w:tcW w:w="2186" w:type="dxa"/>
          </w:tcPr>
          <w:p w14:paraId="6EB70881">
            <w:pPr>
              <w:rPr>
                <w:rFonts w:ascii="Arial"/>
                <w:highlight w:val="none"/>
              </w:rPr>
            </w:pPr>
          </w:p>
        </w:tc>
        <w:tc>
          <w:tcPr>
            <w:tcW w:w="2596" w:type="dxa"/>
          </w:tcPr>
          <w:p w14:paraId="7ECE3100">
            <w:pPr>
              <w:rPr>
                <w:rFonts w:ascii="Arial"/>
                <w:highlight w:val="none"/>
              </w:rPr>
            </w:pPr>
          </w:p>
        </w:tc>
        <w:tc>
          <w:tcPr>
            <w:tcW w:w="2164" w:type="dxa"/>
            <w:vMerge w:val="restart"/>
            <w:tcBorders>
              <w:bottom w:val="nil"/>
            </w:tcBorders>
          </w:tcPr>
          <w:p w14:paraId="473ABBD2">
            <w:pPr>
              <w:spacing w:line="295" w:lineRule="auto"/>
              <w:rPr>
                <w:rFonts w:ascii="Arial"/>
                <w:highlight w:val="none"/>
              </w:rPr>
            </w:pPr>
          </w:p>
          <w:p w14:paraId="334433A4">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1EEE4C0">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14CA5339">
            <w:pPr>
              <w:rPr>
                <w:rFonts w:ascii="Arial"/>
                <w:highlight w:val="none"/>
              </w:rPr>
            </w:pPr>
          </w:p>
        </w:tc>
        <w:tc>
          <w:tcPr>
            <w:tcW w:w="2186" w:type="dxa"/>
          </w:tcPr>
          <w:p w14:paraId="30E77166">
            <w:pPr>
              <w:rPr>
                <w:rFonts w:ascii="Arial"/>
                <w:highlight w:val="none"/>
              </w:rPr>
            </w:pPr>
          </w:p>
        </w:tc>
        <w:tc>
          <w:tcPr>
            <w:tcW w:w="2596" w:type="dxa"/>
          </w:tcPr>
          <w:p w14:paraId="39F618AB">
            <w:pPr>
              <w:rPr>
                <w:rFonts w:ascii="Arial"/>
                <w:highlight w:val="none"/>
              </w:rPr>
            </w:pPr>
          </w:p>
        </w:tc>
        <w:tc>
          <w:tcPr>
            <w:tcW w:w="2164" w:type="dxa"/>
            <w:vMerge w:val="continue"/>
            <w:tcBorders>
              <w:top w:val="nil"/>
            </w:tcBorders>
          </w:tcPr>
          <w:p w14:paraId="311D1DF5">
            <w:pPr>
              <w:rPr>
                <w:rFonts w:ascii="Arial"/>
                <w:highlight w:val="none"/>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FF1BF44">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58437303">
            <w:pPr>
              <w:rPr>
                <w:rFonts w:ascii="Arial"/>
                <w:highlight w:val="none"/>
              </w:rPr>
            </w:pPr>
          </w:p>
        </w:tc>
        <w:tc>
          <w:tcPr>
            <w:tcW w:w="2186" w:type="dxa"/>
          </w:tcPr>
          <w:p w14:paraId="2EA015BB">
            <w:pPr>
              <w:rPr>
                <w:rFonts w:ascii="Arial"/>
                <w:highlight w:val="none"/>
              </w:rPr>
            </w:pPr>
          </w:p>
        </w:tc>
        <w:tc>
          <w:tcPr>
            <w:tcW w:w="2596" w:type="dxa"/>
          </w:tcPr>
          <w:p w14:paraId="4E6E6007">
            <w:pPr>
              <w:rPr>
                <w:rFonts w:ascii="Arial"/>
                <w:highlight w:val="none"/>
              </w:rPr>
            </w:pPr>
          </w:p>
        </w:tc>
        <w:tc>
          <w:tcPr>
            <w:tcW w:w="2164" w:type="dxa"/>
          </w:tcPr>
          <w:p w14:paraId="7B66D61D">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98B7618">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563E5E58">
            <w:pPr>
              <w:rPr>
                <w:rFonts w:ascii="Arial"/>
                <w:highlight w:val="none"/>
              </w:rPr>
            </w:pPr>
          </w:p>
        </w:tc>
        <w:tc>
          <w:tcPr>
            <w:tcW w:w="2186" w:type="dxa"/>
          </w:tcPr>
          <w:p w14:paraId="31B637D4">
            <w:pPr>
              <w:rPr>
                <w:rFonts w:ascii="Arial"/>
                <w:highlight w:val="none"/>
              </w:rPr>
            </w:pPr>
          </w:p>
        </w:tc>
        <w:tc>
          <w:tcPr>
            <w:tcW w:w="2596" w:type="dxa"/>
          </w:tcPr>
          <w:p w14:paraId="36887C09">
            <w:pPr>
              <w:rPr>
                <w:rFonts w:ascii="Arial"/>
                <w:highlight w:val="none"/>
              </w:rPr>
            </w:pPr>
          </w:p>
        </w:tc>
        <w:tc>
          <w:tcPr>
            <w:tcW w:w="2164" w:type="dxa"/>
          </w:tcPr>
          <w:p w14:paraId="2D0B2BB4">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56D4B4C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79E782E3">
      <w:pPr>
        <w:spacing w:line="172" w:lineRule="exact"/>
        <w:rPr>
          <w:highlight w:val="none"/>
        </w:rPr>
      </w:pPr>
    </w:p>
    <w:p w14:paraId="41953141">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38F6EF2">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09FF5B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A1F8A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5491B5A">
      <w:pPr>
        <w:rPr>
          <w:sz w:val="24"/>
          <w:szCs w:val="24"/>
          <w:highlight w:val="none"/>
        </w:rPr>
        <w:sectPr>
          <w:headerReference r:id="rId30" w:type="default"/>
          <w:footerReference r:id="rId31" w:type="default"/>
          <w:pgSz w:w="16841" w:h="11907"/>
          <w:pgMar w:top="400" w:right="1699" w:bottom="1184" w:left="1481" w:header="0" w:footer="1022" w:gutter="0"/>
          <w:pgNumType w:fmt="decimal"/>
          <w:cols w:space="720" w:num="1"/>
        </w:sectPr>
      </w:pPr>
    </w:p>
    <w:p w14:paraId="00AB143B">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0E6ABE6">
      <w:pPr>
        <w:rPr>
          <w:highlight w:val="none"/>
        </w:rPr>
      </w:pPr>
    </w:p>
    <w:p w14:paraId="5C5D8885">
      <w:pPr>
        <w:spacing w:line="20" w:lineRule="exact"/>
        <w:rPr>
          <w:highlight w:val="none"/>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7" w:hRule="atLeast"/>
        </w:trPr>
        <w:tc>
          <w:tcPr>
            <w:tcW w:w="710" w:type="dxa"/>
            <w:vAlign w:val="center"/>
          </w:tcPr>
          <w:p w14:paraId="0B4B3A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003B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B6B621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9FDC2E">
            <w:pPr>
              <w:spacing w:before="266" w:line="221" w:lineRule="auto"/>
              <w:jc w:val="center"/>
              <w:rPr>
                <w:rFonts w:ascii="宋体" w:hAnsi="宋体" w:eastAsia="宋体" w:cs="宋体"/>
                <w:spacing w:val="-2"/>
                <w:szCs w:val="21"/>
                <w:highlight w:val="none"/>
              </w:rPr>
            </w:pPr>
          </w:p>
        </w:tc>
        <w:tc>
          <w:tcPr>
            <w:tcW w:w="1138" w:type="dxa"/>
          </w:tcPr>
          <w:p w14:paraId="1CCED543">
            <w:pPr>
              <w:spacing w:before="266" w:line="221" w:lineRule="auto"/>
              <w:jc w:val="center"/>
              <w:rPr>
                <w:rFonts w:ascii="宋体" w:hAnsi="宋体" w:eastAsia="宋体" w:cs="宋体"/>
                <w:spacing w:val="-2"/>
                <w:szCs w:val="21"/>
                <w:highlight w:val="none"/>
              </w:rPr>
            </w:pPr>
          </w:p>
        </w:tc>
        <w:tc>
          <w:tcPr>
            <w:tcW w:w="2449" w:type="dxa"/>
          </w:tcPr>
          <w:p w14:paraId="45D82B41">
            <w:pPr>
              <w:rPr>
                <w:rFonts w:ascii="Arial"/>
                <w:highlight w:val="none"/>
              </w:rPr>
            </w:pPr>
          </w:p>
        </w:tc>
        <w:tc>
          <w:tcPr>
            <w:tcW w:w="3328" w:type="dxa"/>
          </w:tcPr>
          <w:p w14:paraId="1100342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117359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326F5AF7">
            <w:pPr>
              <w:spacing w:before="266" w:line="221" w:lineRule="auto"/>
              <w:jc w:val="center"/>
              <w:rPr>
                <w:rFonts w:ascii="宋体" w:hAnsi="宋体" w:eastAsia="宋体" w:cs="宋体"/>
                <w:spacing w:val="-2"/>
                <w:szCs w:val="21"/>
                <w:highlight w:val="none"/>
              </w:rPr>
            </w:pPr>
          </w:p>
        </w:tc>
        <w:tc>
          <w:tcPr>
            <w:tcW w:w="1138" w:type="dxa"/>
          </w:tcPr>
          <w:p w14:paraId="7501744B">
            <w:pPr>
              <w:spacing w:before="266" w:line="221" w:lineRule="auto"/>
              <w:jc w:val="center"/>
              <w:rPr>
                <w:rFonts w:ascii="宋体" w:hAnsi="宋体" w:eastAsia="宋体" w:cs="宋体"/>
                <w:spacing w:val="-2"/>
                <w:szCs w:val="21"/>
                <w:highlight w:val="none"/>
              </w:rPr>
            </w:pPr>
          </w:p>
        </w:tc>
        <w:tc>
          <w:tcPr>
            <w:tcW w:w="1138" w:type="dxa"/>
          </w:tcPr>
          <w:p w14:paraId="53D754C9">
            <w:pPr>
              <w:spacing w:before="266" w:line="221" w:lineRule="auto"/>
              <w:jc w:val="center"/>
              <w:rPr>
                <w:rFonts w:ascii="宋体" w:hAnsi="宋体" w:eastAsia="宋体" w:cs="宋体"/>
                <w:spacing w:val="-2"/>
                <w:szCs w:val="21"/>
                <w:highlight w:val="none"/>
              </w:rPr>
            </w:pPr>
          </w:p>
        </w:tc>
        <w:tc>
          <w:tcPr>
            <w:tcW w:w="2449" w:type="dxa"/>
          </w:tcPr>
          <w:p w14:paraId="06DC8075">
            <w:pPr>
              <w:rPr>
                <w:rFonts w:ascii="Arial"/>
                <w:highlight w:val="none"/>
              </w:rPr>
            </w:pPr>
          </w:p>
        </w:tc>
        <w:tc>
          <w:tcPr>
            <w:tcW w:w="3328" w:type="dxa"/>
          </w:tcPr>
          <w:p w14:paraId="5438CF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83B2405">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FE1A82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EFE0125">
            <w:pPr>
              <w:spacing w:before="266" w:line="221" w:lineRule="auto"/>
              <w:jc w:val="center"/>
              <w:rPr>
                <w:rFonts w:ascii="宋体" w:hAnsi="宋体" w:eastAsia="宋体" w:cs="宋体"/>
                <w:spacing w:val="-2"/>
                <w:szCs w:val="21"/>
                <w:highlight w:val="none"/>
              </w:rPr>
            </w:pPr>
          </w:p>
        </w:tc>
        <w:tc>
          <w:tcPr>
            <w:tcW w:w="1138" w:type="dxa"/>
          </w:tcPr>
          <w:p w14:paraId="317EBBD6">
            <w:pPr>
              <w:spacing w:before="266" w:line="221" w:lineRule="auto"/>
              <w:jc w:val="center"/>
              <w:rPr>
                <w:rFonts w:ascii="宋体" w:hAnsi="宋体" w:eastAsia="宋体" w:cs="宋体"/>
                <w:spacing w:val="-2"/>
                <w:szCs w:val="21"/>
                <w:highlight w:val="none"/>
              </w:rPr>
            </w:pPr>
          </w:p>
        </w:tc>
        <w:tc>
          <w:tcPr>
            <w:tcW w:w="2449" w:type="dxa"/>
          </w:tcPr>
          <w:p w14:paraId="65F8E0F3">
            <w:pPr>
              <w:rPr>
                <w:rFonts w:ascii="Arial"/>
                <w:highlight w:val="none"/>
              </w:rPr>
            </w:pPr>
          </w:p>
        </w:tc>
        <w:tc>
          <w:tcPr>
            <w:tcW w:w="3328" w:type="dxa"/>
          </w:tcPr>
          <w:p w14:paraId="17DAAC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8F837B5">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757DF3FE">
            <w:pPr>
              <w:spacing w:before="266" w:line="221" w:lineRule="auto"/>
              <w:jc w:val="center"/>
              <w:rPr>
                <w:rFonts w:ascii="宋体" w:hAnsi="宋体" w:eastAsia="宋体" w:cs="宋体"/>
                <w:spacing w:val="-2"/>
                <w:szCs w:val="21"/>
                <w:highlight w:val="none"/>
              </w:rPr>
            </w:pPr>
          </w:p>
        </w:tc>
        <w:tc>
          <w:tcPr>
            <w:tcW w:w="1138" w:type="dxa"/>
          </w:tcPr>
          <w:p w14:paraId="7C063DEC">
            <w:pPr>
              <w:spacing w:before="266" w:line="221" w:lineRule="auto"/>
              <w:jc w:val="center"/>
              <w:rPr>
                <w:rFonts w:ascii="宋体" w:hAnsi="宋体" w:eastAsia="宋体" w:cs="宋体"/>
                <w:spacing w:val="-2"/>
                <w:szCs w:val="21"/>
                <w:highlight w:val="none"/>
              </w:rPr>
            </w:pPr>
          </w:p>
        </w:tc>
        <w:tc>
          <w:tcPr>
            <w:tcW w:w="1138" w:type="dxa"/>
          </w:tcPr>
          <w:p w14:paraId="1682813F">
            <w:pPr>
              <w:spacing w:before="266" w:line="221" w:lineRule="auto"/>
              <w:jc w:val="center"/>
              <w:rPr>
                <w:rFonts w:ascii="宋体" w:hAnsi="宋体" w:eastAsia="宋体" w:cs="宋体"/>
                <w:spacing w:val="-2"/>
                <w:szCs w:val="21"/>
                <w:highlight w:val="none"/>
              </w:rPr>
            </w:pPr>
          </w:p>
        </w:tc>
        <w:tc>
          <w:tcPr>
            <w:tcW w:w="2449" w:type="dxa"/>
          </w:tcPr>
          <w:p w14:paraId="27A500C4">
            <w:pPr>
              <w:rPr>
                <w:rFonts w:ascii="Arial"/>
                <w:highlight w:val="none"/>
              </w:rPr>
            </w:pPr>
          </w:p>
        </w:tc>
        <w:tc>
          <w:tcPr>
            <w:tcW w:w="3328" w:type="dxa"/>
          </w:tcPr>
          <w:p w14:paraId="001B1F7F">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0ED74391">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347DACE">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8788011">
      <w:pPr>
        <w:rPr>
          <w:highlight w:val="none"/>
        </w:rPr>
      </w:pPr>
    </w:p>
    <w:p w14:paraId="71D5F646">
      <w:pPr>
        <w:pStyle w:val="17"/>
        <w:rPr>
          <w:highlight w:val="none"/>
        </w:rPr>
      </w:pPr>
    </w:p>
    <w:p w14:paraId="3855BD10">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4C42DC5D">
      <w:pPr>
        <w:spacing w:before="35" w:line="239" w:lineRule="auto"/>
        <w:ind w:left="724"/>
        <w:rPr>
          <w:rFonts w:ascii="宋体" w:hAnsi="宋体" w:eastAsia="宋体" w:cs="宋体"/>
          <w:spacing w:val="-1"/>
          <w:sz w:val="24"/>
          <w:szCs w:val="24"/>
          <w:highlight w:val="none"/>
        </w:rPr>
        <w:sectPr>
          <w:footerReference r:id="rId32" w:type="default"/>
          <w:pgSz w:w="16841" w:h="11907"/>
          <w:pgMar w:top="400" w:right="1699" w:bottom="1184" w:left="1481" w:header="0" w:footer="1022" w:gutter="0"/>
          <w:pgNumType w:fmt="decimal"/>
          <w:cols w:space="720" w:num="1"/>
        </w:sectPr>
      </w:pPr>
    </w:p>
    <w:p w14:paraId="3C0CB58D">
      <w:pPr>
        <w:pStyle w:val="5"/>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FE57786">
      <w:pPr>
        <w:spacing w:line="172" w:lineRule="exact"/>
        <w:rPr>
          <w:highlight w:val="none"/>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3621449A">
            <w:pPr>
              <w:rPr>
                <w:rFonts w:ascii="Arial"/>
                <w:highlight w:val="none"/>
              </w:rPr>
            </w:pPr>
          </w:p>
        </w:tc>
        <w:tc>
          <w:tcPr>
            <w:tcW w:w="2100" w:type="dxa"/>
          </w:tcPr>
          <w:p w14:paraId="35519AF8">
            <w:pPr>
              <w:rPr>
                <w:rFonts w:ascii="Arial"/>
                <w:highlight w:val="none"/>
              </w:rPr>
            </w:pPr>
          </w:p>
        </w:tc>
        <w:tc>
          <w:tcPr>
            <w:tcW w:w="840" w:type="dxa"/>
          </w:tcPr>
          <w:p w14:paraId="16B2D976">
            <w:pPr>
              <w:rPr>
                <w:rFonts w:ascii="Arial"/>
                <w:highlight w:val="none"/>
              </w:rPr>
            </w:pPr>
          </w:p>
        </w:tc>
        <w:tc>
          <w:tcPr>
            <w:tcW w:w="2239" w:type="dxa"/>
          </w:tcPr>
          <w:p w14:paraId="664D54A3">
            <w:pPr>
              <w:rPr>
                <w:rFonts w:ascii="Arial"/>
                <w:highlight w:val="none"/>
              </w:rPr>
            </w:pPr>
          </w:p>
        </w:tc>
        <w:tc>
          <w:tcPr>
            <w:tcW w:w="1498" w:type="dxa"/>
          </w:tcPr>
          <w:p w14:paraId="3FB4EA13">
            <w:pPr>
              <w:rPr>
                <w:rFonts w:ascii="Arial"/>
                <w:highlight w:val="none"/>
              </w:rPr>
            </w:pPr>
          </w:p>
        </w:tc>
        <w:tc>
          <w:tcPr>
            <w:tcW w:w="1861" w:type="dxa"/>
          </w:tcPr>
          <w:p w14:paraId="1A84B438">
            <w:pPr>
              <w:rPr>
                <w:rFonts w:ascii="Arial"/>
                <w:highlight w:val="none"/>
              </w:rPr>
            </w:pPr>
          </w:p>
        </w:tc>
        <w:tc>
          <w:tcPr>
            <w:tcW w:w="1120" w:type="dxa"/>
          </w:tcPr>
          <w:p w14:paraId="70028F99">
            <w:pPr>
              <w:rPr>
                <w:rFonts w:ascii="Arial"/>
                <w:highlight w:val="none"/>
              </w:rPr>
            </w:pPr>
          </w:p>
        </w:tc>
        <w:tc>
          <w:tcPr>
            <w:tcW w:w="1125" w:type="dxa"/>
          </w:tcPr>
          <w:p w14:paraId="2D4BD6D2">
            <w:pPr>
              <w:rPr>
                <w:rFonts w:ascii="Arial"/>
                <w:highlight w:val="none"/>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7D7D057">
            <w:pPr>
              <w:rPr>
                <w:rFonts w:ascii="Arial"/>
                <w:highlight w:val="none"/>
              </w:rPr>
            </w:pPr>
          </w:p>
        </w:tc>
        <w:tc>
          <w:tcPr>
            <w:tcW w:w="2100" w:type="dxa"/>
          </w:tcPr>
          <w:p w14:paraId="0D606E21">
            <w:pPr>
              <w:rPr>
                <w:rFonts w:ascii="Arial"/>
                <w:highlight w:val="none"/>
              </w:rPr>
            </w:pPr>
          </w:p>
        </w:tc>
        <w:tc>
          <w:tcPr>
            <w:tcW w:w="840" w:type="dxa"/>
          </w:tcPr>
          <w:p w14:paraId="476D9745">
            <w:pPr>
              <w:rPr>
                <w:rFonts w:ascii="Arial"/>
                <w:highlight w:val="none"/>
              </w:rPr>
            </w:pPr>
          </w:p>
        </w:tc>
        <w:tc>
          <w:tcPr>
            <w:tcW w:w="2239" w:type="dxa"/>
          </w:tcPr>
          <w:p w14:paraId="5250FD25">
            <w:pPr>
              <w:rPr>
                <w:rFonts w:ascii="Arial"/>
                <w:highlight w:val="none"/>
              </w:rPr>
            </w:pPr>
          </w:p>
        </w:tc>
        <w:tc>
          <w:tcPr>
            <w:tcW w:w="1498" w:type="dxa"/>
          </w:tcPr>
          <w:p w14:paraId="080C4E6F">
            <w:pPr>
              <w:rPr>
                <w:rFonts w:ascii="Arial"/>
                <w:highlight w:val="none"/>
              </w:rPr>
            </w:pPr>
          </w:p>
        </w:tc>
        <w:tc>
          <w:tcPr>
            <w:tcW w:w="1861" w:type="dxa"/>
          </w:tcPr>
          <w:p w14:paraId="5B29B191">
            <w:pPr>
              <w:rPr>
                <w:rFonts w:ascii="Arial"/>
                <w:highlight w:val="none"/>
              </w:rPr>
            </w:pPr>
          </w:p>
        </w:tc>
        <w:tc>
          <w:tcPr>
            <w:tcW w:w="1120" w:type="dxa"/>
          </w:tcPr>
          <w:p w14:paraId="698DFF2F">
            <w:pPr>
              <w:rPr>
                <w:rFonts w:ascii="Arial"/>
                <w:highlight w:val="none"/>
              </w:rPr>
            </w:pPr>
          </w:p>
        </w:tc>
        <w:tc>
          <w:tcPr>
            <w:tcW w:w="1125" w:type="dxa"/>
          </w:tcPr>
          <w:p w14:paraId="0783A36A">
            <w:pPr>
              <w:rPr>
                <w:rFonts w:ascii="Arial"/>
                <w:highlight w:val="none"/>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highlight w:val="none"/>
              </w:rPr>
            </w:pPr>
          </w:p>
        </w:tc>
        <w:tc>
          <w:tcPr>
            <w:tcW w:w="2543" w:type="dxa"/>
          </w:tcPr>
          <w:p w14:paraId="7632AD95">
            <w:pPr>
              <w:rPr>
                <w:rFonts w:ascii="Arial"/>
                <w:highlight w:val="none"/>
              </w:rPr>
            </w:pPr>
          </w:p>
        </w:tc>
        <w:tc>
          <w:tcPr>
            <w:tcW w:w="2100" w:type="dxa"/>
          </w:tcPr>
          <w:p w14:paraId="113A2B29">
            <w:pPr>
              <w:rPr>
                <w:rFonts w:ascii="Arial"/>
                <w:highlight w:val="none"/>
              </w:rPr>
            </w:pPr>
          </w:p>
        </w:tc>
        <w:tc>
          <w:tcPr>
            <w:tcW w:w="840" w:type="dxa"/>
          </w:tcPr>
          <w:p w14:paraId="7F968B73">
            <w:pPr>
              <w:rPr>
                <w:rFonts w:ascii="Arial"/>
                <w:highlight w:val="none"/>
              </w:rPr>
            </w:pPr>
          </w:p>
        </w:tc>
        <w:tc>
          <w:tcPr>
            <w:tcW w:w="2239" w:type="dxa"/>
          </w:tcPr>
          <w:p w14:paraId="4D70A686">
            <w:pPr>
              <w:rPr>
                <w:rFonts w:ascii="Arial"/>
                <w:highlight w:val="none"/>
              </w:rPr>
            </w:pPr>
          </w:p>
        </w:tc>
        <w:tc>
          <w:tcPr>
            <w:tcW w:w="1498" w:type="dxa"/>
          </w:tcPr>
          <w:p w14:paraId="75B1444F">
            <w:pPr>
              <w:rPr>
                <w:rFonts w:ascii="Arial"/>
                <w:highlight w:val="none"/>
              </w:rPr>
            </w:pPr>
          </w:p>
        </w:tc>
        <w:tc>
          <w:tcPr>
            <w:tcW w:w="1861" w:type="dxa"/>
          </w:tcPr>
          <w:p w14:paraId="2C967E8A">
            <w:pPr>
              <w:rPr>
                <w:rFonts w:ascii="Arial"/>
                <w:highlight w:val="none"/>
              </w:rPr>
            </w:pPr>
          </w:p>
        </w:tc>
        <w:tc>
          <w:tcPr>
            <w:tcW w:w="1120" w:type="dxa"/>
          </w:tcPr>
          <w:p w14:paraId="24814715">
            <w:pPr>
              <w:rPr>
                <w:rFonts w:ascii="Arial"/>
                <w:highlight w:val="none"/>
              </w:rPr>
            </w:pPr>
          </w:p>
        </w:tc>
        <w:tc>
          <w:tcPr>
            <w:tcW w:w="1125" w:type="dxa"/>
          </w:tcPr>
          <w:p w14:paraId="0E90A708">
            <w:pPr>
              <w:rPr>
                <w:rFonts w:ascii="Arial"/>
                <w:highlight w:val="none"/>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highlight w:val="none"/>
              </w:rPr>
            </w:pPr>
          </w:p>
        </w:tc>
        <w:tc>
          <w:tcPr>
            <w:tcW w:w="2543" w:type="dxa"/>
          </w:tcPr>
          <w:p w14:paraId="2616C00A">
            <w:pPr>
              <w:rPr>
                <w:rFonts w:ascii="Arial"/>
                <w:highlight w:val="none"/>
              </w:rPr>
            </w:pPr>
          </w:p>
        </w:tc>
        <w:tc>
          <w:tcPr>
            <w:tcW w:w="2100" w:type="dxa"/>
          </w:tcPr>
          <w:p w14:paraId="51D1F521">
            <w:pPr>
              <w:rPr>
                <w:rFonts w:ascii="Arial"/>
                <w:highlight w:val="none"/>
              </w:rPr>
            </w:pPr>
          </w:p>
        </w:tc>
        <w:tc>
          <w:tcPr>
            <w:tcW w:w="840" w:type="dxa"/>
          </w:tcPr>
          <w:p w14:paraId="7EB5E759">
            <w:pPr>
              <w:rPr>
                <w:rFonts w:ascii="Arial"/>
                <w:highlight w:val="none"/>
              </w:rPr>
            </w:pPr>
          </w:p>
        </w:tc>
        <w:tc>
          <w:tcPr>
            <w:tcW w:w="2239" w:type="dxa"/>
          </w:tcPr>
          <w:p w14:paraId="237944E8">
            <w:pPr>
              <w:rPr>
                <w:rFonts w:ascii="Arial"/>
                <w:highlight w:val="none"/>
              </w:rPr>
            </w:pPr>
          </w:p>
        </w:tc>
        <w:tc>
          <w:tcPr>
            <w:tcW w:w="1498" w:type="dxa"/>
          </w:tcPr>
          <w:p w14:paraId="7E55509E">
            <w:pPr>
              <w:rPr>
                <w:rFonts w:ascii="Arial"/>
                <w:highlight w:val="none"/>
              </w:rPr>
            </w:pPr>
          </w:p>
        </w:tc>
        <w:tc>
          <w:tcPr>
            <w:tcW w:w="1861" w:type="dxa"/>
          </w:tcPr>
          <w:p w14:paraId="2A02C386">
            <w:pPr>
              <w:rPr>
                <w:rFonts w:ascii="Arial"/>
                <w:highlight w:val="none"/>
              </w:rPr>
            </w:pPr>
          </w:p>
        </w:tc>
        <w:tc>
          <w:tcPr>
            <w:tcW w:w="1120" w:type="dxa"/>
          </w:tcPr>
          <w:p w14:paraId="4713A48D">
            <w:pPr>
              <w:rPr>
                <w:rFonts w:ascii="Arial"/>
                <w:highlight w:val="none"/>
              </w:rPr>
            </w:pPr>
          </w:p>
        </w:tc>
        <w:tc>
          <w:tcPr>
            <w:tcW w:w="1125" w:type="dxa"/>
          </w:tcPr>
          <w:p w14:paraId="579C89E4">
            <w:pPr>
              <w:rPr>
                <w:rFonts w:ascii="Arial"/>
                <w:highlight w:val="none"/>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highlight w:val="none"/>
              </w:rPr>
            </w:pPr>
          </w:p>
        </w:tc>
        <w:tc>
          <w:tcPr>
            <w:tcW w:w="2543" w:type="dxa"/>
          </w:tcPr>
          <w:p w14:paraId="229EE8ED">
            <w:pPr>
              <w:rPr>
                <w:rFonts w:ascii="Arial"/>
                <w:highlight w:val="none"/>
              </w:rPr>
            </w:pPr>
          </w:p>
        </w:tc>
        <w:tc>
          <w:tcPr>
            <w:tcW w:w="2100" w:type="dxa"/>
          </w:tcPr>
          <w:p w14:paraId="455A7E4D">
            <w:pPr>
              <w:rPr>
                <w:rFonts w:ascii="Arial"/>
                <w:highlight w:val="none"/>
              </w:rPr>
            </w:pPr>
          </w:p>
        </w:tc>
        <w:tc>
          <w:tcPr>
            <w:tcW w:w="840" w:type="dxa"/>
          </w:tcPr>
          <w:p w14:paraId="3BAC1E46">
            <w:pPr>
              <w:rPr>
                <w:rFonts w:ascii="Arial"/>
                <w:highlight w:val="none"/>
              </w:rPr>
            </w:pPr>
          </w:p>
        </w:tc>
        <w:tc>
          <w:tcPr>
            <w:tcW w:w="2239" w:type="dxa"/>
          </w:tcPr>
          <w:p w14:paraId="55123626">
            <w:pPr>
              <w:rPr>
                <w:rFonts w:ascii="Arial"/>
                <w:highlight w:val="none"/>
              </w:rPr>
            </w:pPr>
          </w:p>
        </w:tc>
        <w:tc>
          <w:tcPr>
            <w:tcW w:w="1498" w:type="dxa"/>
          </w:tcPr>
          <w:p w14:paraId="36B43E06">
            <w:pPr>
              <w:rPr>
                <w:rFonts w:ascii="Arial"/>
                <w:highlight w:val="none"/>
              </w:rPr>
            </w:pPr>
          </w:p>
        </w:tc>
        <w:tc>
          <w:tcPr>
            <w:tcW w:w="1861" w:type="dxa"/>
          </w:tcPr>
          <w:p w14:paraId="3BBC4D70">
            <w:pPr>
              <w:rPr>
                <w:rFonts w:ascii="Arial"/>
                <w:highlight w:val="none"/>
              </w:rPr>
            </w:pPr>
          </w:p>
        </w:tc>
        <w:tc>
          <w:tcPr>
            <w:tcW w:w="1120" w:type="dxa"/>
          </w:tcPr>
          <w:p w14:paraId="41F392AF">
            <w:pPr>
              <w:rPr>
                <w:rFonts w:ascii="Arial"/>
                <w:highlight w:val="none"/>
              </w:rPr>
            </w:pPr>
          </w:p>
        </w:tc>
        <w:tc>
          <w:tcPr>
            <w:tcW w:w="1125" w:type="dxa"/>
          </w:tcPr>
          <w:p w14:paraId="384F2AFA">
            <w:pPr>
              <w:rPr>
                <w:rFonts w:ascii="Arial"/>
                <w:highlight w:val="none"/>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A06535F">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0903613">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7774D7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26E2E06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8C704DD">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3ADB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CD83098">
      <w:pPr>
        <w:spacing w:before="87" w:line="198" w:lineRule="auto"/>
        <w:ind w:left="411"/>
        <w:rPr>
          <w:rFonts w:ascii="宋体" w:hAnsi="宋体" w:eastAsia="宋体" w:cs="宋体"/>
          <w:spacing w:val="-2"/>
          <w:sz w:val="24"/>
          <w:szCs w:val="24"/>
          <w:highlight w:val="none"/>
        </w:rPr>
        <w:sectPr>
          <w:footerReference r:id="rId33" w:type="default"/>
          <w:pgSz w:w="16841" w:h="11907"/>
          <w:pgMar w:top="400" w:right="1500" w:bottom="1184" w:left="1480" w:header="0" w:footer="1022" w:gutter="0"/>
          <w:pgNumType w:fmt="decimal"/>
          <w:cols w:space="720" w:num="1"/>
        </w:sectPr>
      </w:pPr>
    </w:p>
    <w:p w14:paraId="7CCD0CEF">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97CED9E">
      <w:pPr>
        <w:spacing w:line="127" w:lineRule="exact"/>
        <w:rPr>
          <w:highlight w:val="none"/>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C41B4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5FAC719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A302D65">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54A554E">
            <w:pPr>
              <w:rPr>
                <w:rFonts w:ascii="Arial"/>
                <w:highlight w:val="none"/>
              </w:rPr>
            </w:pPr>
          </w:p>
        </w:tc>
        <w:tc>
          <w:tcPr>
            <w:tcW w:w="3362" w:type="dxa"/>
          </w:tcPr>
          <w:p w14:paraId="6FB77477">
            <w:pPr>
              <w:rPr>
                <w:rFonts w:ascii="Arial"/>
                <w:highlight w:val="none"/>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91147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67C9EED7">
            <w:pPr>
              <w:rPr>
                <w:rFonts w:ascii="Arial"/>
                <w:highlight w:val="none"/>
              </w:rPr>
            </w:pPr>
          </w:p>
        </w:tc>
        <w:tc>
          <w:tcPr>
            <w:tcW w:w="3362" w:type="dxa"/>
          </w:tcPr>
          <w:p w14:paraId="48DCAC5C">
            <w:pPr>
              <w:rPr>
                <w:rFonts w:ascii="Arial"/>
                <w:highlight w:val="none"/>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highlight w:val="none"/>
              </w:rPr>
            </w:pPr>
          </w:p>
          <w:p w14:paraId="340735DF">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3AA869A">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FFA8C94">
            <w:pPr>
              <w:rPr>
                <w:rFonts w:ascii="Arial"/>
                <w:highlight w:val="none"/>
              </w:rPr>
            </w:pPr>
          </w:p>
        </w:tc>
        <w:tc>
          <w:tcPr>
            <w:tcW w:w="3362" w:type="dxa"/>
          </w:tcPr>
          <w:p w14:paraId="19EFB9F2">
            <w:pPr>
              <w:rPr>
                <w:rFonts w:ascii="Arial"/>
                <w:highlight w:val="none"/>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B094E3">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54CBC15">
            <w:pPr>
              <w:rPr>
                <w:rFonts w:ascii="Arial"/>
                <w:highlight w:val="none"/>
              </w:rPr>
            </w:pPr>
          </w:p>
        </w:tc>
        <w:tc>
          <w:tcPr>
            <w:tcW w:w="3362" w:type="dxa"/>
          </w:tcPr>
          <w:p w14:paraId="5BD82F98">
            <w:pPr>
              <w:rPr>
                <w:rFonts w:ascii="Arial"/>
                <w:highlight w:val="none"/>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05E19697">
      <w:pPr>
        <w:spacing w:line="291" w:lineRule="auto"/>
        <w:rPr>
          <w:rFonts w:ascii="Arial"/>
          <w:highlight w:val="none"/>
        </w:rPr>
      </w:pPr>
    </w:p>
    <w:p w14:paraId="3A5AD7B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A12CF3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33CB4DDC">
      <w:pPr>
        <w:pStyle w:val="17"/>
        <w:rPr>
          <w:highlight w:val="none"/>
        </w:rPr>
      </w:pPr>
    </w:p>
    <w:p w14:paraId="1976CBAA">
      <w:pPr>
        <w:pStyle w:val="17"/>
        <w:rPr>
          <w:highlight w:val="none"/>
        </w:rPr>
      </w:pPr>
    </w:p>
    <w:p w14:paraId="7D6FEAF5">
      <w:pPr>
        <w:spacing w:before="140" w:line="220" w:lineRule="auto"/>
        <w:ind w:left="2" w:firstLine="464" w:firstLineChars="200"/>
        <w:rPr>
          <w:rFonts w:ascii="宋体" w:hAnsi="宋体" w:eastAsia="宋体" w:cs="宋体"/>
          <w:spacing w:val="-2"/>
          <w:szCs w:val="21"/>
          <w:highlight w:val="none"/>
        </w:rPr>
        <w:sectPr>
          <w:footerReference r:id="rId34"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4995ADA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E344BEC">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highlight w:val="none"/>
                <w:lang w:eastAsia="zh-CN"/>
              </w:rPr>
            </w:pPr>
            <w:r>
              <w:rPr>
                <w:rFonts w:hint="eastAsia" w:ascii="Times New Roman" w:hAnsi="Times New Roman" w:eastAsia="宋体" w:cs="Times New Roman"/>
                <w:b/>
                <w:szCs w:val="20"/>
                <w:highlight w:val="none"/>
                <w:lang w:eastAsia="zh-CN"/>
              </w:rPr>
              <w:t>试车台架冷却塔更新改造项目</w:t>
            </w:r>
            <w:r>
              <w:rPr>
                <w:rFonts w:hint="eastAsia" w:ascii="宋体" w:hAnsi="宋体" w:eastAsia="宋体" w:cs="宋体"/>
                <w:b/>
                <w:szCs w:val="20"/>
                <w:highlight w:val="none"/>
              </w:rPr>
              <w:t>、真空混砂机等冷却塔更新改造项目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highlight w:val="none"/>
              </w:rPr>
            </w:pPr>
          </w:p>
          <w:p w14:paraId="53B87EF0">
            <w:pPr>
              <w:jc w:val="center"/>
              <w:rPr>
                <w:rFonts w:ascii="Times New Roman" w:hAnsi="Times New Roman" w:eastAsia="宋体" w:cs="Times New Roman"/>
                <w:b/>
                <w:szCs w:val="21"/>
                <w:highlight w:val="none"/>
              </w:rPr>
            </w:pPr>
          </w:p>
          <w:p w14:paraId="67EAB0BA">
            <w:pPr>
              <w:jc w:val="center"/>
              <w:rPr>
                <w:rFonts w:ascii="Times New Roman" w:hAnsi="Times New Roman" w:eastAsia="宋体" w:cs="Times New Roman"/>
                <w:b/>
                <w:szCs w:val="21"/>
                <w:highlight w:val="none"/>
              </w:rPr>
            </w:pPr>
          </w:p>
          <w:p w14:paraId="318AACDB">
            <w:pPr>
              <w:jc w:val="center"/>
              <w:rPr>
                <w:rFonts w:ascii="Times New Roman" w:hAnsi="Times New Roman" w:eastAsia="宋体" w:cs="Times New Roman"/>
                <w:b/>
                <w:szCs w:val="21"/>
                <w:highlight w:val="none"/>
              </w:rPr>
            </w:pPr>
          </w:p>
          <w:p w14:paraId="30162CDE">
            <w:pPr>
              <w:jc w:val="center"/>
              <w:rPr>
                <w:rFonts w:ascii="Times New Roman" w:hAnsi="Times New Roman" w:eastAsia="宋体" w:cs="Times New Roman"/>
                <w:b/>
                <w:szCs w:val="21"/>
                <w:highlight w:val="none"/>
              </w:rPr>
            </w:pPr>
          </w:p>
          <w:p w14:paraId="5DC41C49">
            <w:pPr>
              <w:jc w:val="center"/>
              <w:rPr>
                <w:rFonts w:ascii="Times New Roman" w:hAnsi="Times New Roman" w:eastAsia="宋体" w:cs="Times New Roman"/>
                <w:b/>
                <w:szCs w:val="21"/>
                <w:highlight w:val="none"/>
              </w:rPr>
            </w:pPr>
          </w:p>
          <w:p w14:paraId="477DFBFA">
            <w:pPr>
              <w:jc w:val="center"/>
              <w:rPr>
                <w:rFonts w:ascii="Times New Roman" w:hAnsi="Times New Roman" w:eastAsia="宋体" w:cs="Times New Roman"/>
                <w:b/>
                <w:szCs w:val="21"/>
                <w:highlight w:val="none"/>
              </w:rPr>
            </w:pPr>
          </w:p>
          <w:p w14:paraId="47388F65">
            <w:pPr>
              <w:jc w:val="center"/>
              <w:rPr>
                <w:rFonts w:ascii="Times New Roman" w:hAnsi="Times New Roman" w:eastAsia="宋体" w:cs="Times New Roman"/>
                <w:b/>
                <w:szCs w:val="21"/>
                <w:highlight w:val="none"/>
              </w:rPr>
            </w:pPr>
          </w:p>
          <w:p w14:paraId="5FE1ECE8">
            <w:pPr>
              <w:jc w:val="center"/>
              <w:rPr>
                <w:rFonts w:ascii="Times New Roman" w:hAnsi="Times New Roman" w:eastAsia="宋体" w:cs="Times New Roman"/>
                <w:b/>
                <w:szCs w:val="21"/>
                <w:highlight w:val="none"/>
              </w:rPr>
            </w:pPr>
          </w:p>
          <w:p w14:paraId="794A6A9A">
            <w:pPr>
              <w:jc w:val="center"/>
              <w:rPr>
                <w:rFonts w:ascii="Times New Roman" w:hAnsi="Times New Roman" w:eastAsia="宋体" w:cs="Times New Roman"/>
                <w:b/>
                <w:szCs w:val="21"/>
                <w:highlight w:val="none"/>
              </w:rPr>
            </w:pPr>
          </w:p>
          <w:p w14:paraId="36E88C7C">
            <w:pPr>
              <w:jc w:val="center"/>
              <w:rPr>
                <w:rFonts w:ascii="Times New Roman" w:hAnsi="Times New Roman" w:eastAsia="宋体" w:cs="Times New Roman"/>
                <w:b/>
                <w:szCs w:val="21"/>
                <w:highlight w:val="none"/>
              </w:rPr>
            </w:pPr>
          </w:p>
          <w:p w14:paraId="12623250">
            <w:pPr>
              <w:jc w:val="center"/>
              <w:rPr>
                <w:rFonts w:ascii="Times New Roman" w:hAnsi="Times New Roman" w:eastAsia="宋体" w:cs="Times New Roman"/>
                <w:b/>
                <w:szCs w:val="21"/>
                <w:highlight w:val="none"/>
              </w:rPr>
            </w:pPr>
          </w:p>
          <w:p w14:paraId="5C30E28E">
            <w:pPr>
              <w:jc w:val="center"/>
              <w:rPr>
                <w:rFonts w:ascii="Times New Roman" w:hAnsi="Times New Roman" w:eastAsia="宋体" w:cs="Times New Roman"/>
                <w:b/>
                <w:szCs w:val="21"/>
                <w:highlight w:val="none"/>
              </w:rPr>
            </w:pPr>
          </w:p>
          <w:p w14:paraId="5A7043F7">
            <w:pPr>
              <w:jc w:val="center"/>
              <w:rPr>
                <w:rFonts w:ascii="Times New Roman" w:hAnsi="Times New Roman" w:eastAsia="宋体" w:cs="Times New Roman"/>
                <w:b/>
                <w:szCs w:val="21"/>
                <w:highlight w:val="none"/>
              </w:rPr>
            </w:pPr>
          </w:p>
          <w:p w14:paraId="1FEC4787">
            <w:pPr>
              <w:jc w:val="center"/>
              <w:rPr>
                <w:rFonts w:ascii="Times New Roman" w:hAnsi="Times New Roman" w:eastAsia="宋体" w:cs="Times New Roman"/>
                <w:b/>
                <w:szCs w:val="21"/>
                <w:highlight w:val="none"/>
              </w:rPr>
            </w:pPr>
          </w:p>
          <w:p w14:paraId="4680D5FE">
            <w:pPr>
              <w:jc w:val="center"/>
              <w:rPr>
                <w:rFonts w:ascii="Times New Roman" w:hAnsi="Times New Roman" w:eastAsia="宋体" w:cs="Times New Roman"/>
                <w:b/>
                <w:szCs w:val="21"/>
                <w:highlight w:val="none"/>
              </w:rPr>
            </w:pPr>
          </w:p>
          <w:p w14:paraId="579E43D8">
            <w:pPr>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highlight w:val="none"/>
              </w:rPr>
            </w:pPr>
          </w:p>
        </w:tc>
      </w:tr>
    </w:tbl>
    <w:p w14:paraId="25ACA4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5050FEC">
      <w:pPr>
        <w:rPr>
          <w:rFonts w:ascii="宋体" w:hAnsi="Calibri" w:eastAsia="宋体" w:cs="Times New Roman"/>
          <w:szCs w:val="20"/>
          <w:highlight w:val="none"/>
        </w:rPr>
      </w:pPr>
    </w:p>
    <w:p w14:paraId="0E40BEA8">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58ECDBFD">
      <w:pPr>
        <w:spacing w:line="272" w:lineRule="auto"/>
        <w:rPr>
          <w:rFonts w:ascii="Arial"/>
          <w:highlight w:val="none"/>
        </w:rPr>
      </w:pPr>
    </w:p>
    <w:p w14:paraId="11C05ED1">
      <w:pPr>
        <w:spacing w:before="75" w:line="228" w:lineRule="auto"/>
        <w:ind w:left="134"/>
        <w:rPr>
          <w:rFonts w:hint="eastAsia" w:ascii="宋体" w:hAnsi="宋体" w:eastAsia="宋体" w:cs="宋体"/>
          <w:sz w:val="24"/>
          <w:szCs w:val="24"/>
          <w:highlight w:val="none"/>
          <w:lang w:eastAsia="zh-CN"/>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lang w:eastAsia="zh-CN"/>
        </w:rPr>
        <w:t>试车台架冷却塔更新改造项目、真空混砂机等冷却塔更新改造项目</w:t>
      </w:r>
    </w:p>
    <w:p w14:paraId="1C022C9A">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rPr>
          <w:highlight w:val="none"/>
        </w:rPr>
      </w:pPr>
    </w:p>
    <w:p w14:paraId="36D349FF">
      <w:pPr>
        <w:spacing w:line="109" w:lineRule="exact"/>
        <w:rPr>
          <w:highlight w:val="none"/>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rPr>
          <w:rFonts w:ascii="Times New Roman" w:hAnsi="Times New Roman" w:eastAsia="宋体" w:cs="Times New Roman"/>
          <w:b/>
          <w:bCs/>
          <w:color w:val="000000"/>
          <w:sz w:val="24"/>
          <w:szCs w:val="24"/>
          <w:highlight w:val="none"/>
        </w:rPr>
      </w:pPr>
    </w:p>
    <w:p w14:paraId="34FD54A0">
      <w:pPr>
        <w:spacing w:before="75" w:line="227" w:lineRule="auto"/>
        <w:ind w:left="135"/>
        <w:rPr>
          <w:rFonts w:ascii="宋体" w:hAnsi="宋体" w:eastAsia="宋体" w:cs="宋体"/>
          <w:spacing w:val="-2"/>
          <w:sz w:val="24"/>
          <w:szCs w:val="24"/>
          <w:highlight w:val="none"/>
        </w:rPr>
      </w:pPr>
    </w:p>
    <w:p w14:paraId="75A454F7">
      <w:pPr>
        <w:spacing w:before="75" w:line="227" w:lineRule="auto"/>
        <w:ind w:left="135"/>
        <w:rPr>
          <w:rFonts w:ascii="宋体" w:hAnsi="宋体" w:eastAsia="宋体" w:cs="宋体"/>
          <w:spacing w:val="-2"/>
          <w:sz w:val="24"/>
          <w:szCs w:val="24"/>
          <w:highlight w:val="none"/>
        </w:rPr>
      </w:pPr>
    </w:p>
    <w:p w14:paraId="3C5C7593">
      <w:pPr>
        <w:spacing w:before="75" w:line="227" w:lineRule="auto"/>
        <w:ind w:left="135"/>
        <w:rPr>
          <w:rFonts w:eastAsia="宋体"/>
          <w:sz w:val="24"/>
          <w:szCs w:val="24"/>
          <w:highlight w:val="none"/>
        </w:rPr>
        <w:sectPr>
          <w:footerReference r:id="rId35"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42176D5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17CA230F">
      <w:pPr>
        <w:spacing w:line="240" w:lineRule="exact"/>
        <w:jc w:val="center"/>
        <w:rPr>
          <w:rFonts w:ascii="宋体" w:hAnsi="Calibri" w:eastAsia="宋体" w:cs="Times New Roman"/>
          <w:b/>
          <w:bCs/>
          <w:sz w:val="36"/>
          <w:szCs w:val="20"/>
          <w:highlight w:val="none"/>
        </w:rPr>
      </w:pPr>
    </w:p>
    <w:p w14:paraId="40AFAD5F">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eastAsia="zh-CN"/>
        </w:rPr>
        <w:t>试车台架冷却塔更新改造项目、真空混砂机等冷却塔更新改造项目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中国重汽集团杭州发动机有限公司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spacing w:line="360" w:lineRule="auto"/>
        <w:ind w:firstLine="480" w:firstLineChars="200"/>
        <w:rPr>
          <w:rFonts w:ascii="宋体" w:hAnsi="宋体" w:eastAsia="宋体" w:cs="Times New Roman"/>
          <w:sz w:val="24"/>
          <w:szCs w:val="20"/>
          <w:highlight w:val="none"/>
          <w:u w:val="single"/>
        </w:rPr>
      </w:pPr>
    </w:p>
    <w:p w14:paraId="24DFB3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0470D">
      <w:pPr>
        <w:rPr>
          <w:rFonts w:ascii="宋体" w:hAnsi="Calibri" w:eastAsia="宋体" w:cs="宋体"/>
          <w:b/>
          <w:bCs/>
          <w:color w:val="000000"/>
          <w:sz w:val="28"/>
          <w:szCs w:val="20"/>
          <w:highlight w:val="none"/>
        </w:rPr>
      </w:pPr>
    </w:p>
    <w:p w14:paraId="3142B742">
      <w:pPr>
        <w:pStyle w:val="17"/>
        <w:rPr>
          <w:rFonts w:hAnsi="Calibri" w:eastAsia="宋体" w:cs="宋体"/>
          <w:b/>
          <w:bCs/>
          <w:color w:val="000000"/>
          <w:sz w:val="28"/>
          <w:szCs w:val="20"/>
          <w:highlight w:val="none"/>
        </w:rPr>
      </w:pPr>
    </w:p>
    <w:p w14:paraId="677D2A47">
      <w:pPr>
        <w:rPr>
          <w:rFonts w:ascii="宋体" w:hAnsi="Calibri" w:eastAsia="宋体" w:cs="宋体"/>
          <w:b/>
          <w:bCs/>
          <w:color w:val="000000"/>
          <w:sz w:val="28"/>
          <w:szCs w:val="20"/>
          <w:highlight w:val="none"/>
        </w:rPr>
      </w:pPr>
    </w:p>
    <w:p w14:paraId="47CBD4B0">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71AB37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highlight w:val="none"/>
              </w:rPr>
            </w:pPr>
          </w:p>
          <w:p w14:paraId="14289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rPr>
                <w:rFonts w:ascii="Times New Roman" w:hAnsi="Times New Roman" w:eastAsia="等线" w:cs="Times New Roman"/>
                <w:b/>
                <w:sz w:val="30"/>
                <w:szCs w:val="30"/>
                <w:highlight w:val="none"/>
              </w:rPr>
            </w:pPr>
          </w:p>
          <w:p w14:paraId="2C9F9A79">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highlight w:val="none"/>
              </w:rPr>
            </w:pPr>
          </w:p>
          <w:p w14:paraId="524341B2">
            <w:pPr>
              <w:jc w:val="center"/>
              <w:rPr>
                <w:rFonts w:ascii="Times New Roman" w:hAnsi="Times New Roman" w:eastAsia="宋体" w:cs="Times New Roman"/>
                <w:b/>
                <w:szCs w:val="20"/>
                <w:highlight w:val="none"/>
              </w:rPr>
            </w:pPr>
          </w:p>
          <w:p w14:paraId="23E3EA55">
            <w:pPr>
              <w:jc w:val="center"/>
              <w:rPr>
                <w:rFonts w:hint="eastAsia" w:ascii="Times New Roman" w:hAnsi="Times New Roman" w:eastAsia="宋体" w:cs="Times New Roman"/>
                <w:b/>
                <w:szCs w:val="20"/>
                <w:highlight w:val="none"/>
                <w:lang w:eastAsia="zh-CN"/>
              </w:rPr>
            </w:pPr>
            <w:r>
              <w:rPr>
                <w:rFonts w:hint="eastAsia" w:ascii="宋体" w:hAnsi="宋体" w:eastAsia="宋体" w:cs="宋体"/>
                <w:b/>
                <w:szCs w:val="20"/>
                <w:highlight w:val="none"/>
              </w:rPr>
              <w:t>项目名称：试车台架冷却塔更新改造项目、真空混砂机等冷却塔更新改造项目</w:t>
            </w:r>
          </w:p>
          <w:p w14:paraId="13926F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jc w:val="center"/>
              <w:rPr>
                <w:rFonts w:ascii="Times New Roman" w:hAnsi="Times New Roman" w:eastAsia="宋体" w:cs="Times New Roman"/>
                <w:b/>
                <w:szCs w:val="20"/>
                <w:highlight w:val="none"/>
              </w:rPr>
            </w:pPr>
          </w:p>
          <w:p w14:paraId="45BE690D">
            <w:pPr>
              <w:jc w:val="center"/>
              <w:rPr>
                <w:rFonts w:ascii="Times New Roman" w:hAnsi="Times New Roman" w:eastAsia="宋体" w:cs="Times New Roman"/>
                <w:b/>
                <w:szCs w:val="20"/>
                <w:highlight w:val="none"/>
              </w:rPr>
            </w:pPr>
          </w:p>
        </w:tc>
      </w:tr>
    </w:tbl>
    <w:p w14:paraId="4D9C60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7"/>
        <w:rPr>
          <w:highlight w:val="none"/>
        </w:rPr>
      </w:pPr>
    </w:p>
    <w:p w14:paraId="13C4EDB8">
      <w:pPr>
        <w:jc w:val="right"/>
        <w:rPr>
          <w:rFonts w:asciiTheme="minorEastAsia" w:hAnsiTheme="minorEastAsia" w:cstheme="minorEastAsia"/>
          <w:sz w:val="20"/>
          <w:szCs w:val="20"/>
          <w:highlight w:val="none"/>
        </w:rPr>
      </w:pPr>
    </w:p>
    <w:p w14:paraId="04E070C9">
      <w:pPr>
        <w:jc w:val="right"/>
        <w:rPr>
          <w:rFonts w:asciiTheme="minorEastAsia" w:hAnsiTheme="minorEastAsia" w:cstheme="minorEastAsia"/>
          <w:sz w:val="20"/>
          <w:szCs w:val="20"/>
          <w:highlight w:val="none"/>
        </w:rPr>
      </w:pPr>
    </w:p>
    <w:p w14:paraId="31537755">
      <w:pPr>
        <w:rPr>
          <w:highlight w:val="none"/>
        </w:rPr>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技术标评分标准</w:t>
      </w:r>
    </w:p>
    <w:p w14:paraId="49B78105">
      <w:pPr>
        <w:spacing w:line="360" w:lineRule="auto"/>
        <w:rPr>
          <w:rFonts w:hint="default" w:ascii="宋体" w:hAnsi="宋体" w:eastAsia="宋体" w:cs="Times New Roman"/>
          <w:b/>
          <w:bCs/>
          <w:sz w:val="24"/>
          <w:szCs w:val="20"/>
          <w:highlight w:val="none"/>
          <w:u w:val="none"/>
          <w:lang w:val="en-US" w:eastAsia="zh-CN"/>
        </w:rPr>
      </w:pPr>
      <w:r>
        <w:rPr>
          <w:rFonts w:hint="eastAsia" w:ascii="宋体" w:hAnsi="宋体" w:eastAsia="宋体" w:cs="Times New Roman"/>
          <w:b/>
          <w:bCs/>
          <w:sz w:val="24"/>
          <w:szCs w:val="20"/>
          <w:highlight w:val="none"/>
          <w:u w:val="none"/>
          <w:lang w:val="en-US" w:eastAsia="zh-CN"/>
        </w:rPr>
        <w:t>包1试车台架冷却塔更新改造项目：</w:t>
      </w:r>
    </w:p>
    <w:tbl>
      <w:tblPr>
        <w:tblStyle w:val="132"/>
        <w:tblW w:w="967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58"/>
        <w:gridCol w:w="682"/>
        <w:gridCol w:w="656"/>
        <w:gridCol w:w="2102"/>
        <w:gridCol w:w="532"/>
        <w:gridCol w:w="4546"/>
      </w:tblGrid>
      <w:tr w14:paraId="7C4C5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1158" w:type="dxa"/>
            <w:tcBorders>
              <w:top w:val="single" w:color="auto" w:sz="12" w:space="0"/>
              <w:left w:val="single" w:color="auto" w:sz="12" w:space="0"/>
              <w:bottom w:val="single" w:color="auto" w:sz="4" w:space="0"/>
              <w:right w:val="single" w:color="auto" w:sz="4" w:space="0"/>
            </w:tcBorders>
            <w:vAlign w:val="center"/>
          </w:tcPr>
          <w:p w14:paraId="2D85EEE8">
            <w:pPr>
              <w:pStyle w:val="180"/>
              <w:snapToGrid w:val="0"/>
              <w:spacing w:before="20" w:line="240" w:lineRule="auto"/>
              <w:ind w:left="0" w:leftChars="0" w:right="0" w:rightChars="0" w:firstLine="0" w:firstLineChars="0"/>
              <w:jc w:val="center"/>
              <w:rPr>
                <w:b/>
              </w:rPr>
            </w:pPr>
            <w:r>
              <w:rPr>
                <w:b/>
                <w:spacing w:val="-2"/>
              </w:rPr>
              <w:t>评价类型</w:t>
            </w:r>
          </w:p>
        </w:tc>
        <w:tc>
          <w:tcPr>
            <w:tcW w:w="682" w:type="dxa"/>
            <w:tcBorders>
              <w:top w:val="single" w:color="auto" w:sz="12" w:space="0"/>
              <w:left w:val="single" w:color="auto" w:sz="4" w:space="0"/>
              <w:bottom w:val="single" w:color="auto" w:sz="4" w:space="0"/>
              <w:right w:val="single" w:color="auto" w:sz="4" w:space="0"/>
            </w:tcBorders>
            <w:vAlign w:val="center"/>
          </w:tcPr>
          <w:p w14:paraId="45D65778">
            <w:pPr>
              <w:pStyle w:val="180"/>
              <w:snapToGrid w:val="0"/>
              <w:spacing w:before="23" w:line="240" w:lineRule="auto"/>
              <w:ind w:left="0" w:leftChars="0" w:right="0" w:rightChars="0" w:firstLine="0" w:firstLineChars="0"/>
              <w:jc w:val="center"/>
              <w:rPr>
                <w:b/>
              </w:rPr>
            </w:pPr>
            <w:r>
              <w:rPr>
                <w:b/>
                <w:spacing w:val="7"/>
              </w:rPr>
              <w:t>评审</w:t>
            </w:r>
            <w:r>
              <w:rPr>
                <w:b/>
                <w:spacing w:val="4"/>
              </w:rPr>
              <w:t>内容</w:t>
            </w:r>
          </w:p>
        </w:tc>
        <w:tc>
          <w:tcPr>
            <w:tcW w:w="656" w:type="dxa"/>
            <w:tcBorders>
              <w:top w:val="single" w:color="auto" w:sz="12" w:space="0"/>
              <w:left w:val="single" w:color="auto" w:sz="4" w:space="0"/>
              <w:bottom w:val="single" w:color="auto" w:sz="4" w:space="0"/>
              <w:right w:val="single" w:color="auto" w:sz="4" w:space="0"/>
            </w:tcBorders>
            <w:vAlign w:val="center"/>
          </w:tcPr>
          <w:p w14:paraId="431069BB">
            <w:pPr>
              <w:pStyle w:val="180"/>
              <w:snapToGrid w:val="0"/>
              <w:spacing w:before="223" w:line="240" w:lineRule="auto"/>
              <w:ind w:left="0" w:leftChars="0" w:right="0" w:rightChars="0" w:firstLine="0" w:firstLineChars="0"/>
              <w:jc w:val="center"/>
              <w:rPr>
                <w:b/>
              </w:rPr>
            </w:pPr>
            <w:r>
              <w:rPr>
                <w:b/>
                <w:spacing w:val="-2"/>
              </w:rPr>
              <w:t>序号</w:t>
            </w:r>
          </w:p>
        </w:tc>
        <w:tc>
          <w:tcPr>
            <w:tcW w:w="2102" w:type="dxa"/>
            <w:tcBorders>
              <w:top w:val="single" w:color="auto" w:sz="12" w:space="0"/>
              <w:left w:val="single" w:color="auto" w:sz="4" w:space="0"/>
              <w:bottom w:val="single" w:color="auto" w:sz="4" w:space="0"/>
              <w:right w:val="single" w:color="auto" w:sz="4" w:space="0"/>
            </w:tcBorders>
            <w:vAlign w:val="center"/>
          </w:tcPr>
          <w:p w14:paraId="3EBB52CC">
            <w:pPr>
              <w:pStyle w:val="180"/>
              <w:snapToGrid w:val="0"/>
              <w:spacing w:before="222" w:line="240" w:lineRule="auto"/>
              <w:ind w:left="0" w:leftChars="0" w:right="0" w:rightChars="0" w:firstLine="0" w:firstLineChars="0"/>
              <w:jc w:val="center"/>
              <w:rPr>
                <w:b/>
              </w:rPr>
            </w:pPr>
            <w:r>
              <w:rPr>
                <w:b/>
                <w:spacing w:val="-15"/>
              </w:rPr>
              <w:t>内容</w:t>
            </w:r>
          </w:p>
        </w:tc>
        <w:tc>
          <w:tcPr>
            <w:tcW w:w="532" w:type="dxa"/>
            <w:tcBorders>
              <w:top w:val="single" w:color="auto" w:sz="12" w:space="0"/>
              <w:left w:val="single" w:color="auto" w:sz="4" w:space="0"/>
              <w:bottom w:val="single" w:color="auto" w:sz="4" w:space="0"/>
              <w:right w:val="single" w:color="auto" w:sz="4" w:space="0"/>
            </w:tcBorders>
            <w:vAlign w:val="center"/>
          </w:tcPr>
          <w:p w14:paraId="1AF36F48">
            <w:pPr>
              <w:pStyle w:val="180"/>
              <w:snapToGrid w:val="0"/>
              <w:spacing w:before="33" w:line="240" w:lineRule="auto"/>
              <w:ind w:left="0" w:leftChars="0" w:right="0" w:rightChars="0" w:firstLine="0" w:firstLineChars="0"/>
              <w:jc w:val="center"/>
              <w:rPr>
                <w:b/>
              </w:rPr>
            </w:pPr>
            <w:r>
              <w:rPr>
                <w:b/>
                <w:spacing w:val="-4"/>
              </w:rPr>
              <w:t>标准</w:t>
            </w:r>
            <w:r>
              <w:rPr>
                <w:b/>
              </w:rPr>
              <w:t>分</w:t>
            </w:r>
          </w:p>
        </w:tc>
        <w:tc>
          <w:tcPr>
            <w:tcW w:w="4546" w:type="dxa"/>
            <w:tcBorders>
              <w:top w:val="single" w:color="auto" w:sz="12" w:space="0"/>
              <w:left w:val="single" w:color="auto" w:sz="4" w:space="0"/>
              <w:bottom w:val="single" w:color="auto" w:sz="4" w:space="0"/>
              <w:right w:val="single" w:color="auto" w:sz="12" w:space="0"/>
            </w:tcBorders>
            <w:vAlign w:val="center"/>
          </w:tcPr>
          <w:p w14:paraId="71A6D63C">
            <w:pPr>
              <w:pStyle w:val="180"/>
              <w:snapToGrid w:val="0"/>
              <w:spacing w:before="222" w:line="240" w:lineRule="auto"/>
              <w:ind w:left="0" w:leftChars="0" w:right="0" w:rightChars="0" w:firstLine="0" w:firstLineChars="0"/>
              <w:jc w:val="center"/>
              <w:rPr>
                <w:b/>
              </w:rPr>
            </w:pPr>
            <w:r>
              <w:rPr>
                <w:b/>
                <w:spacing w:val="-2"/>
              </w:rPr>
              <w:t>评分标准</w:t>
            </w:r>
          </w:p>
        </w:tc>
      </w:tr>
      <w:tr w14:paraId="3E9E1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restart"/>
            <w:tcBorders>
              <w:top w:val="single" w:color="auto" w:sz="4" w:space="0"/>
              <w:left w:val="single" w:color="auto" w:sz="12" w:space="0"/>
              <w:bottom w:val="single" w:color="auto" w:sz="4" w:space="0"/>
              <w:right w:val="single" w:color="auto" w:sz="4" w:space="0"/>
            </w:tcBorders>
            <w:vAlign w:val="center"/>
          </w:tcPr>
          <w:p w14:paraId="65E49931">
            <w:pPr>
              <w:pStyle w:val="180"/>
              <w:snapToGrid w:val="0"/>
              <w:spacing w:before="58" w:line="240" w:lineRule="auto"/>
              <w:ind w:left="0" w:leftChars="0" w:right="0" w:rightChars="0" w:firstLine="0" w:firstLineChars="0"/>
              <w:jc w:val="center"/>
              <w:rPr>
                <w:rFonts w:ascii="宋体" w:eastAsia="宋体"/>
                <w:sz w:val="24"/>
              </w:rPr>
            </w:pPr>
            <w:r>
              <w:rPr>
                <w:rFonts w:ascii="宋体" w:eastAsia="宋体"/>
                <w:spacing w:val="-4"/>
                <w:sz w:val="24"/>
              </w:rPr>
              <w:t>技术</w:t>
            </w:r>
            <w:r>
              <w:rPr>
                <w:rFonts w:ascii="宋体" w:eastAsia="宋体"/>
                <w:sz w:val="24"/>
              </w:rPr>
              <w:t xml:space="preserve"> 标</w:t>
            </w:r>
          </w:p>
          <w:p w14:paraId="570A886D">
            <w:pPr>
              <w:pStyle w:val="180"/>
              <w:snapToGrid w:val="0"/>
              <w:spacing w:before="34" w:line="240" w:lineRule="auto"/>
              <w:ind w:left="0" w:leftChars="0" w:right="0" w:rightChars="0" w:firstLine="0" w:firstLineChars="0"/>
              <w:jc w:val="center"/>
              <w:rPr>
                <w:rFonts w:ascii="宋体" w:eastAsia="宋体"/>
                <w:sz w:val="24"/>
              </w:rPr>
            </w:pPr>
            <w:r>
              <w:rPr>
                <w:rFonts w:ascii="宋体" w:eastAsia="宋体"/>
                <w:spacing w:val="1"/>
                <w:sz w:val="24"/>
              </w:rPr>
              <w:t>100分</w:t>
            </w:r>
          </w:p>
        </w:tc>
        <w:tc>
          <w:tcPr>
            <w:tcW w:w="682" w:type="dxa"/>
            <w:tcBorders>
              <w:top w:val="single" w:color="auto" w:sz="4" w:space="0"/>
              <w:left w:val="single" w:color="auto" w:sz="4" w:space="0"/>
              <w:bottom w:val="single" w:color="auto" w:sz="4" w:space="0"/>
              <w:right w:val="single" w:color="auto" w:sz="4" w:space="0"/>
            </w:tcBorders>
            <w:vAlign w:val="center"/>
          </w:tcPr>
          <w:p w14:paraId="25F582D7">
            <w:pPr>
              <w:pStyle w:val="180"/>
              <w:snapToGrid w:val="0"/>
              <w:spacing w:before="59" w:line="240" w:lineRule="auto"/>
              <w:ind w:left="0" w:leftChars="0" w:right="0" w:rightChars="0" w:firstLine="0" w:firstLineChars="0"/>
              <w:jc w:val="left"/>
              <w:rPr>
                <w:rFonts w:ascii="宋体" w:eastAsia="宋体"/>
                <w:sz w:val="24"/>
              </w:rPr>
            </w:pPr>
            <w:r>
              <w:rPr>
                <w:rFonts w:ascii="宋体" w:eastAsia="宋体"/>
                <w:spacing w:val="-2"/>
                <w:sz w:val="24"/>
              </w:rPr>
              <w:t>业绩</w:t>
            </w:r>
          </w:p>
        </w:tc>
        <w:tc>
          <w:tcPr>
            <w:tcW w:w="656" w:type="dxa"/>
            <w:tcBorders>
              <w:top w:val="single" w:color="auto" w:sz="4" w:space="0"/>
              <w:left w:val="single" w:color="auto" w:sz="4" w:space="0"/>
              <w:bottom w:val="single" w:color="auto" w:sz="4" w:space="0"/>
              <w:right w:val="single" w:color="auto" w:sz="4" w:space="0"/>
            </w:tcBorders>
            <w:vAlign w:val="center"/>
          </w:tcPr>
          <w:p w14:paraId="3215A074">
            <w:pPr>
              <w:pStyle w:val="180"/>
              <w:snapToGrid w:val="0"/>
              <w:spacing w:before="59" w:line="240" w:lineRule="auto"/>
              <w:ind w:left="0" w:leftChars="0" w:right="0" w:rightChars="0" w:firstLine="0" w:firstLineChars="0"/>
              <w:jc w:val="left"/>
              <w:rPr>
                <w:rFonts w:ascii="宋体" w:eastAsia="宋体"/>
                <w:sz w:val="24"/>
              </w:rPr>
            </w:pPr>
            <w:r>
              <w:rPr>
                <w:rFonts w:ascii="宋体" w:eastAsia="宋体"/>
                <w:sz w:val="24"/>
              </w:rPr>
              <w:t>1</w:t>
            </w:r>
          </w:p>
        </w:tc>
        <w:tc>
          <w:tcPr>
            <w:tcW w:w="2102" w:type="dxa"/>
            <w:tcBorders>
              <w:top w:val="single" w:color="auto" w:sz="4" w:space="0"/>
              <w:left w:val="single" w:color="auto" w:sz="4" w:space="0"/>
              <w:bottom w:val="single" w:color="auto" w:sz="4" w:space="0"/>
              <w:right w:val="single" w:color="auto" w:sz="4" w:space="0"/>
            </w:tcBorders>
            <w:vAlign w:val="center"/>
          </w:tcPr>
          <w:p w14:paraId="4C74DABF">
            <w:pPr>
              <w:pStyle w:val="180"/>
              <w:snapToGrid w:val="0"/>
              <w:spacing w:before="58"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设备制造商同类型项目业绩</w:t>
            </w:r>
          </w:p>
        </w:tc>
        <w:tc>
          <w:tcPr>
            <w:tcW w:w="532" w:type="dxa"/>
            <w:tcBorders>
              <w:top w:val="single" w:color="auto" w:sz="4" w:space="0"/>
              <w:left w:val="single" w:color="auto" w:sz="4" w:space="0"/>
              <w:bottom w:val="single" w:color="auto" w:sz="4" w:space="0"/>
              <w:right w:val="single" w:color="auto" w:sz="4" w:space="0"/>
            </w:tcBorders>
            <w:vAlign w:val="center"/>
          </w:tcPr>
          <w:p w14:paraId="64D94F44">
            <w:pPr>
              <w:pStyle w:val="180"/>
              <w:snapToGrid w:val="0"/>
              <w:spacing w:before="58"/>
              <w:ind w:left="0" w:leftChars="0" w:right="0" w:rightChars="0" w:firstLine="0" w:firstLineChars="0"/>
              <w:jc w:val="left"/>
              <w:rPr>
                <w:rFonts w:ascii="宋体" w:eastAsia="宋体"/>
                <w:sz w:val="24"/>
              </w:rPr>
            </w:pPr>
            <w:r>
              <w:rPr>
                <w:rFonts w:ascii="宋体" w:eastAsia="宋体"/>
                <w:spacing w:val="-6"/>
                <w:sz w:val="24"/>
              </w:rPr>
              <w:t>10</w:t>
            </w:r>
          </w:p>
        </w:tc>
        <w:tc>
          <w:tcPr>
            <w:tcW w:w="4546" w:type="dxa"/>
            <w:tcBorders>
              <w:top w:val="single" w:color="auto" w:sz="4" w:space="0"/>
              <w:left w:val="single" w:color="auto" w:sz="4" w:space="0"/>
              <w:bottom w:val="single" w:color="auto" w:sz="4" w:space="0"/>
              <w:right w:val="single" w:color="auto" w:sz="12" w:space="0"/>
            </w:tcBorders>
            <w:vAlign w:val="center"/>
          </w:tcPr>
          <w:p w14:paraId="1590AF5B">
            <w:pPr>
              <w:pStyle w:val="180"/>
              <w:snapToGrid w:val="0"/>
              <w:spacing w:before="56"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z w:val="24"/>
                <w:lang w:eastAsia="zh-CN"/>
              </w:rPr>
              <w:t>一般进行赋分，最高10分(时间以签订日期为准),</w:t>
            </w:r>
          </w:p>
          <w:p w14:paraId="354FCC1E">
            <w:pPr>
              <w:pStyle w:val="180"/>
              <w:snapToGrid w:val="0"/>
              <w:spacing w:before="33" w:line="240" w:lineRule="auto"/>
              <w:ind w:left="0" w:leftChars="0" w:right="0" w:rightChars="0" w:firstLine="0" w:firstLineChars="0"/>
              <w:jc w:val="left"/>
              <w:rPr>
                <w:rFonts w:ascii="宋体" w:eastAsia="宋体"/>
                <w:sz w:val="24"/>
                <w:lang w:eastAsia="zh-CN"/>
              </w:rPr>
            </w:pPr>
            <w:r>
              <w:rPr>
                <w:rFonts w:ascii="宋体" w:eastAsia="宋体"/>
                <w:sz w:val="24"/>
                <w:lang w:eastAsia="zh-CN"/>
              </w:rPr>
              <w:t>投标人在2021年1月1日以来在中国与本标同类规格产品的</w:t>
            </w:r>
            <w:r>
              <w:rPr>
                <w:rFonts w:ascii="宋体" w:eastAsia="宋体"/>
                <w:spacing w:val="6"/>
                <w:sz w:val="24"/>
                <w:lang w:eastAsia="zh-CN"/>
              </w:rPr>
              <w:t xml:space="preserve">  </w:t>
            </w:r>
            <w:r>
              <w:rPr>
                <w:rFonts w:ascii="宋体" w:eastAsia="宋体"/>
                <w:spacing w:val="1"/>
                <w:sz w:val="24"/>
                <w:lang w:eastAsia="zh-CN"/>
              </w:rPr>
              <w:t>业绩，以合同复印件加盖公章为准(须有客户联系方式及联</w:t>
            </w:r>
            <w:r>
              <w:rPr>
                <w:rFonts w:ascii="宋体" w:eastAsia="宋体"/>
                <w:spacing w:val="16"/>
                <w:sz w:val="24"/>
                <w:lang w:eastAsia="zh-CN"/>
              </w:rPr>
              <w:t xml:space="preserve"> </w:t>
            </w:r>
            <w:r>
              <w:rPr>
                <w:rFonts w:ascii="宋体" w:eastAsia="宋体"/>
                <w:spacing w:val="4"/>
                <w:sz w:val="24"/>
                <w:lang w:eastAsia="zh-CN"/>
              </w:rPr>
              <w:t>系人以供招标人核实确认),</w:t>
            </w:r>
          </w:p>
        </w:tc>
      </w:tr>
      <w:tr w14:paraId="39FC4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6E8C71D4">
            <w:pPr>
              <w:snapToGrid w:val="0"/>
              <w:ind w:left="0" w:leftChars="0" w:right="0" w:rightChars="0" w:firstLine="0" w:firstLineChars="0"/>
              <w:jc w:val="center"/>
              <w:rPr>
                <w:rFonts w:ascii="宋体" w:eastAsia="宋体"/>
                <w:sz w:val="24"/>
                <w:lang w:eastAsia="zh-CN"/>
              </w:rPr>
            </w:pPr>
          </w:p>
        </w:tc>
        <w:tc>
          <w:tcPr>
            <w:tcW w:w="682" w:type="dxa"/>
            <w:vMerge w:val="restart"/>
            <w:tcBorders>
              <w:top w:val="single" w:color="auto" w:sz="4" w:space="0"/>
              <w:left w:val="single" w:color="auto" w:sz="4" w:space="0"/>
              <w:bottom w:val="single" w:color="auto" w:sz="4" w:space="0"/>
              <w:right w:val="single" w:color="auto" w:sz="4" w:space="0"/>
            </w:tcBorders>
            <w:vAlign w:val="center"/>
          </w:tcPr>
          <w:p w14:paraId="7477386C">
            <w:pPr>
              <w:pStyle w:val="180"/>
              <w:snapToGrid w:val="0"/>
              <w:spacing w:before="59" w:line="240" w:lineRule="auto"/>
              <w:ind w:left="0" w:leftChars="0" w:right="0" w:rightChars="0" w:firstLine="0" w:firstLineChars="0"/>
              <w:jc w:val="left"/>
              <w:rPr>
                <w:rFonts w:ascii="宋体" w:eastAsia="宋体"/>
                <w:sz w:val="24"/>
              </w:rPr>
            </w:pPr>
            <w:r>
              <w:rPr>
                <w:rFonts w:ascii="宋体" w:eastAsia="宋体"/>
                <w:spacing w:val="9"/>
                <w:sz w:val="24"/>
              </w:rPr>
              <w:t>产品</w:t>
            </w:r>
            <w:r>
              <w:rPr>
                <w:rFonts w:ascii="宋体" w:eastAsia="宋体"/>
                <w:sz w:val="24"/>
              </w:rPr>
              <w:t xml:space="preserve"> </w:t>
            </w:r>
            <w:r>
              <w:rPr>
                <w:rFonts w:ascii="宋体" w:eastAsia="宋体"/>
                <w:spacing w:val="-2"/>
                <w:sz w:val="24"/>
              </w:rPr>
              <w:t>技术</w:t>
            </w:r>
          </w:p>
        </w:tc>
        <w:tc>
          <w:tcPr>
            <w:tcW w:w="656" w:type="dxa"/>
            <w:tcBorders>
              <w:top w:val="single" w:color="auto" w:sz="4" w:space="0"/>
              <w:left w:val="single" w:color="auto" w:sz="4" w:space="0"/>
              <w:bottom w:val="single" w:color="auto" w:sz="4" w:space="0"/>
              <w:right w:val="single" w:color="auto" w:sz="4" w:space="0"/>
            </w:tcBorders>
            <w:vAlign w:val="center"/>
          </w:tcPr>
          <w:p w14:paraId="7C663DA4">
            <w:pPr>
              <w:pStyle w:val="180"/>
              <w:snapToGrid w:val="0"/>
              <w:spacing w:before="58" w:line="240" w:lineRule="auto"/>
              <w:ind w:left="0" w:leftChars="0" w:right="0" w:rightChars="0" w:firstLine="0" w:firstLineChars="0"/>
              <w:jc w:val="left"/>
              <w:rPr>
                <w:rFonts w:ascii="宋体" w:eastAsia="宋体"/>
                <w:sz w:val="24"/>
              </w:rPr>
            </w:pPr>
            <w:r>
              <w:rPr>
                <w:rFonts w:ascii="宋体" w:eastAsia="宋体"/>
                <w:sz w:val="24"/>
              </w:rPr>
              <w:t>2</w:t>
            </w:r>
          </w:p>
        </w:tc>
        <w:tc>
          <w:tcPr>
            <w:tcW w:w="2102" w:type="dxa"/>
            <w:tcBorders>
              <w:top w:val="single" w:color="auto" w:sz="4" w:space="0"/>
              <w:left w:val="single" w:color="auto" w:sz="4" w:space="0"/>
              <w:bottom w:val="single" w:color="auto" w:sz="4" w:space="0"/>
              <w:right w:val="single" w:color="auto" w:sz="4" w:space="0"/>
            </w:tcBorders>
            <w:vAlign w:val="center"/>
          </w:tcPr>
          <w:p w14:paraId="550F83F1">
            <w:pPr>
              <w:pStyle w:val="180"/>
              <w:snapToGrid w:val="0"/>
              <w:spacing w:before="58" w:line="240" w:lineRule="auto"/>
              <w:ind w:left="0" w:leftChars="0" w:right="0" w:rightChars="0" w:firstLine="0" w:firstLineChars="0"/>
              <w:jc w:val="left"/>
              <w:rPr>
                <w:rFonts w:ascii="宋体" w:eastAsia="宋体"/>
                <w:sz w:val="24"/>
                <w:lang w:eastAsia="zh-CN"/>
              </w:rPr>
            </w:pPr>
            <w:r>
              <w:rPr>
                <w:rFonts w:ascii="宋体" w:eastAsia="宋体"/>
                <w:sz w:val="24"/>
                <w:lang w:eastAsia="zh-CN"/>
              </w:rPr>
              <w:t>设备制造商装备制造能力、生产</w:t>
            </w:r>
            <w:r>
              <w:rPr>
                <w:rFonts w:ascii="宋体" w:eastAsia="宋体"/>
                <w:spacing w:val="10"/>
                <w:sz w:val="24"/>
                <w:lang w:eastAsia="zh-CN"/>
              </w:rPr>
              <w:t xml:space="preserve"> </w:t>
            </w:r>
            <w:r>
              <w:rPr>
                <w:rFonts w:ascii="宋体" w:eastAsia="宋体"/>
                <w:sz w:val="24"/>
                <w:lang w:eastAsia="zh-CN"/>
              </w:rPr>
              <w:t>设备、加工工艺、完善程度</w:t>
            </w:r>
          </w:p>
        </w:tc>
        <w:tc>
          <w:tcPr>
            <w:tcW w:w="532" w:type="dxa"/>
            <w:tcBorders>
              <w:top w:val="single" w:color="auto" w:sz="4" w:space="0"/>
              <w:left w:val="single" w:color="auto" w:sz="4" w:space="0"/>
              <w:bottom w:val="single" w:color="auto" w:sz="4" w:space="0"/>
              <w:right w:val="single" w:color="auto" w:sz="4" w:space="0"/>
            </w:tcBorders>
            <w:vAlign w:val="center"/>
          </w:tcPr>
          <w:p w14:paraId="6780BA56">
            <w:pPr>
              <w:pStyle w:val="180"/>
              <w:snapToGrid w:val="0"/>
              <w:spacing w:before="59"/>
              <w:ind w:left="0" w:leftChars="0" w:right="0" w:rightChars="0" w:firstLine="0" w:firstLineChars="0"/>
              <w:jc w:val="left"/>
              <w:rPr>
                <w:rFonts w:ascii="宋体" w:eastAsia="宋体"/>
                <w:sz w:val="24"/>
              </w:rPr>
            </w:pPr>
            <w:r>
              <w:rPr>
                <w:rFonts w:ascii="宋体" w:eastAsia="宋体"/>
                <w:spacing w:val="-6"/>
                <w:sz w:val="24"/>
              </w:rPr>
              <w:t>15</w:t>
            </w:r>
          </w:p>
        </w:tc>
        <w:tc>
          <w:tcPr>
            <w:tcW w:w="4546" w:type="dxa"/>
            <w:tcBorders>
              <w:top w:val="single" w:color="auto" w:sz="4" w:space="0"/>
              <w:left w:val="single" w:color="auto" w:sz="4" w:space="0"/>
              <w:bottom w:val="single" w:color="auto" w:sz="4" w:space="0"/>
              <w:right w:val="single" w:color="auto" w:sz="12" w:space="0"/>
            </w:tcBorders>
            <w:vAlign w:val="center"/>
          </w:tcPr>
          <w:p w14:paraId="02268659">
            <w:pPr>
              <w:pStyle w:val="180"/>
              <w:snapToGrid w:val="0"/>
              <w:spacing w:before="57"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一般进行赋分，最高15分。</w:t>
            </w:r>
          </w:p>
        </w:tc>
      </w:tr>
      <w:tr w14:paraId="72953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7080E5C7">
            <w:pPr>
              <w:snapToGrid w:val="0"/>
              <w:ind w:left="0" w:leftChars="0" w:right="0" w:rightChars="0" w:firstLine="0" w:firstLineChars="0"/>
              <w:jc w:val="center"/>
              <w:rPr>
                <w:rFonts w:ascii="宋体" w:eastAsia="宋体"/>
                <w:sz w:val="24"/>
                <w:lang w:eastAsia="zh-CN"/>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14:paraId="449381EC">
            <w:pPr>
              <w:snapToGrid w:val="0"/>
              <w:ind w:left="0" w:leftChars="0" w:right="0" w:rightChars="0" w:firstLine="0" w:firstLineChars="0"/>
              <w:jc w:val="left"/>
              <w:rPr>
                <w:rFonts w:ascii="宋体" w:eastAsia="宋体"/>
                <w:sz w:val="24"/>
                <w:lang w:eastAsia="zh-CN"/>
              </w:rPr>
            </w:pPr>
          </w:p>
        </w:tc>
        <w:tc>
          <w:tcPr>
            <w:tcW w:w="656" w:type="dxa"/>
            <w:tcBorders>
              <w:top w:val="single" w:color="auto" w:sz="4" w:space="0"/>
              <w:left w:val="single" w:color="auto" w:sz="4" w:space="0"/>
              <w:bottom w:val="single" w:color="auto" w:sz="4" w:space="0"/>
              <w:right w:val="single" w:color="auto" w:sz="4" w:space="0"/>
            </w:tcBorders>
            <w:vAlign w:val="center"/>
          </w:tcPr>
          <w:p w14:paraId="520CD5A1">
            <w:pPr>
              <w:pStyle w:val="180"/>
              <w:snapToGrid w:val="0"/>
              <w:spacing w:before="58"/>
              <w:ind w:left="0" w:leftChars="0" w:right="0" w:rightChars="0" w:firstLine="0" w:firstLineChars="0"/>
              <w:jc w:val="left"/>
              <w:rPr>
                <w:rFonts w:ascii="宋体" w:eastAsia="宋体"/>
                <w:sz w:val="24"/>
              </w:rPr>
            </w:pPr>
            <w:r>
              <w:rPr>
                <w:rFonts w:ascii="宋体" w:eastAsia="宋体"/>
                <w:sz w:val="24"/>
              </w:rPr>
              <w:t>3</w:t>
            </w:r>
          </w:p>
        </w:tc>
        <w:tc>
          <w:tcPr>
            <w:tcW w:w="2102" w:type="dxa"/>
            <w:tcBorders>
              <w:top w:val="single" w:color="auto" w:sz="4" w:space="0"/>
              <w:left w:val="single" w:color="auto" w:sz="4" w:space="0"/>
              <w:bottom w:val="single" w:color="auto" w:sz="4" w:space="0"/>
              <w:right w:val="single" w:color="auto" w:sz="4" w:space="0"/>
            </w:tcBorders>
            <w:vAlign w:val="center"/>
          </w:tcPr>
          <w:p w14:paraId="13FE8ADC">
            <w:pPr>
              <w:pStyle w:val="180"/>
              <w:snapToGrid w:val="0"/>
              <w:spacing w:before="59" w:line="240" w:lineRule="auto"/>
              <w:ind w:left="0" w:leftChars="0" w:right="0" w:rightChars="0" w:firstLine="0" w:firstLineChars="0"/>
              <w:jc w:val="left"/>
              <w:rPr>
                <w:rFonts w:ascii="宋体" w:eastAsia="宋体"/>
                <w:sz w:val="24"/>
                <w:lang w:eastAsia="zh-CN"/>
              </w:rPr>
            </w:pPr>
            <w:r>
              <w:rPr>
                <w:rFonts w:ascii="宋体" w:eastAsia="宋体"/>
                <w:spacing w:val="-5"/>
                <w:sz w:val="24"/>
                <w:lang w:eastAsia="zh-CN"/>
              </w:rPr>
              <w:t>产品方案技术先进、各系统完善、</w:t>
            </w:r>
            <w:r>
              <w:rPr>
                <w:rFonts w:ascii="宋体" w:eastAsia="宋体"/>
                <w:spacing w:val="8"/>
                <w:sz w:val="24"/>
                <w:lang w:eastAsia="zh-CN"/>
              </w:rPr>
              <w:t xml:space="preserve"> </w:t>
            </w:r>
            <w:r>
              <w:rPr>
                <w:rFonts w:ascii="宋体" w:eastAsia="宋体"/>
                <w:spacing w:val="-6"/>
                <w:sz w:val="24"/>
                <w:lang w:eastAsia="zh-CN"/>
              </w:rPr>
              <w:t>性能可靠，设备主要核心部件</w:t>
            </w:r>
          </w:p>
          <w:p w14:paraId="17D1B490">
            <w:pPr>
              <w:pStyle w:val="180"/>
              <w:snapToGrid w:val="0"/>
              <w:spacing w:line="240" w:lineRule="auto"/>
              <w:ind w:left="0" w:leftChars="0" w:right="0" w:rightChars="0" w:firstLine="0" w:firstLineChars="0"/>
              <w:jc w:val="left"/>
              <w:rPr>
                <w:rFonts w:ascii="宋体" w:eastAsia="宋体"/>
                <w:sz w:val="24"/>
              </w:rPr>
            </w:pPr>
            <w:r>
              <w:rPr>
                <w:rFonts w:ascii="宋体" w:eastAsia="宋体"/>
                <w:spacing w:val="1"/>
                <w:sz w:val="24"/>
              </w:rPr>
              <w:t>具备自身技术优势</w:t>
            </w:r>
          </w:p>
        </w:tc>
        <w:tc>
          <w:tcPr>
            <w:tcW w:w="532" w:type="dxa"/>
            <w:tcBorders>
              <w:top w:val="single" w:color="auto" w:sz="4" w:space="0"/>
              <w:left w:val="single" w:color="auto" w:sz="4" w:space="0"/>
              <w:bottom w:val="single" w:color="auto" w:sz="4" w:space="0"/>
              <w:right w:val="single" w:color="auto" w:sz="4" w:space="0"/>
            </w:tcBorders>
            <w:vAlign w:val="center"/>
          </w:tcPr>
          <w:p w14:paraId="0026FED5">
            <w:pPr>
              <w:pStyle w:val="180"/>
              <w:snapToGrid w:val="0"/>
              <w:spacing w:before="58"/>
              <w:ind w:left="0" w:leftChars="0" w:right="0" w:rightChars="0" w:firstLine="0" w:firstLineChars="0"/>
              <w:jc w:val="left"/>
              <w:rPr>
                <w:rFonts w:ascii="宋体" w:eastAsia="宋体"/>
                <w:sz w:val="24"/>
              </w:rPr>
            </w:pPr>
            <w:r>
              <w:rPr>
                <w:rFonts w:ascii="宋体" w:eastAsia="宋体"/>
                <w:spacing w:val="-2"/>
                <w:sz w:val="24"/>
              </w:rPr>
              <w:t>40</w:t>
            </w:r>
          </w:p>
        </w:tc>
        <w:tc>
          <w:tcPr>
            <w:tcW w:w="4546" w:type="dxa"/>
            <w:tcBorders>
              <w:top w:val="single" w:color="auto" w:sz="4" w:space="0"/>
              <w:left w:val="single" w:color="auto" w:sz="4" w:space="0"/>
              <w:bottom w:val="single" w:color="auto" w:sz="4" w:space="0"/>
              <w:right w:val="single" w:color="auto" w:sz="12" w:space="0"/>
            </w:tcBorders>
            <w:vAlign w:val="center"/>
          </w:tcPr>
          <w:p w14:paraId="2C4E4652">
            <w:pPr>
              <w:pStyle w:val="180"/>
              <w:snapToGrid w:val="0"/>
              <w:spacing w:before="58"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以下各项由评标委员会成员独立进行客观、公正的评价打分。</w:t>
            </w:r>
            <w:r>
              <w:rPr>
                <w:rFonts w:ascii="宋体" w:eastAsia="宋体"/>
                <w:spacing w:val="15"/>
                <w:sz w:val="24"/>
                <w:lang w:eastAsia="zh-CN"/>
              </w:rPr>
              <w:t xml:space="preserve"> </w:t>
            </w:r>
            <w:r>
              <w:rPr>
                <w:rFonts w:ascii="宋体" w:eastAsia="宋体"/>
                <w:spacing w:val="1"/>
                <w:sz w:val="24"/>
                <w:lang w:eastAsia="zh-CN"/>
              </w:rPr>
              <w:t>投标文件中技术方案、软硬件配置、处理工艺、设施明细、</w:t>
            </w:r>
            <w:r>
              <w:rPr>
                <w:rFonts w:ascii="宋体" w:eastAsia="宋体"/>
                <w:spacing w:val="10"/>
                <w:sz w:val="24"/>
                <w:lang w:eastAsia="zh-CN"/>
              </w:rPr>
              <w:t xml:space="preserve"> </w:t>
            </w:r>
            <w:r>
              <w:rPr>
                <w:rFonts w:ascii="宋体" w:eastAsia="宋体"/>
                <w:spacing w:val="-1"/>
                <w:sz w:val="24"/>
                <w:lang w:eastAsia="zh-CN"/>
              </w:rPr>
              <w:t>技术参数、综合性能、控制方案等的先进性、符合性、适用</w:t>
            </w:r>
            <w:r>
              <w:rPr>
                <w:rFonts w:ascii="宋体" w:eastAsia="宋体"/>
                <w:spacing w:val="1"/>
                <w:sz w:val="24"/>
                <w:lang w:eastAsia="zh-CN"/>
              </w:rPr>
              <w:t xml:space="preserve">  </w:t>
            </w:r>
            <w:r>
              <w:rPr>
                <w:rFonts w:ascii="宋体" w:eastAsia="宋体"/>
                <w:spacing w:val="-3"/>
                <w:sz w:val="24"/>
                <w:lang w:eastAsia="zh-CN"/>
              </w:rPr>
              <w:t>性进行分析比较、评议、综合打分，按照优、良、一般进行</w:t>
            </w:r>
            <w:r>
              <w:rPr>
                <w:rFonts w:ascii="宋体" w:eastAsia="宋体"/>
                <w:spacing w:val="5"/>
                <w:sz w:val="24"/>
                <w:lang w:eastAsia="zh-CN"/>
              </w:rPr>
              <w:t xml:space="preserve">   </w:t>
            </w:r>
            <w:r>
              <w:rPr>
                <w:rFonts w:ascii="宋体" w:eastAsia="宋体"/>
                <w:spacing w:val="-2"/>
                <w:sz w:val="24"/>
                <w:lang w:eastAsia="zh-CN"/>
              </w:rPr>
              <w:t>赋分，最高40分。</w:t>
            </w:r>
          </w:p>
        </w:tc>
      </w:tr>
      <w:tr w14:paraId="56493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597D8F85">
            <w:pPr>
              <w:snapToGrid w:val="0"/>
              <w:ind w:left="0" w:leftChars="0" w:right="0" w:rightChars="0" w:firstLine="0" w:firstLineChars="0"/>
              <w:jc w:val="center"/>
              <w:rPr>
                <w:rFonts w:ascii="宋体" w:eastAsia="宋体"/>
                <w:sz w:val="24"/>
                <w:lang w:eastAsia="zh-CN"/>
              </w:rPr>
            </w:pPr>
          </w:p>
        </w:tc>
        <w:tc>
          <w:tcPr>
            <w:tcW w:w="682" w:type="dxa"/>
            <w:tcBorders>
              <w:top w:val="single" w:color="auto" w:sz="4" w:space="0"/>
              <w:left w:val="single" w:color="auto" w:sz="4" w:space="0"/>
              <w:bottom w:val="single" w:color="auto" w:sz="4" w:space="0"/>
              <w:right w:val="single" w:color="auto" w:sz="4" w:space="0"/>
            </w:tcBorders>
            <w:vAlign w:val="center"/>
          </w:tcPr>
          <w:p w14:paraId="6C021AE3">
            <w:pPr>
              <w:pStyle w:val="180"/>
              <w:snapToGrid w:val="0"/>
              <w:spacing w:before="220" w:line="240" w:lineRule="auto"/>
              <w:ind w:left="0" w:leftChars="0" w:right="0" w:rightChars="0" w:firstLine="0" w:firstLineChars="0"/>
              <w:jc w:val="left"/>
              <w:rPr>
                <w:rFonts w:ascii="宋体" w:eastAsia="宋体"/>
                <w:sz w:val="24"/>
              </w:rPr>
            </w:pPr>
            <w:r>
              <w:rPr>
                <w:rFonts w:ascii="宋体" w:eastAsia="宋体"/>
                <w:spacing w:val="-2"/>
                <w:sz w:val="24"/>
              </w:rPr>
              <w:t>答疑</w:t>
            </w:r>
          </w:p>
        </w:tc>
        <w:tc>
          <w:tcPr>
            <w:tcW w:w="656" w:type="dxa"/>
            <w:tcBorders>
              <w:top w:val="single" w:color="auto" w:sz="4" w:space="0"/>
              <w:left w:val="single" w:color="auto" w:sz="4" w:space="0"/>
              <w:bottom w:val="single" w:color="auto" w:sz="4" w:space="0"/>
              <w:right w:val="single" w:color="auto" w:sz="4" w:space="0"/>
            </w:tcBorders>
            <w:vAlign w:val="center"/>
          </w:tcPr>
          <w:p w14:paraId="1606D1E4">
            <w:pPr>
              <w:pStyle w:val="180"/>
              <w:snapToGrid w:val="0"/>
              <w:spacing w:before="238" w:line="240" w:lineRule="auto"/>
              <w:ind w:left="0" w:leftChars="0" w:right="0" w:rightChars="0" w:firstLine="0" w:firstLineChars="0"/>
              <w:jc w:val="left"/>
              <w:rPr>
                <w:rFonts w:ascii="宋体" w:eastAsia="宋体"/>
                <w:sz w:val="24"/>
              </w:rPr>
            </w:pPr>
            <w:r>
              <w:rPr>
                <w:rFonts w:ascii="宋体" w:eastAsia="宋体"/>
                <w:sz w:val="24"/>
              </w:rPr>
              <w:t>4</w:t>
            </w:r>
          </w:p>
        </w:tc>
        <w:tc>
          <w:tcPr>
            <w:tcW w:w="2102" w:type="dxa"/>
            <w:tcBorders>
              <w:top w:val="single" w:color="auto" w:sz="4" w:space="0"/>
              <w:left w:val="single" w:color="auto" w:sz="4" w:space="0"/>
              <w:bottom w:val="single" w:color="auto" w:sz="4" w:space="0"/>
              <w:right w:val="single" w:color="auto" w:sz="4" w:space="0"/>
            </w:tcBorders>
            <w:vAlign w:val="center"/>
          </w:tcPr>
          <w:p w14:paraId="358D0474">
            <w:pPr>
              <w:pStyle w:val="180"/>
              <w:snapToGrid w:val="0"/>
              <w:spacing w:before="220" w:line="240" w:lineRule="auto"/>
              <w:ind w:left="0" w:leftChars="0" w:right="0" w:rightChars="0" w:firstLine="0" w:firstLineChars="0"/>
              <w:jc w:val="left"/>
              <w:rPr>
                <w:rFonts w:ascii="宋体" w:eastAsia="宋体"/>
                <w:sz w:val="24"/>
              </w:rPr>
            </w:pPr>
            <w:r>
              <w:rPr>
                <w:rFonts w:ascii="宋体" w:eastAsia="宋体"/>
                <w:spacing w:val="-2"/>
                <w:sz w:val="24"/>
              </w:rPr>
              <w:t>现场答疑</w:t>
            </w:r>
          </w:p>
        </w:tc>
        <w:tc>
          <w:tcPr>
            <w:tcW w:w="532" w:type="dxa"/>
            <w:tcBorders>
              <w:top w:val="single" w:color="auto" w:sz="4" w:space="0"/>
              <w:left w:val="single" w:color="auto" w:sz="4" w:space="0"/>
              <w:bottom w:val="single" w:color="auto" w:sz="4" w:space="0"/>
              <w:right w:val="single" w:color="auto" w:sz="4" w:space="0"/>
            </w:tcBorders>
            <w:vAlign w:val="center"/>
          </w:tcPr>
          <w:p w14:paraId="487680B7">
            <w:pPr>
              <w:pStyle w:val="180"/>
              <w:snapToGrid w:val="0"/>
              <w:spacing w:before="237"/>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1C932A90">
            <w:pPr>
              <w:pStyle w:val="180"/>
              <w:snapToGrid w:val="0"/>
              <w:spacing w:before="59" w:line="240" w:lineRule="auto"/>
              <w:ind w:left="0" w:leftChars="0" w:right="0" w:rightChars="0" w:firstLine="0" w:firstLineChars="0"/>
              <w:jc w:val="left"/>
              <w:rPr>
                <w:rFonts w:ascii="宋体" w:eastAsia="宋体"/>
                <w:sz w:val="24"/>
                <w:lang w:eastAsia="zh-CN"/>
              </w:rPr>
            </w:pPr>
            <w:r>
              <w:rPr>
                <w:rFonts w:ascii="宋体" w:eastAsia="宋体"/>
                <w:sz w:val="24"/>
                <w:lang w:eastAsia="zh-CN"/>
              </w:rPr>
              <w:t>投标人代表对方案、技术优势的讲解，以及就该项目难点回</w:t>
            </w:r>
            <w:r>
              <w:rPr>
                <w:rFonts w:ascii="宋体" w:eastAsia="宋体"/>
                <w:spacing w:val="18"/>
                <w:sz w:val="24"/>
                <w:lang w:eastAsia="zh-CN"/>
              </w:rPr>
              <w:t xml:space="preserve"> </w:t>
            </w:r>
            <w:r>
              <w:rPr>
                <w:rFonts w:ascii="宋体" w:eastAsia="宋体"/>
                <w:sz w:val="24"/>
                <w:lang w:eastAsia="zh-CN"/>
              </w:rPr>
              <w:t>答评标专家现场提问，打分0-5分。</w:t>
            </w:r>
          </w:p>
        </w:tc>
      </w:tr>
      <w:tr w14:paraId="18797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14407768">
            <w:pPr>
              <w:snapToGrid w:val="0"/>
              <w:ind w:left="0" w:leftChars="0" w:right="0" w:rightChars="0" w:firstLine="0" w:firstLineChars="0"/>
              <w:jc w:val="center"/>
              <w:rPr>
                <w:rFonts w:ascii="宋体" w:eastAsia="宋体"/>
                <w:sz w:val="24"/>
                <w:lang w:eastAsia="zh-CN"/>
              </w:rPr>
            </w:pPr>
          </w:p>
        </w:tc>
        <w:tc>
          <w:tcPr>
            <w:tcW w:w="682" w:type="dxa"/>
            <w:tcBorders>
              <w:top w:val="single" w:color="auto" w:sz="4" w:space="0"/>
              <w:left w:val="single" w:color="auto" w:sz="4" w:space="0"/>
              <w:bottom w:val="single" w:color="auto" w:sz="4" w:space="0"/>
              <w:right w:val="single" w:color="auto" w:sz="4" w:space="0"/>
            </w:tcBorders>
            <w:vAlign w:val="center"/>
          </w:tcPr>
          <w:p w14:paraId="77A79F09">
            <w:pPr>
              <w:pStyle w:val="180"/>
              <w:snapToGrid w:val="0"/>
              <w:spacing w:before="58" w:line="240" w:lineRule="auto"/>
              <w:ind w:left="0" w:leftChars="0" w:right="0" w:rightChars="0" w:firstLine="0" w:firstLineChars="0"/>
              <w:jc w:val="left"/>
              <w:rPr>
                <w:rFonts w:ascii="宋体" w:eastAsia="宋体"/>
                <w:sz w:val="24"/>
              </w:rPr>
            </w:pPr>
            <w:r>
              <w:rPr>
                <w:rFonts w:ascii="宋体" w:eastAsia="宋体"/>
                <w:spacing w:val="-2"/>
                <w:sz w:val="24"/>
              </w:rPr>
              <w:t>技术</w:t>
            </w:r>
          </w:p>
          <w:p w14:paraId="69790A0E">
            <w:pPr>
              <w:pStyle w:val="180"/>
              <w:snapToGrid w:val="0"/>
              <w:spacing w:before="116" w:line="240" w:lineRule="auto"/>
              <w:ind w:left="0" w:leftChars="0" w:right="0" w:rightChars="0" w:firstLine="0" w:firstLineChars="0"/>
              <w:jc w:val="left"/>
              <w:rPr>
                <w:rFonts w:ascii="宋体" w:eastAsia="宋体"/>
                <w:sz w:val="24"/>
              </w:rPr>
            </w:pPr>
            <w:r>
              <w:rPr>
                <w:rFonts w:ascii="宋体" w:eastAsia="宋体"/>
                <w:spacing w:val="-2"/>
                <w:sz w:val="24"/>
              </w:rPr>
              <w:t>偏离</w:t>
            </w:r>
          </w:p>
        </w:tc>
        <w:tc>
          <w:tcPr>
            <w:tcW w:w="656" w:type="dxa"/>
            <w:tcBorders>
              <w:top w:val="single" w:color="auto" w:sz="4" w:space="0"/>
              <w:left w:val="single" w:color="auto" w:sz="4" w:space="0"/>
              <w:bottom w:val="single" w:color="auto" w:sz="4" w:space="0"/>
              <w:right w:val="single" w:color="auto" w:sz="4" w:space="0"/>
            </w:tcBorders>
            <w:vAlign w:val="center"/>
          </w:tcPr>
          <w:p w14:paraId="52CD05E9">
            <w:pPr>
              <w:pStyle w:val="180"/>
              <w:snapToGrid w:val="0"/>
              <w:spacing w:before="58"/>
              <w:ind w:left="0" w:leftChars="0" w:right="0" w:rightChars="0" w:firstLine="0" w:firstLineChars="0"/>
              <w:jc w:val="left"/>
              <w:rPr>
                <w:rFonts w:ascii="宋体" w:eastAsia="宋体"/>
                <w:sz w:val="24"/>
              </w:rPr>
            </w:pPr>
            <w:r>
              <w:rPr>
                <w:rFonts w:ascii="宋体" w:eastAsia="宋体"/>
                <w:sz w:val="24"/>
              </w:rPr>
              <w:t>5</w:t>
            </w:r>
          </w:p>
        </w:tc>
        <w:tc>
          <w:tcPr>
            <w:tcW w:w="2102" w:type="dxa"/>
            <w:tcBorders>
              <w:top w:val="single" w:color="auto" w:sz="4" w:space="0"/>
              <w:left w:val="single" w:color="auto" w:sz="4" w:space="0"/>
              <w:bottom w:val="single" w:color="auto" w:sz="4" w:space="0"/>
              <w:right w:val="single" w:color="auto" w:sz="4" w:space="0"/>
            </w:tcBorders>
            <w:vAlign w:val="center"/>
          </w:tcPr>
          <w:p w14:paraId="380C3306">
            <w:pPr>
              <w:pStyle w:val="180"/>
              <w:snapToGrid w:val="0"/>
              <w:spacing w:before="58" w:line="240" w:lineRule="auto"/>
              <w:ind w:left="0" w:leftChars="0" w:right="0" w:rightChars="0" w:firstLine="0" w:firstLineChars="0"/>
              <w:jc w:val="left"/>
              <w:rPr>
                <w:rFonts w:ascii="宋体" w:eastAsia="宋体"/>
                <w:sz w:val="24"/>
              </w:rPr>
            </w:pPr>
            <w:r>
              <w:rPr>
                <w:rFonts w:ascii="宋体" w:eastAsia="宋体"/>
                <w:spacing w:val="-2"/>
                <w:sz w:val="24"/>
              </w:rPr>
              <w:t>技术偏离</w:t>
            </w:r>
          </w:p>
        </w:tc>
        <w:tc>
          <w:tcPr>
            <w:tcW w:w="532" w:type="dxa"/>
            <w:tcBorders>
              <w:top w:val="single" w:color="auto" w:sz="4" w:space="0"/>
              <w:left w:val="single" w:color="auto" w:sz="4" w:space="0"/>
              <w:bottom w:val="single" w:color="auto" w:sz="4" w:space="0"/>
              <w:right w:val="single" w:color="auto" w:sz="4" w:space="0"/>
            </w:tcBorders>
            <w:vAlign w:val="center"/>
          </w:tcPr>
          <w:p w14:paraId="7FCAC49C">
            <w:pPr>
              <w:pStyle w:val="180"/>
              <w:snapToGrid w:val="0"/>
              <w:spacing w:before="58"/>
              <w:ind w:left="0" w:leftChars="0" w:right="0" w:rightChars="0" w:firstLine="0" w:firstLineChars="0"/>
              <w:jc w:val="left"/>
              <w:rPr>
                <w:rFonts w:ascii="宋体" w:eastAsia="宋体"/>
                <w:sz w:val="24"/>
              </w:rPr>
            </w:pPr>
            <w:r>
              <w:rPr>
                <w:rFonts w:ascii="宋体" w:eastAsia="宋体"/>
                <w:spacing w:val="-6"/>
                <w:sz w:val="24"/>
              </w:rPr>
              <w:t>15</w:t>
            </w:r>
          </w:p>
        </w:tc>
        <w:tc>
          <w:tcPr>
            <w:tcW w:w="4546" w:type="dxa"/>
            <w:tcBorders>
              <w:top w:val="single" w:color="auto" w:sz="4" w:space="0"/>
              <w:left w:val="single" w:color="auto" w:sz="4" w:space="0"/>
              <w:bottom w:val="single" w:color="auto" w:sz="4" w:space="0"/>
              <w:right w:val="single" w:color="auto" w:sz="12" w:space="0"/>
            </w:tcBorders>
            <w:vAlign w:val="center"/>
          </w:tcPr>
          <w:p w14:paraId="320883C8">
            <w:pPr>
              <w:pStyle w:val="180"/>
              <w:snapToGrid w:val="0"/>
              <w:spacing w:before="59" w:line="240" w:lineRule="auto"/>
              <w:ind w:left="0" w:leftChars="0" w:right="0" w:rightChars="0" w:firstLine="0" w:firstLineChars="0"/>
              <w:jc w:val="left"/>
              <w:rPr>
                <w:rFonts w:ascii="宋体" w:eastAsia="宋体"/>
                <w:sz w:val="24"/>
                <w:lang w:eastAsia="zh-CN"/>
              </w:rPr>
            </w:pPr>
            <w:r>
              <w:rPr>
                <w:rFonts w:ascii="宋体" w:eastAsia="宋体"/>
                <w:sz w:val="24"/>
                <w:lang w:eastAsia="zh-CN"/>
              </w:rPr>
              <w:t>由评标委员会成员独立进行客观、公正的评价，根据各投标</w:t>
            </w:r>
            <w:r>
              <w:rPr>
                <w:rFonts w:ascii="宋体" w:eastAsia="宋体"/>
                <w:spacing w:val="6"/>
                <w:sz w:val="24"/>
                <w:lang w:eastAsia="zh-CN"/>
              </w:rPr>
              <w:t xml:space="preserve"> </w:t>
            </w:r>
            <w:r>
              <w:rPr>
                <w:rFonts w:ascii="宋体" w:eastAsia="宋体"/>
                <w:sz w:val="24"/>
                <w:lang w:eastAsia="zh-CN"/>
              </w:rPr>
              <w:t>单位的核心产品的配置参数、技术偏离情况，在满足我司技</w:t>
            </w:r>
            <w:r>
              <w:rPr>
                <w:rFonts w:ascii="宋体" w:eastAsia="宋体"/>
                <w:spacing w:val="10"/>
                <w:sz w:val="24"/>
                <w:lang w:eastAsia="zh-CN"/>
              </w:rPr>
              <w:t xml:space="preserve"> </w:t>
            </w:r>
            <w:r>
              <w:rPr>
                <w:rFonts w:ascii="宋体" w:eastAsia="宋体"/>
                <w:spacing w:val="-1"/>
                <w:sz w:val="24"/>
                <w:lang w:eastAsia="zh-CN"/>
              </w:rPr>
              <w:t>术基本要求的前提下偏离，无偏离得满分15分，较大偏离每</w:t>
            </w:r>
            <w:r>
              <w:rPr>
                <w:rFonts w:ascii="宋体" w:eastAsia="宋体"/>
                <w:spacing w:val="17"/>
                <w:sz w:val="24"/>
                <w:lang w:eastAsia="zh-CN"/>
              </w:rPr>
              <w:t xml:space="preserve"> </w:t>
            </w:r>
            <w:r>
              <w:rPr>
                <w:rFonts w:ascii="宋体" w:eastAsia="宋体"/>
                <w:sz w:val="24"/>
                <w:lang w:eastAsia="zh-CN"/>
              </w:rPr>
              <w:t>一项扣3分，一般偏离每一项扣2分，最低得分0分。</w:t>
            </w:r>
          </w:p>
        </w:tc>
      </w:tr>
      <w:tr w14:paraId="634A1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021BC3D8">
            <w:pPr>
              <w:snapToGrid w:val="0"/>
              <w:ind w:left="0" w:leftChars="0" w:right="0" w:rightChars="0" w:firstLine="0" w:firstLineChars="0"/>
              <w:jc w:val="center"/>
              <w:rPr>
                <w:rFonts w:ascii="宋体" w:eastAsia="宋体"/>
                <w:sz w:val="24"/>
                <w:lang w:eastAsia="zh-CN"/>
              </w:rPr>
            </w:pPr>
          </w:p>
        </w:tc>
        <w:tc>
          <w:tcPr>
            <w:tcW w:w="682" w:type="dxa"/>
            <w:vMerge w:val="restart"/>
            <w:tcBorders>
              <w:top w:val="single" w:color="auto" w:sz="4" w:space="0"/>
              <w:left w:val="single" w:color="auto" w:sz="4" w:space="0"/>
              <w:bottom w:val="single" w:color="auto" w:sz="4" w:space="0"/>
              <w:right w:val="single" w:color="auto" w:sz="4" w:space="0"/>
            </w:tcBorders>
            <w:vAlign w:val="center"/>
          </w:tcPr>
          <w:p w14:paraId="625FA0D4">
            <w:pPr>
              <w:pStyle w:val="180"/>
              <w:snapToGrid w:val="0"/>
              <w:spacing w:before="58" w:line="240" w:lineRule="auto"/>
              <w:ind w:left="0" w:leftChars="0" w:right="0" w:rightChars="0" w:firstLine="0" w:firstLineChars="0"/>
              <w:jc w:val="left"/>
              <w:rPr>
                <w:rFonts w:ascii="宋体" w:eastAsia="宋体"/>
                <w:sz w:val="24"/>
              </w:rPr>
            </w:pPr>
            <w:r>
              <w:rPr>
                <w:rFonts w:ascii="宋体" w:eastAsia="宋体"/>
                <w:spacing w:val="6"/>
                <w:sz w:val="24"/>
              </w:rPr>
              <w:t>售后</w:t>
            </w:r>
            <w:r>
              <w:rPr>
                <w:rFonts w:ascii="宋体" w:eastAsia="宋体"/>
                <w:sz w:val="24"/>
              </w:rPr>
              <w:t xml:space="preserve"> </w:t>
            </w:r>
            <w:r>
              <w:rPr>
                <w:rFonts w:ascii="宋体" w:eastAsia="宋体"/>
                <w:spacing w:val="-2"/>
                <w:sz w:val="24"/>
              </w:rPr>
              <w:t>服务</w:t>
            </w:r>
          </w:p>
        </w:tc>
        <w:tc>
          <w:tcPr>
            <w:tcW w:w="656" w:type="dxa"/>
            <w:tcBorders>
              <w:top w:val="single" w:color="auto" w:sz="4" w:space="0"/>
              <w:left w:val="single" w:color="auto" w:sz="4" w:space="0"/>
              <w:bottom w:val="single" w:color="auto" w:sz="4" w:space="0"/>
              <w:right w:val="single" w:color="auto" w:sz="4" w:space="0"/>
            </w:tcBorders>
            <w:vAlign w:val="center"/>
          </w:tcPr>
          <w:p w14:paraId="679C7595">
            <w:pPr>
              <w:pStyle w:val="180"/>
              <w:snapToGrid w:val="0"/>
              <w:spacing w:before="58"/>
              <w:ind w:left="0" w:leftChars="0" w:right="0" w:rightChars="0" w:firstLine="0" w:firstLineChars="0"/>
              <w:jc w:val="left"/>
              <w:rPr>
                <w:rFonts w:ascii="宋体" w:eastAsia="宋体"/>
                <w:sz w:val="24"/>
              </w:rPr>
            </w:pPr>
            <w:r>
              <w:rPr>
                <w:rFonts w:ascii="宋体" w:eastAsia="宋体"/>
                <w:sz w:val="24"/>
              </w:rPr>
              <w:t>6</w:t>
            </w:r>
          </w:p>
        </w:tc>
        <w:tc>
          <w:tcPr>
            <w:tcW w:w="2102" w:type="dxa"/>
            <w:tcBorders>
              <w:top w:val="single" w:color="auto" w:sz="4" w:space="0"/>
              <w:left w:val="single" w:color="auto" w:sz="4" w:space="0"/>
              <w:bottom w:val="single" w:color="auto" w:sz="4" w:space="0"/>
              <w:right w:val="single" w:color="auto" w:sz="4" w:space="0"/>
            </w:tcBorders>
            <w:vAlign w:val="center"/>
          </w:tcPr>
          <w:p w14:paraId="57C895B4">
            <w:pPr>
              <w:pStyle w:val="180"/>
              <w:snapToGrid w:val="0"/>
              <w:spacing w:before="80"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技术培训方案：对采购方人员的</w:t>
            </w:r>
            <w:r>
              <w:rPr>
                <w:rFonts w:ascii="宋体" w:eastAsia="宋体"/>
                <w:sz w:val="24"/>
                <w:lang w:eastAsia="zh-CN"/>
              </w:rPr>
              <w:t xml:space="preserve">  </w:t>
            </w:r>
            <w:r>
              <w:rPr>
                <w:rFonts w:ascii="宋体" w:eastAsia="宋体"/>
                <w:spacing w:val="6"/>
                <w:sz w:val="24"/>
                <w:lang w:eastAsia="zh-CN"/>
              </w:rPr>
              <w:t>技术培训方案安排科学、合理、</w:t>
            </w:r>
            <w:r>
              <w:rPr>
                <w:rFonts w:ascii="宋体" w:eastAsia="宋体"/>
                <w:spacing w:val="4"/>
                <w:sz w:val="24"/>
                <w:lang w:eastAsia="zh-CN"/>
              </w:rPr>
              <w:t xml:space="preserve"> </w:t>
            </w:r>
            <w:r>
              <w:rPr>
                <w:rFonts w:ascii="宋体" w:eastAsia="宋体"/>
                <w:spacing w:val="-3"/>
                <w:sz w:val="24"/>
                <w:lang w:eastAsia="zh-CN"/>
              </w:rPr>
              <w:t>可行</w:t>
            </w:r>
          </w:p>
        </w:tc>
        <w:tc>
          <w:tcPr>
            <w:tcW w:w="532" w:type="dxa"/>
            <w:tcBorders>
              <w:top w:val="single" w:color="auto" w:sz="4" w:space="0"/>
              <w:left w:val="single" w:color="auto" w:sz="4" w:space="0"/>
              <w:bottom w:val="single" w:color="auto" w:sz="4" w:space="0"/>
              <w:right w:val="single" w:color="auto" w:sz="4" w:space="0"/>
            </w:tcBorders>
            <w:vAlign w:val="center"/>
          </w:tcPr>
          <w:p w14:paraId="231CCC0E">
            <w:pPr>
              <w:pStyle w:val="180"/>
              <w:snapToGrid w:val="0"/>
              <w:spacing w:before="59"/>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402B5478">
            <w:pPr>
              <w:pStyle w:val="180"/>
              <w:snapToGrid w:val="0"/>
              <w:spacing w:before="209"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一般进行赋分，最高5分。</w:t>
            </w:r>
          </w:p>
        </w:tc>
      </w:tr>
      <w:tr w14:paraId="04190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6E16A685">
            <w:pPr>
              <w:snapToGrid w:val="0"/>
              <w:ind w:left="0" w:leftChars="0" w:right="0" w:rightChars="0" w:firstLine="0" w:firstLineChars="0"/>
              <w:jc w:val="center"/>
              <w:rPr>
                <w:rFonts w:ascii="宋体" w:eastAsia="宋体"/>
                <w:sz w:val="24"/>
                <w:lang w:eastAsia="zh-CN"/>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14:paraId="11898A7A">
            <w:pPr>
              <w:snapToGrid w:val="0"/>
              <w:ind w:left="0" w:leftChars="0" w:right="0" w:rightChars="0" w:firstLine="0" w:firstLineChars="0"/>
              <w:jc w:val="left"/>
              <w:rPr>
                <w:rFonts w:ascii="宋体" w:eastAsia="宋体"/>
                <w:sz w:val="24"/>
                <w:lang w:eastAsia="zh-CN"/>
              </w:rPr>
            </w:pPr>
          </w:p>
        </w:tc>
        <w:tc>
          <w:tcPr>
            <w:tcW w:w="656" w:type="dxa"/>
            <w:tcBorders>
              <w:top w:val="single" w:color="auto" w:sz="4" w:space="0"/>
              <w:left w:val="single" w:color="auto" w:sz="4" w:space="0"/>
              <w:bottom w:val="single" w:color="auto" w:sz="4" w:space="0"/>
              <w:right w:val="single" w:color="auto" w:sz="4" w:space="0"/>
            </w:tcBorders>
            <w:vAlign w:val="center"/>
          </w:tcPr>
          <w:p w14:paraId="75B8AF00">
            <w:pPr>
              <w:pStyle w:val="180"/>
              <w:snapToGrid w:val="0"/>
              <w:spacing w:before="58"/>
              <w:ind w:left="0" w:leftChars="0" w:right="0" w:rightChars="0" w:firstLine="0" w:firstLineChars="0"/>
              <w:jc w:val="left"/>
              <w:rPr>
                <w:rFonts w:ascii="宋体" w:eastAsia="宋体"/>
                <w:sz w:val="24"/>
              </w:rPr>
            </w:pPr>
            <w:r>
              <w:rPr>
                <w:rFonts w:ascii="宋体" w:eastAsia="宋体"/>
                <w:sz w:val="24"/>
              </w:rPr>
              <w:t>7</w:t>
            </w:r>
          </w:p>
        </w:tc>
        <w:tc>
          <w:tcPr>
            <w:tcW w:w="2102" w:type="dxa"/>
            <w:tcBorders>
              <w:top w:val="single" w:color="auto" w:sz="4" w:space="0"/>
              <w:left w:val="single" w:color="auto" w:sz="4" w:space="0"/>
              <w:bottom w:val="single" w:color="auto" w:sz="4" w:space="0"/>
              <w:right w:val="single" w:color="auto" w:sz="4" w:space="0"/>
            </w:tcBorders>
            <w:vAlign w:val="center"/>
          </w:tcPr>
          <w:p w14:paraId="3B64BC0F">
            <w:pPr>
              <w:pStyle w:val="180"/>
              <w:snapToGrid w:val="0"/>
              <w:spacing w:before="71"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投标人</w:t>
            </w:r>
            <w:r>
              <w:rPr>
                <w:rFonts w:hint="eastAsia" w:ascii="宋体" w:eastAsia="宋体"/>
                <w:spacing w:val="-1"/>
                <w:sz w:val="24"/>
                <w:lang w:eastAsia="zh-CN"/>
              </w:rPr>
              <w:t>需有</w:t>
            </w:r>
            <w:r>
              <w:rPr>
                <w:rFonts w:ascii="宋体" w:eastAsia="宋体"/>
                <w:spacing w:val="-1"/>
                <w:sz w:val="24"/>
                <w:lang w:eastAsia="zh-CN"/>
              </w:rPr>
              <w:t>专业技术</w:t>
            </w:r>
            <w:r>
              <w:rPr>
                <w:rFonts w:ascii="宋体" w:eastAsia="宋体"/>
                <w:sz w:val="24"/>
                <w:lang w:eastAsia="zh-CN"/>
              </w:rPr>
              <w:t>力量的维保机构并具有实施本项</w:t>
            </w:r>
            <w:r>
              <w:rPr>
                <w:rFonts w:ascii="宋体" w:eastAsia="宋体"/>
                <w:spacing w:val="-1"/>
                <w:sz w:val="24"/>
                <w:lang w:eastAsia="zh-CN"/>
              </w:rPr>
              <w:t>目维保的专业技术人员：</w:t>
            </w:r>
          </w:p>
        </w:tc>
        <w:tc>
          <w:tcPr>
            <w:tcW w:w="532" w:type="dxa"/>
            <w:tcBorders>
              <w:top w:val="single" w:color="auto" w:sz="4" w:space="0"/>
              <w:left w:val="single" w:color="auto" w:sz="4" w:space="0"/>
              <w:bottom w:val="single" w:color="auto" w:sz="4" w:space="0"/>
              <w:right w:val="single" w:color="auto" w:sz="4" w:space="0"/>
            </w:tcBorders>
            <w:vAlign w:val="center"/>
          </w:tcPr>
          <w:p w14:paraId="13021896">
            <w:pPr>
              <w:pStyle w:val="180"/>
              <w:snapToGrid w:val="0"/>
              <w:spacing w:before="58"/>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1378A69D">
            <w:pPr>
              <w:pStyle w:val="180"/>
              <w:snapToGrid w:val="0"/>
              <w:spacing w:before="211"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一般进行赋分，最高5分。</w:t>
            </w:r>
          </w:p>
        </w:tc>
      </w:tr>
      <w:tr w14:paraId="7145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6C88F92D">
            <w:pPr>
              <w:snapToGrid w:val="0"/>
              <w:ind w:left="0" w:leftChars="0" w:right="0" w:rightChars="0" w:firstLine="0" w:firstLineChars="0"/>
              <w:jc w:val="center"/>
              <w:rPr>
                <w:rFonts w:ascii="宋体" w:eastAsia="宋体"/>
                <w:sz w:val="24"/>
                <w:lang w:eastAsia="zh-CN"/>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14:paraId="576788AE">
            <w:pPr>
              <w:snapToGrid w:val="0"/>
              <w:ind w:left="0" w:leftChars="0" w:right="0" w:rightChars="0" w:firstLine="0" w:firstLineChars="0"/>
              <w:jc w:val="left"/>
              <w:rPr>
                <w:rFonts w:ascii="宋体" w:eastAsia="宋体"/>
                <w:sz w:val="24"/>
                <w:lang w:eastAsia="zh-CN"/>
              </w:rPr>
            </w:pPr>
          </w:p>
        </w:tc>
        <w:tc>
          <w:tcPr>
            <w:tcW w:w="656" w:type="dxa"/>
            <w:tcBorders>
              <w:top w:val="single" w:color="auto" w:sz="4" w:space="0"/>
              <w:left w:val="single" w:color="auto" w:sz="4" w:space="0"/>
              <w:bottom w:val="single" w:color="auto" w:sz="4" w:space="0"/>
              <w:right w:val="single" w:color="auto" w:sz="4" w:space="0"/>
            </w:tcBorders>
            <w:vAlign w:val="center"/>
          </w:tcPr>
          <w:p w14:paraId="1AA9B4D2">
            <w:pPr>
              <w:pStyle w:val="180"/>
              <w:snapToGrid w:val="0"/>
              <w:spacing w:before="59"/>
              <w:ind w:left="0" w:leftChars="0" w:right="0" w:rightChars="0" w:firstLine="0" w:firstLineChars="0"/>
              <w:jc w:val="left"/>
              <w:rPr>
                <w:rFonts w:ascii="宋体" w:eastAsia="宋体"/>
                <w:sz w:val="24"/>
              </w:rPr>
            </w:pPr>
            <w:r>
              <w:rPr>
                <w:rFonts w:ascii="宋体" w:eastAsia="宋体"/>
                <w:sz w:val="24"/>
              </w:rPr>
              <w:t>8</w:t>
            </w:r>
          </w:p>
        </w:tc>
        <w:tc>
          <w:tcPr>
            <w:tcW w:w="2102" w:type="dxa"/>
            <w:tcBorders>
              <w:top w:val="single" w:color="auto" w:sz="4" w:space="0"/>
              <w:left w:val="single" w:color="auto" w:sz="4" w:space="0"/>
              <w:bottom w:val="single" w:color="auto" w:sz="4" w:space="0"/>
              <w:right w:val="single" w:color="auto" w:sz="4" w:space="0"/>
            </w:tcBorders>
            <w:vAlign w:val="center"/>
          </w:tcPr>
          <w:p w14:paraId="66D36D3B">
            <w:pPr>
              <w:pStyle w:val="180"/>
              <w:snapToGrid w:val="0"/>
              <w:spacing w:before="63"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售后服务及时周到，有相应的服</w:t>
            </w:r>
            <w:r>
              <w:rPr>
                <w:rFonts w:ascii="宋体" w:eastAsia="宋体"/>
                <w:spacing w:val="5"/>
                <w:sz w:val="24"/>
                <w:lang w:eastAsia="zh-CN"/>
              </w:rPr>
              <w:t xml:space="preserve"> </w:t>
            </w:r>
            <w:r>
              <w:rPr>
                <w:rFonts w:ascii="宋体" w:eastAsia="宋体"/>
                <w:spacing w:val="-1"/>
                <w:sz w:val="24"/>
                <w:lang w:eastAsia="zh-CN"/>
              </w:rPr>
              <w:t>务承诺和具体的保证措施</w:t>
            </w:r>
          </w:p>
        </w:tc>
        <w:tc>
          <w:tcPr>
            <w:tcW w:w="532" w:type="dxa"/>
            <w:tcBorders>
              <w:top w:val="single" w:color="auto" w:sz="4" w:space="0"/>
              <w:left w:val="single" w:color="auto" w:sz="4" w:space="0"/>
              <w:bottom w:val="single" w:color="auto" w:sz="4" w:space="0"/>
              <w:right w:val="single" w:color="auto" w:sz="4" w:space="0"/>
            </w:tcBorders>
            <w:vAlign w:val="center"/>
          </w:tcPr>
          <w:p w14:paraId="74AC569D">
            <w:pPr>
              <w:pStyle w:val="180"/>
              <w:snapToGrid w:val="0"/>
              <w:spacing w:before="59"/>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2692DFCD">
            <w:pPr>
              <w:pStyle w:val="180"/>
              <w:snapToGrid w:val="0"/>
              <w:spacing w:before="81"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一般进行赋分，最高5分。</w:t>
            </w:r>
          </w:p>
        </w:tc>
      </w:tr>
      <w:tr w14:paraId="51F8F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tcBorders>
              <w:top w:val="single" w:color="auto" w:sz="4" w:space="0"/>
              <w:left w:val="single" w:color="auto" w:sz="12" w:space="0"/>
              <w:bottom w:val="single" w:color="auto" w:sz="4" w:space="0"/>
              <w:right w:val="single" w:color="auto" w:sz="4" w:space="0"/>
            </w:tcBorders>
            <w:vAlign w:val="center"/>
          </w:tcPr>
          <w:p w14:paraId="38487EA5">
            <w:pPr>
              <w:pStyle w:val="180"/>
              <w:snapToGrid w:val="0"/>
              <w:spacing w:before="58" w:line="240" w:lineRule="auto"/>
              <w:ind w:left="0" w:leftChars="0" w:right="0" w:rightChars="0" w:firstLine="0" w:firstLineChars="0"/>
              <w:jc w:val="center"/>
              <w:rPr>
                <w:rFonts w:ascii="宋体" w:eastAsia="宋体"/>
                <w:sz w:val="24"/>
              </w:rPr>
            </w:pPr>
            <w:r>
              <w:rPr>
                <w:rFonts w:ascii="宋体" w:eastAsia="宋体"/>
                <w:spacing w:val="-3"/>
                <w:sz w:val="24"/>
              </w:rPr>
              <w:t>商务</w:t>
            </w:r>
          </w:p>
          <w:p w14:paraId="11AA6B03">
            <w:pPr>
              <w:pStyle w:val="180"/>
              <w:snapToGrid w:val="0"/>
              <w:spacing w:before="167" w:line="240" w:lineRule="auto"/>
              <w:ind w:left="0" w:leftChars="0" w:right="0" w:rightChars="0" w:firstLine="0" w:firstLineChars="0"/>
              <w:jc w:val="center"/>
              <w:rPr>
                <w:rFonts w:ascii="宋体" w:eastAsia="宋体"/>
                <w:sz w:val="24"/>
                <w:szCs w:val="21"/>
              </w:rPr>
            </w:pPr>
            <w:r>
              <w:rPr>
                <w:rFonts w:ascii="宋体" w:eastAsia="宋体"/>
                <w:spacing w:val="-2"/>
                <w:sz w:val="24"/>
              </w:rPr>
              <w:t>标100</w:t>
            </w:r>
            <w:r>
              <w:rPr>
                <w:rFonts w:ascii="宋体" w:eastAsia="宋体"/>
                <w:sz w:val="24"/>
              </w:rPr>
              <w:t xml:space="preserve"> 分</w:t>
            </w:r>
          </w:p>
        </w:tc>
        <w:tc>
          <w:tcPr>
            <w:tcW w:w="4546" w:type="dxa"/>
            <w:gridSpan w:val="5"/>
            <w:tcBorders>
              <w:top w:val="single" w:color="auto" w:sz="4" w:space="0"/>
              <w:left w:val="single" w:color="auto" w:sz="4" w:space="0"/>
              <w:bottom w:val="single" w:color="auto" w:sz="4" w:space="0"/>
              <w:right w:val="single" w:color="auto" w:sz="12" w:space="0"/>
            </w:tcBorders>
            <w:vAlign w:val="center"/>
          </w:tcPr>
          <w:p w14:paraId="31613402">
            <w:pPr>
              <w:pStyle w:val="180"/>
              <w:snapToGrid w:val="0"/>
              <w:spacing w:before="112" w:line="240" w:lineRule="auto"/>
              <w:ind w:left="0" w:leftChars="0" w:right="0" w:rightChars="0" w:firstLine="0" w:firstLineChars="0"/>
              <w:jc w:val="left"/>
              <w:rPr>
                <w:rFonts w:ascii="宋体" w:eastAsia="宋体"/>
                <w:sz w:val="24"/>
                <w:lang w:eastAsia="zh-CN"/>
              </w:rPr>
            </w:pPr>
            <w:r>
              <w:rPr>
                <w:rFonts w:ascii="宋体" w:eastAsia="宋体"/>
                <w:spacing w:val="-7"/>
                <w:sz w:val="24"/>
                <w:lang w:eastAsia="zh-CN"/>
              </w:rPr>
              <w:t>评 标 基</w:t>
            </w:r>
            <w:r>
              <w:rPr>
                <w:rFonts w:ascii="宋体" w:eastAsia="宋体"/>
                <w:spacing w:val="-3"/>
                <w:sz w:val="24"/>
                <w:lang w:eastAsia="zh-CN"/>
              </w:rPr>
              <w:t xml:space="preserve"> </w:t>
            </w:r>
            <w:r>
              <w:rPr>
                <w:rFonts w:ascii="宋体" w:eastAsia="宋体"/>
                <w:spacing w:val="-7"/>
                <w:sz w:val="24"/>
                <w:lang w:eastAsia="zh-CN"/>
              </w:rPr>
              <w:t>准 价</w:t>
            </w:r>
            <w:r>
              <w:rPr>
                <w:rFonts w:ascii="宋体" w:eastAsia="宋体"/>
                <w:spacing w:val="-14"/>
                <w:sz w:val="24"/>
                <w:lang w:eastAsia="zh-CN"/>
              </w:rPr>
              <w:t xml:space="preserve"> </w:t>
            </w:r>
            <w:r>
              <w:rPr>
                <w:rFonts w:ascii="宋体" w:eastAsia="宋体"/>
                <w:spacing w:val="-7"/>
                <w:sz w:val="24"/>
                <w:lang w:eastAsia="zh-CN"/>
              </w:rPr>
              <w:t>：</w:t>
            </w:r>
          </w:p>
          <w:p w14:paraId="391642C0">
            <w:pPr>
              <w:pStyle w:val="180"/>
              <w:snapToGrid w:val="0"/>
              <w:spacing w:before="257" w:line="240" w:lineRule="auto"/>
              <w:ind w:left="0" w:leftChars="0" w:right="0" w:rightChars="0" w:firstLine="0" w:firstLineChars="0"/>
              <w:jc w:val="left"/>
              <w:rPr>
                <w:rFonts w:ascii="宋体" w:eastAsia="宋体"/>
                <w:sz w:val="24"/>
                <w:lang w:eastAsia="zh-CN"/>
              </w:rPr>
            </w:pPr>
            <w:r>
              <w:rPr>
                <w:rFonts w:ascii="宋体" w:eastAsia="宋体"/>
                <w:spacing w:val="-10"/>
                <w:sz w:val="24"/>
                <w:lang w:eastAsia="zh-CN"/>
              </w:rPr>
              <w:t>1 、</w:t>
            </w:r>
            <w:r>
              <w:rPr>
                <w:rFonts w:ascii="宋体" w:eastAsia="宋体"/>
                <w:spacing w:val="-25"/>
                <w:sz w:val="24"/>
                <w:lang w:eastAsia="zh-CN"/>
              </w:rPr>
              <w:t xml:space="preserve"> </w:t>
            </w:r>
            <w:r>
              <w:rPr>
                <w:rFonts w:ascii="宋体" w:eastAsia="宋体"/>
                <w:spacing w:val="-10"/>
                <w:sz w:val="24"/>
                <w:lang w:eastAsia="zh-CN"/>
              </w:rPr>
              <w:t>评</w:t>
            </w:r>
            <w:r>
              <w:rPr>
                <w:rFonts w:ascii="宋体" w:eastAsia="宋体"/>
                <w:spacing w:val="-22"/>
                <w:sz w:val="24"/>
                <w:lang w:eastAsia="zh-CN"/>
              </w:rPr>
              <w:t xml:space="preserve"> </w:t>
            </w:r>
            <w:r>
              <w:rPr>
                <w:rFonts w:ascii="宋体" w:eastAsia="宋体"/>
                <w:spacing w:val="-10"/>
                <w:sz w:val="24"/>
                <w:lang w:eastAsia="zh-CN"/>
              </w:rPr>
              <w:t>标</w:t>
            </w:r>
            <w:r>
              <w:rPr>
                <w:rFonts w:ascii="宋体" w:eastAsia="宋体"/>
                <w:spacing w:val="-24"/>
                <w:sz w:val="24"/>
                <w:lang w:eastAsia="zh-CN"/>
              </w:rPr>
              <w:t xml:space="preserve"> </w:t>
            </w:r>
            <w:r>
              <w:rPr>
                <w:rFonts w:ascii="宋体" w:eastAsia="宋体"/>
                <w:spacing w:val="-10"/>
                <w:sz w:val="24"/>
                <w:lang w:eastAsia="zh-CN"/>
              </w:rPr>
              <w:t>基</w:t>
            </w:r>
            <w:r>
              <w:rPr>
                <w:rFonts w:ascii="宋体" w:eastAsia="宋体"/>
                <w:spacing w:val="-22"/>
                <w:sz w:val="24"/>
                <w:lang w:eastAsia="zh-CN"/>
              </w:rPr>
              <w:t xml:space="preserve"> </w:t>
            </w:r>
            <w:r>
              <w:rPr>
                <w:rFonts w:ascii="宋体" w:eastAsia="宋体"/>
                <w:spacing w:val="-10"/>
                <w:sz w:val="24"/>
                <w:lang w:eastAsia="zh-CN"/>
              </w:rPr>
              <w:t>准</w:t>
            </w:r>
            <w:r>
              <w:rPr>
                <w:rFonts w:ascii="宋体" w:eastAsia="宋体"/>
                <w:spacing w:val="-23"/>
                <w:sz w:val="24"/>
                <w:lang w:eastAsia="zh-CN"/>
              </w:rPr>
              <w:t xml:space="preserve"> </w:t>
            </w:r>
            <w:r>
              <w:rPr>
                <w:rFonts w:ascii="宋体" w:eastAsia="宋体"/>
                <w:spacing w:val="-10"/>
                <w:sz w:val="24"/>
                <w:lang w:eastAsia="zh-CN"/>
              </w:rPr>
              <w:t>价</w:t>
            </w:r>
            <w:r>
              <w:rPr>
                <w:rFonts w:ascii="宋体" w:eastAsia="宋体"/>
                <w:spacing w:val="-21"/>
                <w:sz w:val="24"/>
                <w:lang w:eastAsia="zh-CN"/>
              </w:rPr>
              <w:t xml:space="preserve"> </w:t>
            </w:r>
            <w:r>
              <w:rPr>
                <w:rFonts w:ascii="宋体" w:eastAsia="宋体"/>
                <w:spacing w:val="-10"/>
                <w:sz w:val="24"/>
                <w:lang w:eastAsia="zh-CN"/>
              </w:rPr>
              <w:t>为</w:t>
            </w:r>
            <w:r>
              <w:rPr>
                <w:rFonts w:ascii="宋体" w:eastAsia="宋体"/>
                <w:spacing w:val="-24"/>
                <w:sz w:val="24"/>
                <w:lang w:eastAsia="zh-CN"/>
              </w:rPr>
              <w:t xml:space="preserve"> </w:t>
            </w:r>
            <w:r>
              <w:rPr>
                <w:rFonts w:ascii="宋体" w:eastAsia="宋体"/>
                <w:spacing w:val="-10"/>
                <w:sz w:val="24"/>
                <w:lang w:eastAsia="zh-CN"/>
              </w:rPr>
              <w:t>所</w:t>
            </w:r>
            <w:r>
              <w:rPr>
                <w:rFonts w:ascii="宋体" w:eastAsia="宋体"/>
                <w:spacing w:val="-23"/>
                <w:sz w:val="24"/>
                <w:lang w:eastAsia="zh-CN"/>
              </w:rPr>
              <w:t xml:space="preserve"> </w:t>
            </w:r>
            <w:r>
              <w:rPr>
                <w:rFonts w:ascii="宋体" w:eastAsia="宋体"/>
                <w:spacing w:val="-10"/>
                <w:sz w:val="24"/>
                <w:lang w:eastAsia="zh-CN"/>
              </w:rPr>
              <w:t>有</w:t>
            </w:r>
            <w:r>
              <w:rPr>
                <w:rFonts w:ascii="宋体" w:eastAsia="宋体"/>
                <w:spacing w:val="-22"/>
                <w:sz w:val="24"/>
                <w:lang w:eastAsia="zh-CN"/>
              </w:rPr>
              <w:t xml:space="preserve"> </w:t>
            </w:r>
            <w:r>
              <w:rPr>
                <w:rFonts w:ascii="宋体" w:eastAsia="宋体"/>
                <w:spacing w:val="-10"/>
                <w:sz w:val="24"/>
                <w:lang w:eastAsia="zh-CN"/>
              </w:rPr>
              <w:t>合</w:t>
            </w:r>
            <w:r>
              <w:rPr>
                <w:rFonts w:ascii="宋体" w:eastAsia="宋体"/>
                <w:spacing w:val="-22"/>
                <w:sz w:val="24"/>
                <w:lang w:eastAsia="zh-CN"/>
              </w:rPr>
              <w:t xml:space="preserve"> </w:t>
            </w:r>
            <w:r>
              <w:rPr>
                <w:rFonts w:ascii="宋体" w:eastAsia="宋体"/>
                <w:spacing w:val="-10"/>
                <w:sz w:val="24"/>
                <w:lang w:eastAsia="zh-CN"/>
              </w:rPr>
              <w:t>理</w:t>
            </w:r>
            <w:r>
              <w:rPr>
                <w:rFonts w:ascii="宋体" w:eastAsia="宋体"/>
                <w:spacing w:val="-22"/>
                <w:sz w:val="24"/>
                <w:lang w:eastAsia="zh-CN"/>
              </w:rPr>
              <w:t xml:space="preserve"> </w:t>
            </w:r>
            <w:r>
              <w:rPr>
                <w:rFonts w:ascii="宋体" w:eastAsia="宋体"/>
                <w:spacing w:val="-10"/>
                <w:sz w:val="24"/>
                <w:lang w:eastAsia="zh-CN"/>
              </w:rPr>
              <w:t>有 效 的</w:t>
            </w:r>
            <w:r>
              <w:rPr>
                <w:rFonts w:ascii="宋体" w:eastAsia="宋体"/>
                <w:spacing w:val="-22"/>
                <w:sz w:val="24"/>
                <w:lang w:eastAsia="zh-CN"/>
              </w:rPr>
              <w:t xml:space="preserve"> </w:t>
            </w:r>
            <w:r>
              <w:rPr>
                <w:rFonts w:ascii="宋体" w:eastAsia="宋体"/>
                <w:spacing w:val="-10"/>
                <w:sz w:val="24"/>
                <w:lang w:eastAsia="zh-CN"/>
              </w:rPr>
              <w:t>最</w:t>
            </w:r>
            <w:r>
              <w:rPr>
                <w:rFonts w:ascii="宋体" w:eastAsia="宋体"/>
                <w:spacing w:val="-20"/>
                <w:sz w:val="24"/>
                <w:lang w:eastAsia="zh-CN"/>
              </w:rPr>
              <w:t xml:space="preserve"> </w:t>
            </w:r>
            <w:r>
              <w:rPr>
                <w:rFonts w:ascii="宋体" w:eastAsia="宋体"/>
                <w:spacing w:val="-10"/>
                <w:sz w:val="24"/>
                <w:lang w:eastAsia="zh-CN"/>
              </w:rPr>
              <w:t>终</w:t>
            </w:r>
            <w:r>
              <w:rPr>
                <w:rFonts w:ascii="宋体" w:eastAsia="宋体"/>
                <w:spacing w:val="-22"/>
                <w:sz w:val="24"/>
                <w:lang w:eastAsia="zh-CN"/>
              </w:rPr>
              <w:t xml:space="preserve"> </w:t>
            </w:r>
            <w:r>
              <w:rPr>
                <w:rFonts w:ascii="宋体" w:eastAsia="宋体"/>
                <w:spacing w:val="-10"/>
                <w:sz w:val="24"/>
                <w:lang w:eastAsia="zh-CN"/>
              </w:rPr>
              <w:t>投</w:t>
            </w:r>
            <w:r>
              <w:rPr>
                <w:rFonts w:ascii="宋体" w:eastAsia="宋体"/>
                <w:spacing w:val="-23"/>
                <w:sz w:val="24"/>
                <w:lang w:eastAsia="zh-CN"/>
              </w:rPr>
              <w:t xml:space="preserve"> </w:t>
            </w:r>
            <w:r>
              <w:rPr>
                <w:rFonts w:ascii="宋体" w:eastAsia="宋体"/>
                <w:spacing w:val="-10"/>
                <w:sz w:val="24"/>
                <w:lang w:eastAsia="zh-CN"/>
              </w:rPr>
              <w:t>标</w:t>
            </w:r>
            <w:r>
              <w:rPr>
                <w:rFonts w:ascii="宋体" w:eastAsia="宋体"/>
                <w:spacing w:val="-25"/>
                <w:sz w:val="24"/>
                <w:lang w:eastAsia="zh-CN"/>
              </w:rPr>
              <w:t xml:space="preserve"> </w:t>
            </w:r>
            <w:r>
              <w:rPr>
                <w:rFonts w:ascii="宋体" w:eastAsia="宋体"/>
                <w:spacing w:val="-10"/>
                <w:sz w:val="24"/>
                <w:lang w:eastAsia="zh-CN"/>
              </w:rPr>
              <w:t>报</w:t>
            </w:r>
            <w:r>
              <w:rPr>
                <w:rFonts w:ascii="宋体" w:eastAsia="宋体"/>
                <w:spacing w:val="-22"/>
                <w:sz w:val="24"/>
                <w:lang w:eastAsia="zh-CN"/>
              </w:rPr>
              <w:t xml:space="preserve"> </w:t>
            </w:r>
            <w:r>
              <w:rPr>
                <w:rFonts w:ascii="宋体" w:eastAsia="宋体"/>
                <w:spacing w:val="-10"/>
                <w:sz w:val="24"/>
                <w:lang w:eastAsia="zh-CN"/>
              </w:rPr>
              <w:t>价 的</w:t>
            </w:r>
            <w:r>
              <w:rPr>
                <w:rFonts w:ascii="宋体" w:eastAsia="宋体"/>
                <w:spacing w:val="-22"/>
                <w:sz w:val="24"/>
                <w:lang w:eastAsia="zh-CN"/>
              </w:rPr>
              <w:t xml:space="preserve"> </w:t>
            </w:r>
            <w:r>
              <w:rPr>
                <w:rFonts w:ascii="宋体" w:eastAsia="宋体"/>
                <w:spacing w:val="-10"/>
                <w:sz w:val="24"/>
                <w:lang w:eastAsia="zh-CN"/>
              </w:rPr>
              <w:t>最</w:t>
            </w:r>
            <w:r>
              <w:rPr>
                <w:rFonts w:ascii="宋体" w:eastAsia="宋体"/>
                <w:spacing w:val="-24"/>
                <w:sz w:val="24"/>
                <w:lang w:eastAsia="zh-CN"/>
              </w:rPr>
              <w:t xml:space="preserve"> </w:t>
            </w:r>
            <w:r>
              <w:rPr>
                <w:rFonts w:ascii="宋体" w:eastAsia="宋体"/>
                <w:spacing w:val="-10"/>
                <w:sz w:val="24"/>
                <w:lang w:eastAsia="zh-CN"/>
              </w:rPr>
              <w:t>低</w:t>
            </w:r>
            <w:r>
              <w:rPr>
                <w:rFonts w:ascii="宋体" w:eastAsia="宋体"/>
                <w:spacing w:val="-23"/>
                <w:sz w:val="24"/>
                <w:lang w:eastAsia="zh-CN"/>
              </w:rPr>
              <w:t xml:space="preserve"> </w:t>
            </w:r>
            <w:r>
              <w:rPr>
                <w:rFonts w:ascii="宋体" w:eastAsia="宋体"/>
                <w:spacing w:val="-11"/>
                <w:sz w:val="24"/>
                <w:lang w:eastAsia="zh-CN"/>
              </w:rPr>
              <w:t>价</w:t>
            </w:r>
            <w:r>
              <w:rPr>
                <w:rFonts w:ascii="宋体" w:eastAsia="宋体"/>
                <w:spacing w:val="-30"/>
                <w:sz w:val="24"/>
                <w:lang w:eastAsia="zh-CN"/>
              </w:rPr>
              <w:t xml:space="preserve"> </w:t>
            </w:r>
            <w:r>
              <w:rPr>
                <w:rFonts w:ascii="宋体" w:eastAsia="宋体"/>
                <w:spacing w:val="-11"/>
                <w:sz w:val="24"/>
                <w:lang w:eastAsia="zh-CN"/>
              </w:rPr>
              <w:t>。</w:t>
            </w:r>
          </w:p>
          <w:p w14:paraId="4C2A4C1D">
            <w:pPr>
              <w:pStyle w:val="180"/>
              <w:snapToGrid w:val="0"/>
              <w:spacing w:before="227" w:line="240" w:lineRule="auto"/>
              <w:ind w:left="0" w:leftChars="0" w:right="0" w:rightChars="0" w:firstLine="0" w:firstLineChars="0"/>
              <w:jc w:val="left"/>
              <w:rPr>
                <w:rFonts w:ascii="宋体" w:eastAsia="宋体"/>
                <w:spacing w:val="-38"/>
                <w:sz w:val="24"/>
                <w:lang w:eastAsia="zh-CN"/>
              </w:rPr>
            </w:pPr>
            <w:r>
              <w:rPr>
                <w:rFonts w:ascii="宋体" w:eastAsia="宋体"/>
                <w:spacing w:val="-11"/>
                <w:sz w:val="24"/>
                <w:lang w:eastAsia="zh-CN"/>
              </w:rPr>
              <w:t>2</w:t>
            </w:r>
            <w:r>
              <w:rPr>
                <w:rFonts w:ascii="宋体" w:eastAsia="宋体"/>
                <w:spacing w:val="-27"/>
                <w:sz w:val="24"/>
                <w:lang w:eastAsia="zh-CN"/>
              </w:rPr>
              <w:t xml:space="preserve"> </w:t>
            </w:r>
            <w:r>
              <w:rPr>
                <w:rFonts w:ascii="宋体" w:eastAsia="宋体"/>
                <w:spacing w:val="-11"/>
                <w:sz w:val="24"/>
                <w:lang w:eastAsia="zh-CN"/>
              </w:rPr>
              <w:t>、</w:t>
            </w:r>
            <w:r>
              <w:rPr>
                <w:rFonts w:ascii="宋体" w:eastAsia="宋体"/>
                <w:spacing w:val="-39"/>
                <w:sz w:val="24"/>
                <w:lang w:eastAsia="zh-CN"/>
              </w:rPr>
              <w:t xml:space="preserve"> </w:t>
            </w:r>
            <w:r>
              <w:rPr>
                <w:rFonts w:ascii="宋体" w:eastAsia="宋体"/>
                <w:spacing w:val="-11"/>
                <w:sz w:val="24"/>
                <w:lang w:eastAsia="zh-CN"/>
              </w:rPr>
              <w:t>有</w:t>
            </w:r>
            <w:r>
              <w:rPr>
                <w:rFonts w:ascii="宋体" w:eastAsia="宋体"/>
                <w:spacing w:val="-36"/>
                <w:sz w:val="24"/>
                <w:lang w:eastAsia="zh-CN"/>
              </w:rPr>
              <w:t xml:space="preserve"> </w:t>
            </w:r>
            <w:r>
              <w:rPr>
                <w:rFonts w:ascii="宋体" w:eastAsia="宋体"/>
                <w:spacing w:val="-11"/>
                <w:sz w:val="24"/>
                <w:lang w:eastAsia="zh-CN"/>
              </w:rPr>
              <w:t>效</w:t>
            </w:r>
            <w:r>
              <w:rPr>
                <w:rFonts w:ascii="宋体" w:eastAsia="宋体"/>
                <w:spacing w:val="-25"/>
                <w:sz w:val="24"/>
                <w:lang w:eastAsia="zh-CN"/>
              </w:rPr>
              <w:t xml:space="preserve"> </w:t>
            </w:r>
            <w:r>
              <w:rPr>
                <w:rFonts w:ascii="宋体" w:eastAsia="宋体"/>
                <w:spacing w:val="-11"/>
                <w:sz w:val="24"/>
                <w:lang w:eastAsia="zh-CN"/>
              </w:rPr>
              <w:t>的</w:t>
            </w:r>
            <w:r>
              <w:rPr>
                <w:rFonts w:ascii="宋体" w:eastAsia="宋体"/>
                <w:spacing w:val="-40"/>
                <w:sz w:val="24"/>
                <w:lang w:eastAsia="zh-CN"/>
              </w:rPr>
              <w:t xml:space="preserve"> </w:t>
            </w:r>
            <w:r>
              <w:rPr>
                <w:rFonts w:ascii="宋体" w:eastAsia="宋体"/>
                <w:spacing w:val="-11"/>
                <w:sz w:val="24"/>
                <w:lang w:eastAsia="zh-CN"/>
              </w:rPr>
              <w:t>评</w:t>
            </w:r>
            <w:r>
              <w:rPr>
                <w:rFonts w:ascii="宋体" w:eastAsia="宋体"/>
                <w:spacing w:val="-39"/>
                <w:sz w:val="24"/>
                <w:lang w:eastAsia="zh-CN"/>
              </w:rPr>
              <w:t xml:space="preserve"> </w:t>
            </w:r>
            <w:r>
              <w:rPr>
                <w:rFonts w:ascii="宋体" w:eastAsia="宋体"/>
                <w:spacing w:val="-11"/>
                <w:sz w:val="24"/>
                <w:lang w:eastAsia="zh-CN"/>
              </w:rPr>
              <w:t>标</w:t>
            </w:r>
            <w:r>
              <w:rPr>
                <w:rFonts w:ascii="宋体" w:eastAsia="宋体"/>
                <w:spacing w:val="-40"/>
                <w:sz w:val="24"/>
                <w:lang w:eastAsia="zh-CN"/>
              </w:rPr>
              <w:t xml:space="preserve"> </w:t>
            </w:r>
            <w:r>
              <w:rPr>
                <w:rFonts w:ascii="宋体" w:eastAsia="宋体"/>
                <w:spacing w:val="-11"/>
                <w:sz w:val="24"/>
                <w:lang w:eastAsia="zh-CN"/>
              </w:rPr>
              <w:t>基</w:t>
            </w:r>
            <w:r>
              <w:rPr>
                <w:rFonts w:ascii="宋体" w:eastAsia="宋体"/>
                <w:spacing w:val="-38"/>
                <w:sz w:val="24"/>
                <w:lang w:eastAsia="zh-CN"/>
              </w:rPr>
              <w:t xml:space="preserve"> </w:t>
            </w:r>
            <w:r>
              <w:rPr>
                <w:rFonts w:ascii="宋体" w:eastAsia="宋体"/>
                <w:spacing w:val="-11"/>
                <w:sz w:val="24"/>
                <w:lang w:eastAsia="zh-CN"/>
              </w:rPr>
              <w:t>准</w:t>
            </w:r>
            <w:r>
              <w:rPr>
                <w:rFonts w:ascii="宋体" w:eastAsia="宋体"/>
                <w:spacing w:val="-39"/>
                <w:sz w:val="24"/>
                <w:lang w:eastAsia="zh-CN"/>
              </w:rPr>
              <w:t xml:space="preserve"> </w:t>
            </w:r>
            <w:r>
              <w:rPr>
                <w:rFonts w:ascii="宋体" w:eastAsia="宋体"/>
                <w:spacing w:val="-11"/>
                <w:sz w:val="24"/>
                <w:lang w:eastAsia="zh-CN"/>
              </w:rPr>
              <w:t>价</w:t>
            </w:r>
            <w:r>
              <w:rPr>
                <w:rFonts w:ascii="宋体" w:eastAsia="宋体"/>
                <w:spacing w:val="-39"/>
                <w:sz w:val="24"/>
                <w:lang w:eastAsia="zh-CN"/>
              </w:rPr>
              <w:t xml:space="preserve"> </w:t>
            </w:r>
            <w:r>
              <w:rPr>
                <w:rFonts w:ascii="宋体" w:eastAsia="宋体"/>
                <w:spacing w:val="-11"/>
                <w:sz w:val="24"/>
                <w:lang w:eastAsia="zh-CN"/>
              </w:rPr>
              <w:t>得</w:t>
            </w:r>
            <w:r>
              <w:rPr>
                <w:rFonts w:ascii="宋体" w:eastAsia="宋体"/>
                <w:spacing w:val="-27"/>
                <w:sz w:val="24"/>
                <w:lang w:eastAsia="zh-CN"/>
              </w:rPr>
              <w:t xml:space="preserve"> </w:t>
            </w:r>
            <w:r>
              <w:rPr>
                <w:rFonts w:ascii="宋体" w:eastAsia="宋体"/>
                <w:spacing w:val="-11"/>
                <w:sz w:val="24"/>
                <w:lang w:eastAsia="zh-CN"/>
              </w:rPr>
              <w:t>1</w:t>
            </w:r>
            <w:r>
              <w:rPr>
                <w:rFonts w:ascii="宋体" w:eastAsia="宋体"/>
                <w:spacing w:val="-38"/>
                <w:sz w:val="24"/>
                <w:lang w:eastAsia="zh-CN"/>
              </w:rPr>
              <w:t xml:space="preserve"> </w:t>
            </w:r>
            <w:r>
              <w:rPr>
                <w:rFonts w:ascii="宋体" w:eastAsia="宋体"/>
                <w:spacing w:val="-11"/>
                <w:sz w:val="24"/>
                <w:lang w:eastAsia="zh-CN"/>
              </w:rPr>
              <w:t>0</w:t>
            </w:r>
            <w:r>
              <w:rPr>
                <w:rFonts w:ascii="宋体" w:eastAsia="宋体"/>
                <w:spacing w:val="-38"/>
                <w:sz w:val="24"/>
                <w:lang w:eastAsia="zh-CN"/>
              </w:rPr>
              <w:t xml:space="preserve"> </w:t>
            </w:r>
            <w:r>
              <w:rPr>
                <w:rFonts w:ascii="宋体" w:eastAsia="宋体"/>
                <w:spacing w:val="-11"/>
                <w:sz w:val="24"/>
                <w:lang w:eastAsia="zh-CN"/>
              </w:rPr>
              <w:t>0</w:t>
            </w:r>
            <w:r>
              <w:rPr>
                <w:rFonts w:ascii="宋体" w:eastAsia="宋体"/>
                <w:spacing w:val="-38"/>
                <w:sz w:val="24"/>
                <w:lang w:eastAsia="zh-CN"/>
              </w:rPr>
              <w:t xml:space="preserve"> </w:t>
            </w:r>
            <w:r>
              <w:rPr>
                <w:rFonts w:ascii="宋体" w:eastAsia="宋体"/>
                <w:spacing w:val="-11"/>
                <w:sz w:val="24"/>
                <w:lang w:eastAsia="zh-CN"/>
              </w:rPr>
              <w:t>分</w:t>
            </w:r>
            <w:r>
              <w:rPr>
                <w:rFonts w:ascii="宋体" w:eastAsia="宋体"/>
                <w:spacing w:val="-24"/>
                <w:sz w:val="24"/>
                <w:lang w:eastAsia="zh-CN"/>
              </w:rPr>
              <w:t xml:space="preserve"> </w:t>
            </w:r>
            <w:r>
              <w:rPr>
                <w:rFonts w:ascii="宋体" w:eastAsia="宋体"/>
                <w:spacing w:val="-11"/>
                <w:sz w:val="24"/>
                <w:lang w:eastAsia="zh-CN"/>
              </w:rPr>
              <w:t>：</w:t>
            </w:r>
            <w:r>
              <w:rPr>
                <w:rFonts w:ascii="宋体" w:eastAsia="宋体"/>
                <w:spacing w:val="-39"/>
                <w:sz w:val="24"/>
                <w:lang w:eastAsia="zh-CN"/>
              </w:rPr>
              <w:t xml:space="preserve"> </w:t>
            </w:r>
            <w:r>
              <w:rPr>
                <w:rFonts w:ascii="宋体" w:eastAsia="宋体"/>
                <w:spacing w:val="-11"/>
                <w:sz w:val="24"/>
                <w:lang w:eastAsia="zh-CN"/>
              </w:rPr>
              <w:t>其</w:t>
            </w:r>
            <w:r>
              <w:rPr>
                <w:rFonts w:ascii="宋体" w:eastAsia="宋体"/>
                <w:spacing w:val="-40"/>
                <w:sz w:val="24"/>
                <w:lang w:eastAsia="zh-CN"/>
              </w:rPr>
              <w:t xml:space="preserve"> </w:t>
            </w:r>
            <w:r>
              <w:rPr>
                <w:rFonts w:ascii="宋体" w:eastAsia="宋体"/>
                <w:spacing w:val="-11"/>
                <w:sz w:val="24"/>
                <w:lang w:eastAsia="zh-CN"/>
              </w:rPr>
              <w:t>他</w:t>
            </w:r>
            <w:r>
              <w:rPr>
                <w:rFonts w:ascii="宋体" w:eastAsia="宋体"/>
                <w:spacing w:val="-38"/>
                <w:sz w:val="24"/>
                <w:lang w:eastAsia="zh-CN"/>
              </w:rPr>
              <w:t xml:space="preserve"> </w:t>
            </w:r>
            <w:r>
              <w:rPr>
                <w:rFonts w:ascii="宋体" w:eastAsia="宋体"/>
                <w:spacing w:val="-11"/>
                <w:sz w:val="24"/>
                <w:lang w:eastAsia="zh-CN"/>
              </w:rPr>
              <w:t>投</w:t>
            </w:r>
            <w:r>
              <w:rPr>
                <w:rFonts w:ascii="宋体" w:eastAsia="宋体"/>
                <w:spacing w:val="-39"/>
                <w:sz w:val="24"/>
                <w:lang w:eastAsia="zh-CN"/>
              </w:rPr>
              <w:t xml:space="preserve"> </w:t>
            </w:r>
            <w:r>
              <w:rPr>
                <w:rFonts w:ascii="宋体" w:eastAsia="宋体"/>
                <w:spacing w:val="-11"/>
                <w:sz w:val="24"/>
                <w:lang w:eastAsia="zh-CN"/>
              </w:rPr>
              <w:t>标</w:t>
            </w:r>
            <w:r>
              <w:rPr>
                <w:rFonts w:ascii="宋体" w:eastAsia="宋体"/>
                <w:spacing w:val="-38"/>
                <w:sz w:val="24"/>
                <w:lang w:eastAsia="zh-CN"/>
              </w:rPr>
              <w:t xml:space="preserve"> </w:t>
            </w:r>
            <w:r>
              <w:rPr>
                <w:rFonts w:ascii="宋体" w:eastAsia="宋体"/>
                <w:spacing w:val="-11"/>
                <w:sz w:val="24"/>
                <w:lang w:eastAsia="zh-CN"/>
              </w:rPr>
              <w:t>人</w:t>
            </w:r>
            <w:r>
              <w:rPr>
                <w:rFonts w:ascii="宋体" w:eastAsia="宋体"/>
                <w:spacing w:val="-25"/>
                <w:sz w:val="24"/>
                <w:lang w:eastAsia="zh-CN"/>
              </w:rPr>
              <w:t xml:space="preserve"> </w:t>
            </w:r>
            <w:r>
              <w:rPr>
                <w:rFonts w:ascii="宋体" w:eastAsia="宋体"/>
                <w:spacing w:val="-11"/>
                <w:sz w:val="24"/>
                <w:lang w:eastAsia="zh-CN"/>
              </w:rPr>
              <w:t>的</w:t>
            </w:r>
            <w:r>
              <w:rPr>
                <w:rFonts w:ascii="宋体" w:eastAsia="宋体"/>
                <w:spacing w:val="-39"/>
                <w:sz w:val="24"/>
                <w:lang w:eastAsia="zh-CN"/>
              </w:rPr>
              <w:t xml:space="preserve"> </w:t>
            </w:r>
            <w:r>
              <w:rPr>
                <w:rFonts w:ascii="宋体" w:eastAsia="宋体"/>
                <w:spacing w:val="-11"/>
                <w:sz w:val="24"/>
                <w:lang w:eastAsia="zh-CN"/>
              </w:rPr>
              <w:t>价</w:t>
            </w:r>
            <w:r>
              <w:rPr>
                <w:rFonts w:ascii="宋体" w:eastAsia="宋体"/>
                <w:spacing w:val="-40"/>
                <w:sz w:val="24"/>
                <w:lang w:eastAsia="zh-CN"/>
              </w:rPr>
              <w:t xml:space="preserve"> </w:t>
            </w:r>
            <w:r>
              <w:rPr>
                <w:rFonts w:ascii="宋体" w:eastAsia="宋体"/>
                <w:spacing w:val="-11"/>
                <w:sz w:val="24"/>
                <w:lang w:eastAsia="zh-CN"/>
              </w:rPr>
              <w:t>格</w:t>
            </w:r>
            <w:r>
              <w:rPr>
                <w:rFonts w:ascii="宋体" w:eastAsia="宋体"/>
                <w:spacing w:val="-39"/>
                <w:sz w:val="24"/>
                <w:lang w:eastAsia="zh-CN"/>
              </w:rPr>
              <w:t xml:space="preserve"> </w:t>
            </w:r>
            <w:r>
              <w:rPr>
                <w:rFonts w:ascii="宋体" w:eastAsia="宋体"/>
                <w:spacing w:val="-11"/>
                <w:sz w:val="24"/>
                <w:lang w:eastAsia="zh-CN"/>
              </w:rPr>
              <w:t>得</w:t>
            </w:r>
            <w:r>
              <w:rPr>
                <w:rFonts w:ascii="宋体" w:eastAsia="宋体"/>
                <w:spacing w:val="-38"/>
                <w:sz w:val="24"/>
                <w:lang w:eastAsia="zh-CN"/>
              </w:rPr>
              <w:t xml:space="preserve"> </w:t>
            </w:r>
            <w:r>
              <w:rPr>
                <w:rFonts w:ascii="宋体" w:eastAsia="宋体"/>
                <w:spacing w:val="-11"/>
                <w:sz w:val="24"/>
                <w:lang w:eastAsia="zh-CN"/>
              </w:rPr>
              <w:t>分</w:t>
            </w:r>
            <w:r>
              <w:rPr>
                <w:rFonts w:ascii="宋体" w:eastAsia="宋体"/>
                <w:spacing w:val="-38"/>
                <w:sz w:val="24"/>
                <w:lang w:eastAsia="zh-CN"/>
              </w:rPr>
              <w:t xml:space="preserve"> </w:t>
            </w:r>
            <w:r>
              <w:rPr>
                <w:rFonts w:ascii="宋体" w:eastAsia="宋体"/>
                <w:spacing w:val="-11"/>
                <w:sz w:val="24"/>
                <w:lang w:eastAsia="zh-CN"/>
              </w:rPr>
              <w:t>按</w:t>
            </w:r>
            <w:r>
              <w:rPr>
                <w:rFonts w:ascii="宋体" w:eastAsia="宋体"/>
                <w:spacing w:val="-34"/>
                <w:sz w:val="24"/>
                <w:lang w:eastAsia="zh-CN"/>
              </w:rPr>
              <w:t xml:space="preserve"> </w:t>
            </w:r>
            <w:r>
              <w:rPr>
                <w:rFonts w:ascii="宋体" w:eastAsia="宋体"/>
                <w:spacing w:val="-11"/>
                <w:sz w:val="24"/>
                <w:lang w:eastAsia="zh-CN"/>
              </w:rPr>
              <w:t>下</w:t>
            </w:r>
            <w:r>
              <w:rPr>
                <w:rFonts w:ascii="宋体" w:eastAsia="宋体"/>
                <w:spacing w:val="-36"/>
                <w:sz w:val="24"/>
                <w:lang w:eastAsia="zh-CN"/>
              </w:rPr>
              <w:t xml:space="preserve"> </w:t>
            </w:r>
            <w:r>
              <w:rPr>
                <w:rFonts w:ascii="宋体" w:eastAsia="宋体"/>
                <w:spacing w:val="-11"/>
                <w:sz w:val="24"/>
                <w:lang w:eastAsia="zh-CN"/>
              </w:rPr>
              <w:t>列</w:t>
            </w:r>
            <w:r>
              <w:rPr>
                <w:rFonts w:ascii="宋体" w:eastAsia="宋体"/>
                <w:spacing w:val="-34"/>
                <w:sz w:val="24"/>
                <w:lang w:eastAsia="zh-CN"/>
              </w:rPr>
              <w:t xml:space="preserve"> </w:t>
            </w:r>
            <w:r>
              <w:rPr>
                <w:rFonts w:ascii="宋体" w:eastAsia="宋体"/>
                <w:spacing w:val="-11"/>
                <w:sz w:val="24"/>
                <w:lang w:eastAsia="zh-CN"/>
              </w:rPr>
              <w:t>公</w:t>
            </w:r>
            <w:r>
              <w:rPr>
                <w:rFonts w:ascii="宋体" w:eastAsia="宋体"/>
                <w:spacing w:val="-37"/>
                <w:sz w:val="24"/>
                <w:lang w:eastAsia="zh-CN"/>
              </w:rPr>
              <w:t xml:space="preserve"> </w:t>
            </w:r>
            <w:r>
              <w:rPr>
                <w:rFonts w:ascii="宋体" w:eastAsia="宋体"/>
                <w:spacing w:val="-11"/>
                <w:sz w:val="24"/>
                <w:lang w:eastAsia="zh-CN"/>
              </w:rPr>
              <w:t>式</w:t>
            </w:r>
            <w:r>
              <w:rPr>
                <w:rFonts w:ascii="宋体" w:eastAsia="宋体"/>
                <w:spacing w:val="-39"/>
                <w:sz w:val="24"/>
                <w:lang w:eastAsia="zh-CN"/>
              </w:rPr>
              <w:t xml:space="preserve"> </w:t>
            </w:r>
            <w:r>
              <w:rPr>
                <w:rFonts w:ascii="宋体" w:eastAsia="宋体"/>
                <w:spacing w:val="-11"/>
                <w:sz w:val="24"/>
                <w:lang w:eastAsia="zh-CN"/>
              </w:rPr>
              <w:t>计</w:t>
            </w:r>
            <w:r>
              <w:rPr>
                <w:rFonts w:ascii="宋体" w:eastAsia="宋体"/>
                <w:spacing w:val="-39"/>
                <w:sz w:val="24"/>
                <w:lang w:eastAsia="zh-CN"/>
              </w:rPr>
              <w:t xml:space="preserve"> </w:t>
            </w:r>
            <w:r>
              <w:rPr>
                <w:rFonts w:ascii="宋体" w:eastAsia="宋体"/>
                <w:spacing w:val="-11"/>
                <w:sz w:val="24"/>
                <w:lang w:eastAsia="zh-CN"/>
              </w:rPr>
              <w:t>算</w:t>
            </w:r>
            <w:r>
              <w:rPr>
                <w:rFonts w:ascii="宋体" w:eastAsia="宋体"/>
                <w:spacing w:val="-24"/>
                <w:sz w:val="24"/>
                <w:lang w:eastAsia="zh-CN"/>
              </w:rPr>
              <w:t xml:space="preserve"> </w:t>
            </w:r>
            <w:r>
              <w:rPr>
                <w:rFonts w:ascii="宋体" w:eastAsia="宋体"/>
                <w:spacing w:val="-11"/>
                <w:sz w:val="24"/>
                <w:lang w:eastAsia="zh-CN"/>
              </w:rPr>
              <w:t>：</w:t>
            </w:r>
            <w:r>
              <w:rPr>
                <w:rFonts w:ascii="宋体" w:eastAsia="宋体"/>
                <w:spacing w:val="-38"/>
                <w:sz w:val="24"/>
                <w:lang w:eastAsia="zh-CN"/>
              </w:rPr>
              <w:t xml:space="preserve"> </w:t>
            </w:r>
          </w:p>
          <w:p w14:paraId="343306B1">
            <w:pPr>
              <w:pStyle w:val="180"/>
              <w:snapToGrid w:val="0"/>
              <w:spacing w:before="227" w:line="240" w:lineRule="auto"/>
              <w:ind w:left="0" w:leftChars="0" w:right="0" w:rightChars="0" w:firstLine="0" w:firstLineChars="0"/>
              <w:jc w:val="left"/>
              <w:rPr>
                <w:rFonts w:ascii="宋体" w:eastAsia="宋体"/>
                <w:sz w:val="24"/>
                <w:lang w:eastAsia="zh-CN"/>
              </w:rPr>
            </w:pPr>
            <w:r>
              <w:rPr>
                <w:rFonts w:ascii="宋体" w:eastAsia="宋体"/>
                <w:spacing w:val="-11"/>
                <w:sz w:val="24"/>
                <w:lang w:eastAsia="zh-CN"/>
              </w:rPr>
              <w:t>投</w:t>
            </w:r>
            <w:r>
              <w:rPr>
                <w:rFonts w:ascii="宋体" w:eastAsia="宋体"/>
                <w:spacing w:val="-39"/>
                <w:sz w:val="24"/>
                <w:lang w:eastAsia="zh-CN"/>
              </w:rPr>
              <w:t xml:space="preserve"> </w:t>
            </w:r>
            <w:r>
              <w:rPr>
                <w:rFonts w:ascii="宋体" w:eastAsia="宋体"/>
                <w:spacing w:val="-12"/>
                <w:sz w:val="24"/>
                <w:lang w:eastAsia="zh-CN"/>
              </w:rPr>
              <w:t>标</w:t>
            </w:r>
            <w:r>
              <w:rPr>
                <w:rFonts w:ascii="宋体" w:eastAsia="宋体"/>
                <w:spacing w:val="-39"/>
                <w:sz w:val="24"/>
                <w:lang w:eastAsia="zh-CN"/>
              </w:rPr>
              <w:t xml:space="preserve"> </w:t>
            </w:r>
            <w:r>
              <w:rPr>
                <w:rFonts w:ascii="宋体" w:eastAsia="宋体"/>
                <w:spacing w:val="-12"/>
                <w:sz w:val="24"/>
                <w:lang w:eastAsia="zh-CN"/>
              </w:rPr>
              <w:t>价</w:t>
            </w:r>
            <w:r>
              <w:rPr>
                <w:rFonts w:ascii="宋体" w:eastAsia="宋体"/>
                <w:spacing w:val="-40"/>
                <w:sz w:val="24"/>
                <w:lang w:eastAsia="zh-CN"/>
              </w:rPr>
              <w:t xml:space="preserve"> </w:t>
            </w:r>
            <w:r>
              <w:rPr>
                <w:rFonts w:ascii="宋体" w:eastAsia="宋体"/>
                <w:spacing w:val="-12"/>
                <w:sz w:val="24"/>
                <w:lang w:eastAsia="zh-CN"/>
              </w:rPr>
              <w:t>格</w:t>
            </w:r>
            <w:r>
              <w:rPr>
                <w:rFonts w:ascii="宋体" w:eastAsia="宋体"/>
                <w:spacing w:val="-39"/>
                <w:sz w:val="24"/>
                <w:lang w:eastAsia="zh-CN"/>
              </w:rPr>
              <w:t xml:space="preserve"> </w:t>
            </w:r>
            <w:r>
              <w:rPr>
                <w:rFonts w:ascii="宋体" w:eastAsia="宋体"/>
                <w:spacing w:val="-12"/>
                <w:sz w:val="24"/>
                <w:lang w:eastAsia="zh-CN"/>
              </w:rPr>
              <w:t>得</w:t>
            </w:r>
            <w:r>
              <w:rPr>
                <w:rFonts w:ascii="宋体" w:eastAsia="宋体"/>
                <w:spacing w:val="-37"/>
                <w:sz w:val="24"/>
                <w:lang w:eastAsia="zh-CN"/>
              </w:rPr>
              <w:t xml:space="preserve"> </w:t>
            </w:r>
            <w:r>
              <w:rPr>
                <w:rFonts w:ascii="宋体" w:eastAsia="宋体"/>
                <w:spacing w:val="-12"/>
                <w:sz w:val="24"/>
                <w:lang w:eastAsia="zh-CN"/>
              </w:rPr>
              <w:t>分</w:t>
            </w:r>
            <w:r>
              <w:rPr>
                <w:rFonts w:ascii="宋体" w:eastAsia="宋体"/>
                <w:spacing w:val="-41"/>
                <w:sz w:val="24"/>
                <w:lang w:eastAsia="zh-CN"/>
              </w:rPr>
              <w:t xml:space="preserve"> </w:t>
            </w:r>
            <w:r>
              <w:rPr>
                <w:rFonts w:ascii="宋体" w:eastAsia="宋体"/>
                <w:spacing w:val="-12"/>
                <w:sz w:val="24"/>
                <w:lang w:eastAsia="zh-CN"/>
              </w:rPr>
              <w:t>=1</w:t>
            </w:r>
            <w:r>
              <w:rPr>
                <w:rFonts w:ascii="宋体" w:eastAsia="宋体"/>
                <w:spacing w:val="-38"/>
                <w:sz w:val="24"/>
                <w:lang w:eastAsia="zh-CN"/>
              </w:rPr>
              <w:t xml:space="preserve"> </w:t>
            </w:r>
            <w:r>
              <w:rPr>
                <w:rFonts w:ascii="宋体" w:eastAsia="宋体"/>
                <w:spacing w:val="-12"/>
                <w:sz w:val="24"/>
                <w:lang w:eastAsia="zh-CN"/>
              </w:rPr>
              <w:t>0</w:t>
            </w:r>
            <w:r>
              <w:rPr>
                <w:rFonts w:ascii="宋体" w:eastAsia="宋体"/>
                <w:spacing w:val="-39"/>
                <w:sz w:val="24"/>
                <w:lang w:eastAsia="zh-CN"/>
              </w:rPr>
              <w:t xml:space="preserve"> </w:t>
            </w:r>
            <w:r>
              <w:rPr>
                <w:rFonts w:ascii="宋体" w:eastAsia="宋体"/>
                <w:spacing w:val="-12"/>
                <w:sz w:val="24"/>
                <w:lang w:eastAsia="zh-CN"/>
              </w:rPr>
              <w:t>0 ×</w:t>
            </w:r>
            <w:r>
              <w:rPr>
                <w:rFonts w:ascii="宋体" w:eastAsia="宋体"/>
                <w:spacing w:val="-10"/>
                <w:sz w:val="24"/>
                <w:lang w:eastAsia="zh-CN"/>
              </w:rPr>
              <w:t>(</w:t>
            </w:r>
            <w:r>
              <w:rPr>
                <w:rFonts w:ascii="宋体" w:eastAsia="宋体"/>
                <w:spacing w:val="-15"/>
                <w:sz w:val="24"/>
                <w:lang w:eastAsia="zh-CN"/>
              </w:rPr>
              <w:t xml:space="preserve"> </w:t>
            </w:r>
            <w:r>
              <w:rPr>
                <w:rFonts w:ascii="宋体" w:eastAsia="宋体"/>
                <w:spacing w:val="-10"/>
                <w:sz w:val="24"/>
                <w:lang w:eastAsia="zh-CN"/>
              </w:rPr>
              <w:t>评</w:t>
            </w:r>
            <w:r>
              <w:rPr>
                <w:rFonts w:ascii="宋体" w:eastAsia="宋体"/>
                <w:spacing w:val="-22"/>
                <w:sz w:val="24"/>
                <w:lang w:eastAsia="zh-CN"/>
              </w:rPr>
              <w:t xml:space="preserve"> </w:t>
            </w:r>
            <w:r>
              <w:rPr>
                <w:rFonts w:ascii="宋体" w:eastAsia="宋体"/>
                <w:spacing w:val="-10"/>
                <w:sz w:val="24"/>
                <w:lang w:eastAsia="zh-CN"/>
              </w:rPr>
              <w:t>标</w:t>
            </w:r>
            <w:r>
              <w:rPr>
                <w:rFonts w:ascii="宋体" w:eastAsia="宋体"/>
                <w:spacing w:val="-22"/>
                <w:sz w:val="24"/>
                <w:lang w:eastAsia="zh-CN"/>
              </w:rPr>
              <w:t xml:space="preserve"> </w:t>
            </w:r>
            <w:r>
              <w:rPr>
                <w:rFonts w:ascii="宋体" w:eastAsia="宋体"/>
                <w:spacing w:val="-10"/>
                <w:sz w:val="24"/>
                <w:lang w:eastAsia="zh-CN"/>
              </w:rPr>
              <w:t>基</w:t>
            </w:r>
            <w:r>
              <w:rPr>
                <w:rFonts w:ascii="宋体" w:eastAsia="宋体"/>
                <w:spacing w:val="-22"/>
                <w:sz w:val="24"/>
                <w:lang w:eastAsia="zh-CN"/>
              </w:rPr>
              <w:t xml:space="preserve"> </w:t>
            </w:r>
            <w:r>
              <w:rPr>
                <w:rFonts w:ascii="宋体" w:eastAsia="宋体"/>
                <w:spacing w:val="-10"/>
                <w:sz w:val="24"/>
                <w:lang w:eastAsia="zh-CN"/>
              </w:rPr>
              <w:t>准</w:t>
            </w:r>
            <w:r>
              <w:rPr>
                <w:rFonts w:ascii="宋体" w:eastAsia="宋体"/>
                <w:spacing w:val="-21"/>
                <w:sz w:val="24"/>
                <w:lang w:eastAsia="zh-CN"/>
              </w:rPr>
              <w:t xml:space="preserve"> </w:t>
            </w:r>
            <w:r>
              <w:rPr>
                <w:rFonts w:ascii="宋体" w:eastAsia="宋体"/>
                <w:spacing w:val="-10"/>
                <w:sz w:val="24"/>
                <w:lang w:eastAsia="zh-CN"/>
              </w:rPr>
              <w:t>价</w:t>
            </w:r>
            <w:r>
              <w:rPr>
                <w:rFonts w:ascii="宋体" w:eastAsia="宋体"/>
                <w:spacing w:val="-24"/>
                <w:sz w:val="24"/>
                <w:lang w:eastAsia="zh-CN"/>
              </w:rPr>
              <w:t xml:space="preserve"> </w:t>
            </w:r>
            <w:r>
              <w:rPr>
                <w:rFonts w:ascii="宋体" w:eastAsia="宋体"/>
                <w:spacing w:val="-10"/>
                <w:sz w:val="24"/>
                <w:lang w:eastAsia="zh-CN"/>
              </w:rPr>
              <w:t>/</w:t>
            </w:r>
            <w:r>
              <w:rPr>
                <w:rFonts w:ascii="宋体" w:eastAsia="宋体"/>
                <w:spacing w:val="-20"/>
                <w:sz w:val="24"/>
                <w:lang w:eastAsia="zh-CN"/>
              </w:rPr>
              <w:t xml:space="preserve"> </w:t>
            </w:r>
            <w:r>
              <w:rPr>
                <w:rFonts w:ascii="宋体" w:eastAsia="宋体"/>
                <w:spacing w:val="-10"/>
                <w:sz w:val="24"/>
                <w:lang w:eastAsia="zh-CN"/>
              </w:rPr>
              <w:t>投</w:t>
            </w:r>
            <w:r>
              <w:rPr>
                <w:rFonts w:ascii="宋体" w:eastAsia="宋体"/>
                <w:spacing w:val="-22"/>
                <w:sz w:val="24"/>
                <w:lang w:eastAsia="zh-CN"/>
              </w:rPr>
              <w:t xml:space="preserve"> </w:t>
            </w:r>
            <w:r>
              <w:rPr>
                <w:rFonts w:ascii="宋体" w:eastAsia="宋体"/>
                <w:spacing w:val="-10"/>
                <w:sz w:val="24"/>
                <w:lang w:eastAsia="zh-CN"/>
              </w:rPr>
              <w:t>标</w:t>
            </w:r>
            <w:r>
              <w:rPr>
                <w:rFonts w:ascii="宋体" w:eastAsia="宋体"/>
                <w:spacing w:val="-24"/>
                <w:sz w:val="24"/>
                <w:lang w:eastAsia="zh-CN"/>
              </w:rPr>
              <w:t xml:space="preserve"> </w:t>
            </w:r>
            <w:r>
              <w:rPr>
                <w:rFonts w:ascii="宋体" w:eastAsia="宋体"/>
                <w:spacing w:val="-10"/>
                <w:sz w:val="24"/>
                <w:lang w:eastAsia="zh-CN"/>
              </w:rPr>
              <w:t>报</w:t>
            </w:r>
            <w:r>
              <w:rPr>
                <w:rFonts w:ascii="宋体" w:eastAsia="宋体"/>
                <w:spacing w:val="-22"/>
                <w:sz w:val="24"/>
                <w:lang w:eastAsia="zh-CN"/>
              </w:rPr>
              <w:t xml:space="preserve"> </w:t>
            </w:r>
            <w:r>
              <w:rPr>
                <w:rFonts w:ascii="宋体" w:eastAsia="宋体"/>
                <w:spacing w:val="-10"/>
                <w:sz w:val="24"/>
                <w:lang w:eastAsia="zh-CN"/>
              </w:rPr>
              <w:t>价</w:t>
            </w:r>
            <w:r>
              <w:rPr>
                <w:rFonts w:ascii="宋体" w:eastAsia="宋体"/>
                <w:spacing w:val="-22"/>
                <w:sz w:val="24"/>
                <w:lang w:eastAsia="zh-CN"/>
              </w:rPr>
              <w:t xml:space="preserve"> </w:t>
            </w:r>
            <w:r>
              <w:rPr>
                <w:rFonts w:ascii="宋体" w:eastAsia="宋体"/>
                <w:spacing w:val="-10"/>
                <w:sz w:val="24"/>
                <w:lang w:eastAsia="zh-CN"/>
              </w:rPr>
              <w:t>)</w:t>
            </w:r>
            <w:r>
              <w:rPr>
                <w:rFonts w:ascii="宋体" w:eastAsia="宋体"/>
                <w:spacing w:val="-29"/>
                <w:sz w:val="24"/>
                <w:lang w:eastAsia="zh-CN"/>
              </w:rPr>
              <w:t xml:space="preserve"> </w:t>
            </w:r>
            <w:r>
              <w:rPr>
                <w:rFonts w:ascii="宋体" w:eastAsia="宋体"/>
                <w:spacing w:val="-10"/>
                <w:sz w:val="24"/>
                <w:lang w:eastAsia="zh-CN"/>
              </w:rPr>
              <w:t>。</w:t>
            </w:r>
          </w:p>
          <w:p w14:paraId="7C78EBE3">
            <w:pPr>
              <w:pStyle w:val="180"/>
              <w:snapToGrid w:val="0"/>
              <w:spacing w:before="129" w:line="240" w:lineRule="auto"/>
              <w:ind w:left="0" w:leftChars="0" w:right="0" w:rightChars="0" w:firstLine="0" w:firstLineChars="0"/>
              <w:jc w:val="left"/>
              <w:rPr>
                <w:rFonts w:ascii="宋体" w:eastAsia="宋体"/>
                <w:sz w:val="24"/>
                <w:szCs w:val="21"/>
                <w:lang w:eastAsia="zh-CN"/>
              </w:rPr>
            </w:pPr>
            <w:r>
              <w:rPr>
                <w:rFonts w:ascii="宋体" w:eastAsia="宋体"/>
                <w:spacing w:val="-11"/>
                <w:sz w:val="24"/>
                <w:lang w:eastAsia="zh-CN"/>
              </w:rPr>
              <w:t>注 ：</w:t>
            </w:r>
            <w:r>
              <w:rPr>
                <w:rFonts w:ascii="宋体" w:eastAsia="宋体"/>
                <w:spacing w:val="-22"/>
                <w:sz w:val="24"/>
                <w:lang w:eastAsia="zh-CN"/>
              </w:rPr>
              <w:t xml:space="preserve"> </w:t>
            </w:r>
            <w:r>
              <w:rPr>
                <w:rFonts w:ascii="宋体" w:eastAsia="宋体"/>
                <w:spacing w:val="-11"/>
                <w:sz w:val="24"/>
                <w:lang w:eastAsia="zh-CN"/>
              </w:rPr>
              <w:t>得</w:t>
            </w:r>
            <w:r>
              <w:rPr>
                <w:rFonts w:ascii="宋体" w:eastAsia="宋体"/>
                <w:spacing w:val="-21"/>
                <w:sz w:val="24"/>
                <w:lang w:eastAsia="zh-CN"/>
              </w:rPr>
              <w:t xml:space="preserve"> </w:t>
            </w:r>
            <w:r>
              <w:rPr>
                <w:rFonts w:ascii="宋体" w:eastAsia="宋体"/>
                <w:spacing w:val="-11"/>
                <w:sz w:val="24"/>
                <w:lang w:eastAsia="zh-CN"/>
              </w:rPr>
              <w:t>分</w:t>
            </w:r>
            <w:r>
              <w:rPr>
                <w:rFonts w:ascii="宋体" w:eastAsia="宋体"/>
                <w:spacing w:val="-23"/>
                <w:sz w:val="24"/>
                <w:lang w:eastAsia="zh-CN"/>
              </w:rPr>
              <w:t xml:space="preserve"> </w:t>
            </w:r>
            <w:r>
              <w:rPr>
                <w:rFonts w:ascii="宋体" w:eastAsia="宋体"/>
                <w:spacing w:val="-11"/>
                <w:sz w:val="24"/>
                <w:lang w:eastAsia="zh-CN"/>
              </w:rPr>
              <w:t>值</w:t>
            </w:r>
            <w:r>
              <w:rPr>
                <w:rFonts w:ascii="宋体" w:eastAsia="宋体"/>
                <w:spacing w:val="-20"/>
                <w:sz w:val="24"/>
                <w:lang w:eastAsia="zh-CN"/>
              </w:rPr>
              <w:t xml:space="preserve"> </w:t>
            </w:r>
            <w:r>
              <w:rPr>
                <w:rFonts w:ascii="宋体" w:eastAsia="宋体"/>
                <w:spacing w:val="-11"/>
                <w:sz w:val="24"/>
                <w:lang w:eastAsia="zh-CN"/>
              </w:rPr>
              <w:t>取 小</w:t>
            </w:r>
            <w:r>
              <w:rPr>
                <w:rFonts w:ascii="宋体" w:eastAsia="宋体"/>
                <w:spacing w:val="-22"/>
                <w:sz w:val="24"/>
                <w:lang w:eastAsia="zh-CN"/>
              </w:rPr>
              <w:t xml:space="preserve"> </w:t>
            </w:r>
            <w:r>
              <w:rPr>
                <w:rFonts w:ascii="宋体" w:eastAsia="宋体"/>
                <w:spacing w:val="-11"/>
                <w:sz w:val="24"/>
                <w:lang w:eastAsia="zh-CN"/>
              </w:rPr>
              <w:t>数 点</w:t>
            </w:r>
            <w:r>
              <w:rPr>
                <w:rFonts w:ascii="宋体" w:eastAsia="宋体"/>
                <w:spacing w:val="-21"/>
                <w:sz w:val="24"/>
                <w:lang w:eastAsia="zh-CN"/>
              </w:rPr>
              <w:t xml:space="preserve"> </w:t>
            </w:r>
            <w:r>
              <w:rPr>
                <w:rFonts w:ascii="宋体" w:eastAsia="宋体"/>
                <w:spacing w:val="-11"/>
                <w:sz w:val="24"/>
                <w:lang w:eastAsia="zh-CN"/>
              </w:rPr>
              <w:t>后</w:t>
            </w:r>
            <w:r>
              <w:rPr>
                <w:rFonts w:ascii="宋体" w:eastAsia="宋体"/>
                <w:spacing w:val="-22"/>
                <w:sz w:val="24"/>
                <w:lang w:eastAsia="zh-CN"/>
              </w:rPr>
              <w:t xml:space="preserve"> </w:t>
            </w:r>
            <w:r>
              <w:rPr>
                <w:rFonts w:ascii="宋体" w:eastAsia="宋体"/>
                <w:spacing w:val="-11"/>
                <w:sz w:val="24"/>
                <w:lang w:eastAsia="zh-CN"/>
              </w:rPr>
              <w:t>两</w:t>
            </w:r>
            <w:r>
              <w:rPr>
                <w:rFonts w:ascii="宋体" w:eastAsia="宋体"/>
                <w:spacing w:val="-23"/>
                <w:sz w:val="24"/>
                <w:lang w:eastAsia="zh-CN"/>
              </w:rPr>
              <w:t xml:space="preserve"> </w:t>
            </w:r>
            <w:r>
              <w:rPr>
                <w:rFonts w:ascii="宋体" w:eastAsia="宋体"/>
                <w:spacing w:val="-11"/>
                <w:sz w:val="24"/>
                <w:lang w:eastAsia="zh-CN"/>
              </w:rPr>
              <w:t>位 ，</w:t>
            </w:r>
            <w:r>
              <w:rPr>
                <w:rFonts w:ascii="宋体" w:eastAsia="宋体"/>
                <w:spacing w:val="-20"/>
                <w:sz w:val="24"/>
                <w:lang w:eastAsia="zh-CN"/>
              </w:rPr>
              <w:t xml:space="preserve"> </w:t>
            </w:r>
            <w:r>
              <w:rPr>
                <w:rFonts w:ascii="宋体" w:eastAsia="宋体"/>
                <w:spacing w:val="-11"/>
                <w:sz w:val="24"/>
                <w:lang w:eastAsia="zh-CN"/>
              </w:rPr>
              <w:t>不</w:t>
            </w:r>
            <w:r>
              <w:rPr>
                <w:rFonts w:ascii="宋体" w:eastAsia="宋体"/>
                <w:spacing w:val="-20"/>
                <w:sz w:val="24"/>
                <w:lang w:eastAsia="zh-CN"/>
              </w:rPr>
              <w:t xml:space="preserve"> </w:t>
            </w:r>
            <w:r>
              <w:rPr>
                <w:rFonts w:ascii="宋体" w:eastAsia="宋体"/>
                <w:spacing w:val="-11"/>
                <w:sz w:val="24"/>
                <w:lang w:eastAsia="zh-CN"/>
              </w:rPr>
              <w:t>足</w:t>
            </w:r>
            <w:r>
              <w:rPr>
                <w:rFonts w:ascii="宋体" w:eastAsia="宋体"/>
                <w:spacing w:val="-20"/>
                <w:sz w:val="24"/>
                <w:lang w:eastAsia="zh-CN"/>
              </w:rPr>
              <w:t xml:space="preserve"> </w:t>
            </w:r>
            <w:r>
              <w:rPr>
                <w:rFonts w:ascii="宋体" w:eastAsia="宋体"/>
                <w:spacing w:val="-11"/>
                <w:sz w:val="24"/>
                <w:lang w:eastAsia="zh-CN"/>
              </w:rPr>
              <w:t>一</w:t>
            </w:r>
            <w:r>
              <w:rPr>
                <w:rFonts w:ascii="宋体" w:eastAsia="宋体"/>
                <w:spacing w:val="-23"/>
                <w:sz w:val="24"/>
                <w:lang w:eastAsia="zh-CN"/>
              </w:rPr>
              <w:t xml:space="preserve"> </w:t>
            </w:r>
            <w:r>
              <w:rPr>
                <w:rFonts w:ascii="宋体" w:eastAsia="宋体"/>
                <w:spacing w:val="-11"/>
                <w:sz w:val="24"/>
                <w:lang w:eastAsia="zh-CN"/>
              </w:rPr>
              <w:t>个</w:t>
            </w:r>
            <w:r>
              <w:rPr>
                <w:rFonts w:ascii="宋体" w:eastAsia="宋体"/>
                <w:spacing w:val="-17"/>
                <w:sz w:val="24"/>
                <w:lang w:eastAsia="zh-CN"/>
              </w:rPr>
              <w:t xml:space="preserve"> </w:t>
            </w:r>
            <w:r>
              <w:rPr>
                <w:rFonts w:ascii="宋体" w:eastAsia="宋体"/>
                <w:spacing w:val="-11"/>
                <w:sz w:val="24"/>
                <w:lang w:eastAsia="zh-CN"/>
              </w:rPr>
              <w:t>百</w:t>
            </w:r>
            <w:r>
              <w:rPr>
                <w:rFonts w:ascii="宋体" w:eastAsia="宋体"/>
                <w:spacing w:val="-20"/>
                <w:sz w:val="24"/>
                <w:lang w:eastAsia="zh-CN"/>
              </w:rPr>
              <w:t xml:space="preserve"> </w:t>
            </w:r>
            <w:r>
              <w:rPr>
                <w:rFonts w:ascii="宋体" w:eastAsia="宋体"/>
                <w:spacing w:val="-11"/>
                <w:sz w:val="24"/>
                <w:lang w:eastAsia="zh-CN"/>
              </w:rPr>
              <w:t>分 点</w:t>
            </w:r>
            <w:r>
              <w:rPr>
                <w:rFonts w:ascii="宋体" w:eastAsia="宋体"/>
                <w:spacing w:val="-8"/>
                <w:sz w:val="24"/>
                <w:lang w:eastAsia="zh-CN"/>
              </w:rPr>
              <w:t xml:space="preserve"> </w:t>
            </w:r>
            <w:r>
              <w:rPr>
                <w:rFonts w:ascii="宋体" w:eastAsia="宋体"/>
                <w:spacing w:val="-11"/>
                <w:sz w:val="24"/>
                <w:lang w:eastAsia="zh-CN"/>
              </w:rPr>
              <w:t>的</w:t>
            </w:r>
            <w:r>
              <w:rPr>
                <w:rFonts w:ascii="宋体" w:eastAsia="宋体"/>
                <w:spacing w:val="-9"/>
                <w:sz w:val="24"/>
                <w:lang w:eastAsia="zh-CN"/>
              </w:rPr>
              <w:t xml:space="preserve"> </w:t>
            </w:r>
            <w:r>
              <w:rPr>
                <w:rFonts w:ascii="宋体" w:eastAsia="宋体"/>
                <w:spacing w:val="-11"/>
                <w:sz w:val="24"/>
                <w:lang w:eastAsia="zh-CN"/>
              </w:rPr>
              <w:t>，</w:t>
            </w:r>
            <w:r>
              <w:rPr>
                <w:rFonts w:ascii="宋体" w:eastAsia="宋体"/>
                <w:spacing w:val="-21"/>
                <w:sz w:val="24"/>
                <w:lang w:eastAsia="zh-CN"/>
              </w:rPr>
              <w:t xml:space="preserve"> </w:t>
            </w:r>
            <w:r>
              <w:rPr>
                <w:rFonts w:ascii="宋体" w:eastAsia="宋体"/>
                <w:spacing w:val="-11"/>
                <w:sz w:val="24"/>
                <w:lang w:eastAsia="zh-CN"/>
              </w:rPr>
              <w:t>按</w:t>
            </w:r>
            <w:r>
              <w:rPr>
                <w:rFonts w:ascii="宋体" w:eastAsia="宋体"/>
                <w:spacing w:val="-17"/>
                <w:sz w:val="24"/>
                <w:lang w:eastAsia="zh-CN"/>
              </w:rPr>
              <w:t xml:space="preserve"> </w:t>
            </w:r>
            <w:r>
              <w:rPr>
                <w:rFonts w:ascii="宋体" w:eastAsia="宋体"/>
                <w:spacing w:val="-11"/>
                <w:sz w:val="24"/>
                <w:lang w:eastAsia="zh-CN"/>
              </w:rPr>
              <w:t>照 四</w:t>
            </w:r>
            <w:r>
              <w:rPr>
                <w:rFonts w:ascii="宋体" w:eastAsia="宋体"/>
                <w:spacing w:val="-22"/>
                <w:sz w:val="24"/>
                <w:lang w:eastAsia="zh-CN"/>
              </w:rPr>
              <w:t xml:space="preserve"> </w:t>
            </w:r>
            <w:r>
              <w:rPr>
                <w:rFonts w:ascii="宋体" w:eastAsia="宋体"/>
                <w:spacing w:val="-11"/>
                <w:sz w:val="24"/>
                <w:lang w:eastAsia="zh-CN"/>
              </w:rPr>
              <w:t>舍</w:t>
            </w:r>
            <w:r>
              <w:rPr>
                <w:rFonts w:ascii="宋体" w:eastAsia="宋体"/>
                <w:spacing w:val="-20"/>
                <w:sz w:val="24"/>
                <w:lang w:eastAsia="zh-CN"/>
              </w:rPr>
              <w:t xml:space="preserve"> </w:t>
            </w:r>
            <w:r>
              <w:rPr>
                <w:rFonts w:ascii="宋体" w:eastAsia="宋体"/>
                <w:spacing w:val="-12"/>
                <w:sz w:val="24"/>
                <w:lang w:eastAsia="zh-CN"/>
              </w:rPr>
              <w:t>五</w:t>
            </w:r>
            <w:r>
              <w:rPr>
                <w:rFonts w:ascii="宋体" w:eastAsia="宋体"/>
                <w:spacing w:val="-24"/>
                <w:sz w:val="24"/>
                <w:lang w:eastAsia="zh-CN"/>
              </w:rPr>
              <w:t xml:space="preserve"> </w:t>
            </w:r>
            <w:r>
              <w:rPr>
                <w:rFonts w:ascii="宋体" w:eastAsia="宋体"/>
                <w:spacing w:val="-12"/>
                <w:sz w:val="24"/>
                <w:lang w:eastAsia="zh-CN"/>
              </w:rPr>
              <w:t>入</w:t>
            </w:r>
            <w:r>
              <w:rPr>
                <w:rFonts w:ascii="宋体" w:eastAsia="宋体"/>
                <w:spacing w:val="-22"/>
                <w:sz w:val="24"/>
                <w:lang w:eastAsia="zh-CN"/>
              </w:rPr>
              <w:t xml:space="preserve"> </w:t>
            </w:r>
            <w:r>
              <w:rPr>
                <w:rFonts w:ascii="宋体" w:eastAsia="宋体"/>
                <w:spacing w:val="-12"/>
                <w:sz w:val="24"/>
                <w:lang w:eastAsia="zh-CN"/>
              </w:rPr>
              <w:t>法</w:t>
            </w:r>
            <w:r>
              <w:rPr>
                <w:rFonts w:ascii="宋体" w:eastAsia="宋体"/>
                <w:spacing w:val="-23"/>
                <w:sz w:val="24"/>
                <w:lang w:eastAsia="zh-CN"/>
              </w:rPr>
              <w:t xml:space="preserve"> </w:t>
            </w:r>
            <w:r>
              <w:rPr>
                <w:rFonts w:ascii="宋体" w:eastAsia="宋体"/>
                <w:spacing w:val="-12"/>
                <w:sz w:val="24"/>
                <w:lang w:eastAsia="zh-CN"/>
              </w:rPr>
              <w:t>计</w:t>
            </w:r>
            <w:r>
              <w:rPr>
                <w:rFonts w:ascii="宋体" w:eastAsia="宋体"/>
                <w:spacing w:val="-22"/>
                <w:sz w:val="24"/>
                <w:lang w:eastAsia="zh-CN"/>
              </w:rPr>
              <w:t xml:space="preserve"> </w:t>
            </w:r>
            <w:r>
              <w:rPr>
                <w:rFonts w:ascii="宋体" w:eastAsia="宋体"/>
                <w:spacing w:val="-12"/>
                <w:sz w:val="24"/>
                <w:lang w:eastAsia="zh-CN"/>
              </w:rPr>
              <w:t>算</w:t>
            </w:r>
            <w:r>
              <w:rPr>
                <w:rFonts w:ascii="宋体" w:eastAsia="宋体"/>
                <w:spacing w:val="-29"/>
                <w:sz w:val="24"/>
                <w:lang w:eastAsia="zh-CN"/>
              </w:rPr>
              <w:t xml:space="preserve"> </w:t>
            </w:r>
            <w:r>
              <w:rPr>
                <w:rFonts w:ascii="宋体" w:eastAsia="宋体"/>
                <w:spacing w:val="-12"/>
                <w:sz w:val="24"/>
                <w:lang w:eastAsia="zh-CN"/>
              </w:rPr>
              <w:t>。</w:t>
            </w:r>
          </w:p>
        </w:tc>
      </w:tr>
      <w:tr w14:paraId="36947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tcBorders>
              <w:top w:val="single" w:color="auto" w:sz="4" w:space="0"/>
              <w:left w:val="single" w:color="auto" w:sz="12" w:space="0"/>
              <w:bottom w:val="single" w:color="auto" w:sz="12" w:space="0"/>
              <w:right w:val="single" w:color="auto" w:sz="4" w:space="0"/>
            </w:tcBorders>
            <w:vAlign w:val="center"/>
          </w:tcPr>
          <w:p w14:paraId="240AD2A7">
            <w:pPr>
              <w:pStyle w:val="180"/>
              <w:snapToGrid w:val="0"/>
              <w:spacing w:before="237" w:line="240" w:lineRule="auto"/>
              <w:ind w:left="0" w:leftChars="0" w:right="0" w:rightChars="0" w:firstLine="0" w:firstLineChars="0"/>
              <w:jc w:val="center"/>
            </w:pPr>
            <w:r>
              <w:rPr>
                <w:spacing w:val="-3"/>
              </w:rPr>
              <w:t>综合</w:t>
            </w:r>
          </w:p>
          <w:p w14:paraId="3171EFB7">
            <w:pPr>
              <w:pStyle w:val="180"/>
              <w:snapToGrid w:val="0"/>
              <w:spacing w:before="95" w:line="240" w:lineRule="auto"/>
              <w:ind w:left="0" w:leftChars="0" w:right="0" w:rightChars="0" w:firstLine="0" w:firstLineChars="0"/>
              <w:jc w:val="center"/>
            </w:pPr>
            <w:r>
              <w:rPr>
                <w:spacing w:val="-2"/>
              </w:rPr>
              <w:t>得分</w:t>
            </w:r>
          </w:p>
        </w:tc>
        <w:tc>
          <w:tcPr>
            <w:tcW w:w="4546" w:type="dxa"/>
            <w:gridSpan w:val="5"/>
            <w:tcBorders>
              <w:top w:val="single" w:color="auto" w:sz="4" w:space="0"/>
              <w:left w:val="single" w:color="auto" w:sz="4" w:space="0"/>
              <w:bottom w:val="single" w:color="auto" w:sz="12" w:space="0"/>
              <w:right w:val="single" w:color="auto" w:sz="12" w:space="0"/>
            </w:tcBorders>
            <w:vAlign w:val="center"/>
          </w:tcPr>
          <w:p w14:paraId="0CEAB0C3">
            <w:pPr>
              <w:pStyle w:val="180"/>
              <w:snapToGrid w:val="0"/>
              <w:spacing w:before="59" w:line="240" w:lineRule="auto"/>
              <w:ind w:left="0" w:leftChars="0" w:right="0" w:rightChars="0" w:firstLine="0" w:firstLineChars="0"/>
              <w:jc w:val="center"/>
              <w:rPr>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3</w:t>
            </w:r>
            <w:r>
              <w:rPr>
                <w:spacing w:val="-31"/>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7</w:t>
            </w:r>
            <w:r>
              <w:rPr>
                <w:spacing w:val="-30"/>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p>
        </w:tc>
      </w:tr>
    </w:tbl>
    <w:p w14:paraId="41007D68">
      <w:pPr>
        <w:rPr>
          <w:rFonts w:hint="eastAsia" w:ascii="宋体" w:hAnsi="宋体" w:eastAsia="宋体" w:cs="宋体"/>
          <w:sz w:val="24"/>
          <w:szCs w:val="24"/>
        </w:rPr>
      </w:pPr>
      <w:r>
        <w:rPr>
          <w:rFonts w:hint="eastAsia" w:ascii="宋体" w:hAnsi="宋体" w:eastAsia="宋体" w:cs="宋体"/>
          <w:sz w:val="24"/>
          <w:szCs w:val="24"/>
        </w:rPr>
        <w:t>包2真空混砂机等冷却塔更新改造项目</w:t>
      </w:r>
    </w:p>
    <w:tbl>
      <w:tblPr>
        <w:tblStyle w:val="132"/>
        <w:tblW w:w="967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58"/>
        <w:gridCol w:w="682"/>
        <w:gridCol w:w="656"/>
        <w:gridCol w:w="2102"/>
        <w:gridCol w:w="532"/>
        <w:gridCol w:w="4546"/>
      </w:tblGrid>
      <w:tr w14:paraId="71EE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1158" w:type="dxa"/>
            <w:tcBorders>
              <w:top w:val="single" w:color="auto" w:sz="12" w:space="0"/>
              <w:left w:val="single" w:color="auto" w:sz="12" w:space="0"/>
              <w:bottom w:val="single" w:color="auto" w:sz="4" w:space="0"/>
              <w:right w:val="single" w:color="auto" w:sz="4" w:space="0"/>
            </w:tcBorders>
            <w:vAlign w:val="center"/>
          </w:tcPr>
          <w:p w14:paraId="460B97FD">
            <w:pPr>
              <w:pStyle w:val="180"/>
              <w:snapToGrid w:val="0"/>
              <w:spacing w:before="20" w:line="240" w:lineRule="auto"/>
              <w:ind w:left="0" w:leftChars="0" w:right="0" w:rightChars="0" w:firstLine="0" w:firstLineChars="0"/>
              <w:jc w:val="center"/>
              <w:rPr>
                <w:b/>
              </w:rPr>
            </w:pPr>
            <w:r>
              <w:rPr>
                <w:b/>
                <w:spacing w:val="-2"/>
              </w:rPr>
              <w:t>评价类型</w:t>
            </w:r>
          </w:p>
        </w:tc>
        <w:tc>
          <w:tcPr>
            <w:tcW w:w="682" w:type="dxa"/>
            <w:tcBorders>
              <w:top w:val="single" w:color="auto" w:sz="12" w:space="0"/>
              <w:left w:val="single" w:color="auto" w:sz="4" w:space="0"/>
              <w:bottom w:val="single" w:color="auto" w:sz="4" w:space="0"/>
              <w:right w:val="single" w:color="auto" w:sz="4" w:space="0"/>
            </w:tcBorders>
            <w:vAlign w:val="center"/>
          </w:tcPr>
          <w:p w14:paraId="1DB15F9E">
            <w:pPr>
              <w:pStyle w:val="180"/>
              <w:snapToGrid w:val="0"/>
              <w:spacing w:before="23" w:line="240" w:lineRule="auto"/>
              <w:ind w:left="0" w:leftChars="0" w:right="0" w:rightChars="0" w:firstLine="0" w:firstLineChars="0"/>
              <w:jc w:val="center"/>
              <w:rPr>
                <w:b/>
              </w:rPr>
            </w:pPr>
            <w:r>
              <w:rPr>
                <w:b/>
                <w:spacing w:val="7"/>
              </w:rPr>
              <w:t>评审</w:t>
            </w:r>
            <w:r>
              <w:rPr>
                <w:b/>
                <w:spacing w:val="4"/>
              </w:rPr>
              <w:t>内容</w:t>
            </w:r>
          </w:p>
        </w:tc>
        <w:tc>
          <w:tcPr>
            <w:tcW w:w="656" w:type="dxa"/>
            <w:tcBorders>
              <w:top w:val="single" w:color="auto" w:sz="12" w:space="0"/>
              <w:left w:val="single" w:color="auto" w:sz="4" w:space="0"/>
              <w:bottom w:val="single" w:color="auto" w:sz="4" w:space="0"/>
              <w:right w:val="single" w:color="auto" w:sz="4" w:space="0"/>
            </w:tcBorders>
            <w:vAlign w:val="center"/>
          </w:tcPr>
          <w:p w14:paraId="62CA17B8">
            <w:pPr>
              <w:pStyle w:val="180"/>
              <w:snapToGrid w:val="0"/>
              <w:spacing w:before="223" w:line="240" w:lineRule="auto"/>
              <w:ind w:left="0" w:leftChars="0" w:right="0" w:rightChars="0" w:firstLine="0" w:firstLineChars="0"/>
              <w:jc w:val="center"/>
              <w:rPr>
                <w:b/>
              </w:rPr>
            </w:pPr>
            <w:r>
              <w:rPr>
                <w:b/>
                <w:spacing w:val="-2"/>
              </w:rPr>
              <w:t>序号</w:t>
            </w:r>
          </w:p>
        </w:tc>
        <w:tc>
          <w:tcPr>
            <w:tcW w:w="2102" w:type="dxa"/>
            <w:tcBorders>
              <w:top w:val="single" w:color="auto" w:sz="12" w:space="0"/>
              <w:left w:val="single" w:color="auto" w:sz="4" w:space="0"/>
              <w:bottom w:val="single" w:color="auto" w:sz="4" w:space="0"/>
              <w:right w:val="single" w:color="auto" w:sz="4" w:space="0"/>
            </w:tcBorders>
            <w:vAlign w:val="center"/>
          </w:tcPr>
          <w:p w14:paraId="4ABE5E74">
            <w:pPr>
              <w:pStyle w:val="180"/>
              <w:snapToGrid w:val="0"/>
              <w:spacing w:before="222" w:line="240" w:lineRule="auto"/>
              <w:ind w:left="0" w:leftChars="0" w:right="0" w:rightChars="0" w:firstLine="0" w:firstLineChars="0"/>
              <w:jc w:val="center"/>
              <w:rPr>
                <w:b/>
              </w:rPr>
            </w:pPr>
            <w:r>
              <w:rPr>
                <w:b/>
                <w:spacing w:val="-15"/>
              </w:rPr>
              <w:t>内容</w:t>
            </w:r>
          </w:p>
        </w:tc>
        <w:tc>
          <w:tcPr>
            <w:tcW w:w="532" w:type="dxa"/>
            <w:tcBorders>
              <w:top w:val="single" w:color="auto" w:sz="12" w:space="0"/>
              <w:left w:val="single" w:color="auto" w:sz="4" w:space="0"/>
              <w:bottom w:val="single" w:color="auto" w:sz="4" w:space="0"/>
              <w:right w:val="single" w:color="auto" w:sz="4" w:space="0"/>
            </w:tcBorders>
            <w:vAlign w:val="center"/>
          </w:tcPr>
          <w:p w14:paraId="1905D28B">
            <w:pPr>
              <w:pStyle w:val="180"/>
              <w:snapToGrid w:val="0"/>
              <w:spacing w:before="33" w:line="240" w:lineRule="auto"/>
              <w:ind w:left="0" w:leftChars="0" w:right="0" w:rightChars="0" w:firstLine="0" w:firstLineChars="0"/>
              <w:jc w:val="center"/>
              <w:rPr>
                <w:b/>
              </w:rPr>
            </w:pPr>
            <w:r>
              <w:rPr>
                <w:b/>
                <w:spacing w:val="-4"/>
              </w:rPr>
              <w:t>标准</w:t>
            </w:r>
            <w:r>
              <w:rPr>
                <w:b/>
              </w:rPr>
              <w:t>分</w:t>
            </w:r>
          </w:p>
        </w:tc>
        <w:tc>
          <w:tcPr>
            <w:tcW w:w="4546" w:type="dxa"/>
            <w:tcBorders>
              <w:top w:val="single" w:color="auto" w:sz="12" w:space="0"/>
              <w:left w:val="single" w:color="auto" w:sz="4" w:space="0"/>
              <w:bottom w:val="single" w:color="auto" w:sz="4" w:space="0"/>
              <w:right w:val="single" w:color="auto" w:sz="12" w:space="0"/>
            </w:tcBorders>
            <w:vAlign w:val="center"/>
          </w:tcPr>
          <w:p w14:paraId="27F8EB69">
            <w:pPr>
              <w:pStyle w:val="180"/>
              <w:snapToGrid w:val="0"/>
              <w:spacing w:before="222" w:line="240" w:lineRule="auto"/>
              <w:ind w:left="0" w:leftChars="0" w:right="0" w:rightChars="0" w:firstLine="0" w:firstLineChars="0"/>
              <w:jc w:val="center"/>
              <w:rPr>
                <w:b/>
              </w:rPr>
            </w:pPr>
            <w:r>
              <w:rPr>
                <w:b/>
                <w:spacing w:val="-2"/>
              </w:rPr>
              <w:t>评分标准</w:t>
            </w:r>
          </w:p>
        </w:tc>
      </w:tr>
      <w:tr w14:paraId="4271D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restart"/>
            <w:tcBorders>
              <w:top w:val="single" w:color="auto" w:sz="4" w:space="0"/>
              <w:left w:val="single" w:color="auto" w:sz="12" w:space="0"/>
              <w:bottom w:val="single" w:color="auto" w:sz="4" w:space="0"/>
              <w:right w:val="single" w:color="auto" w:sz="4" w:space="0"/>
            </w:tcBorders>
            <w:vAlign w:val="center"/>
          </w:tcPr>
          <w:p w14:paraId="588DF273">
            <w:pPr>
              <w:pStyle w:val="180"/>
              <w:snapToGrid w:val="0"/>
              <w:spacing w:before="58" w:line="240" w:lineRule="auto"/>
              <w:ind w:left="0" w:leftChars="0" w:right="0" w:rightChars="0" w:firstLine="0" w:firstLineChars="0"/>
              <w:jc w:val="center"/>
              <w:rPr>
                <w:rFonts w:ascii="宋体" w:eastAsia="宋体"/>
                <w:sz w:val="24"/>
              </w:rPr>
            </w:pPr>
            <w:r>
              <w:rPr>
                <w:rFonts w:ascii="宋体" w:eastAsia="宋体"/>
                <w:spacing w:val="-4"/>
                <w:sz w:val="24"/>
              </w:rPr>
              <w:t>技术</w:t>
            </w:r>
            <w:r>
              <w:rPr>
                <w:rFonts w:ascii="宋体" w:eastAsia="宋体"/>
                <w:sz w:val="24"/>
              </w:rPr>
              <w:t xml:space="preserve"> 标</w:t>
            </w:r>
          </w:p>
          <w:p w14:paraId="27BC05B4">
            <w:pPr>
              <w:pStyle w:val="180"/>
              <w:snapToGrid w:val="0"/>
              <w:spacing w:before="34" w:line="240" w:lineRule="auto"/>
              <w:ind w:left="0" w:leftChars="0" w:right="0" w:rightChars="0" w:firstLine="0" w:firstLineChars="0"/>
              <w:jc w:val="center"/>
              <w:rPr>
                <w:rFonts w:ascii="宋体" w:eastAsia="宋体"/>
                <w:sz w:val="24"/>
              </w:rPr>
            </w:pPr>
            <w:r>
              <w:rPr>
                <w:rFonts w:ascii="宋体" w:eastAsia="宋体"/>
                <w:spacing w:val="1"/>
                <w:sz w:val="24"/>
              </w:rPr>
              <w:t>100分</w:t>
            </w:r>
          </w:p>
        </w:tc>
        <w:tc>
          <w:tcPr>
            <w:tcW w:w="682" w:type="dxa"/>
            <w:tcBorders>
              <w:top w:val="single" w:color="auto" w:sz="4" w:space="0"/>
              <w:left w:val="single" w:color="auto" w:sz="4" w:space="0"/>
              <w:bottom w:val="single" w:color="auto" w:sz="4" w:space="0"/>
              <w:right w:val="single" w:color="auto" w:sz="4" w:space="0"/>
            </w:tcBorders>
            <w:vAlign w:val="center"/>
          </w:tcPr>
          <w:p w14:paraId="4F8AB9A0">
            <w:pPr>
              <w:pStyle w:val="180"/>
              <w:snapToGrid w:val="0"/>
              <w:spacing w:before="59" w:line="240" w:lineRule="auto"/>
              <w:ind w:left="0" w:leftChars="0" w:right="0" w:rightChars="0" w:firstLine="0" w:firstLineChars="0"/>
              <w:jc w:val="left"/>
              <w:rPr>
                <w:rFonts w:ascii="宋体" w:eastAsia="宋体"/>
                <w:sz w:val="24"/>
              </w:rPr>
            </w:pPr>
            <w:r>
              <w:rPr>
                <w:rFonts w:ascii="宋体" w:eastAsia="宋体"/>
                <w:spacing w:val="-2"/>
                <w:sz w:val="24"/>
              </w:rPr>
              <w:t>业绩</w:t>
            </w:r>
          </w:p>
        </w:tc>
        <w:tc>
          <w:tcPr>
            <w:tcW w:w="656" w:type="dxa"/>
            <w:tcBorders>
              <w:top w:val="single" w:color="auto" w:sz="4" w:space="0"/>
              <w:left w:val="single" w:color="auto" w:sz="4" w:space="0"/>
              <w:bottom w:val="single" w:color="auto" w:sz="4" w:space="0"/>
              <w:right w:val="single" w:color="auto" w:sz="4" w:space="0"/>
            </w:tcBorders>
            <w:vAlign w:val="center"/>
          </w:tcPr>
          <w:p w14:paraId="670A16FA">
            <w:pPr>
              <w:pStyle w:val="180"/>
              <w:snapToGrid w:val="0"/>
              <w:spacing w:before="59" w:line="240" w:lineRule="auto"/>
              <w:ind w:left="0" w:leftChars="0" w:right="0" w:rightChars="0" w:firstLine="0" w:firstLineChars="0"/>
              <w:jc w:val="left"/>
              <w:rPr>
                <w:rFonts w:ascii="宋体" w:eastAsia="宋体"/>
                <w:sz w:val="24"/>
              </w:rPr>
            </w:pPr>
            <w:r>
              <w:rPr>
                <w:rFonts w:ascii="宋体" w:eastAsia="宋体"/>
                <w:sz w:val="24"/>
              </w:rPr>
              <w:t>1</w:t>
            </w:r>
          </w:p>
        </w:tc>
        <w:tc>
          <w:tcPr>
            <w:tcW w:w="2102" w:type="dxa"/>
            <w:tcBorders>
              <w:top w:val="single" w:color="auto" w:sz="4" w:space="0"/>
              <w:left w:val="single" w:color="auto" w:sz="4" w:space="0"/>
              <w:bottom w:val="single" w:color="auto" w:sz="4" w:space="0"/>
              <w:right w:val="single" w:color="auto" w:sz="4" w:space="0"/>
            </w:tcBorders>
            <w:vAlign w:val="center"/>
          </w:tcPr>
          <w:p w14:paraId="1DF9DFB0">
            <w:pPr>
              <w:pStyle w:val="180"/>
              <w:snapToGrid w:val="0"/>
              <w:spacing w:before="58"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设备制造商同类型项目业绩</w:t>
            </w:r>
          </w:p>
        </w:tc>
        <w:tc>
          <w:tcPr>
            <w:tcW w:w="532" w:type="dxa"/>
            <w:tcBorders>
              <w:top w:val="single" w:color="auto" w:sz="4" w:space="0"/>
              <w:left w:val="single" w:color="auto" w:sz="4" w:space="0"/>
              <w:bottom w:val="single" w:color="auto" w:sz="4" w:space="0"/>
              <w:right w:val="single" w:color="auto" w:sz="4" w:space="0"/>
            </w:tcBorders>
            <w:vAlign w:val="center"/>
          </w:tcPr>
          <w:p w14:paraId="59CE5A21">
            <w:pPr>
              <w:pStyle w:val="180"/>
              <w:snapToGrid w:val="0"/>
              <w:spacing w:before="58"/>
              <w:ind w:left="0" w:leftChars="0" w:right="0" w:rightChars="0" w:firstLine="0" w:firstLineChars="0"/>
              <w:jc w:val="left"/>
              <w:rPr>
                <w:rFonts w:ascii="宋体" w:eastAsia="宋体"/>
                <w:sz w:val="24"/>
              </w:rPr>
            </w:pPr>
            <w:r>
              <w:rPr>
                <w:rFonts w:ascii="宋体" w:eastAsia="宋体"/>
                <w:spacing w:val="-6"/>
                <w:sz w:val="24"/>
              </w:rPr>
              <w:t>10</w:t>
            </w:r>
          </w:p>
        </w:tc>
        <w:tc>
          <w:tcPr>
            <w:tcW w:w="4546" w:type="dxa"/>
            <w:tcBorders>
              <w:top w:val="single" w:color="auto" w:sz="4" w:space="0"/>
              <w:left w:val="single" w:color="auto" w:sz="4" w:space="0"/>
              <w:bottom w:val="single" w:color="auto" w:sz="4" w:space="0"/>
              <w:right w:val="single" w:color="auto" w:sz="12" w:space="0"/>
            </w:tcBorders>
            <w:vAlign w:val="center"/>
          </w:tcPr>
          <w:p w14:paraId="50D7D50A">
            <w:pPr>
              <w:pStyle w:val="180"/>
              <w:snapToGrid w:val="0"/>
              <w:spacing w:before="56"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z w:val="24"/>
                <w:lang w:eastAsia="zh-CN"/>
              </w:rPr>
              <w:t>一般进行赋分，最高10分(时间以签订日期为准),</w:t>
            </w:r>
          </w:p>
          <w:p w14:paraId="7BE095B1">
            <w:pPr>
              <w:pStyle w:val="180"/>
              <w:snapToGrid w:val="0"/>
              <w:spacing w:before="33" w:line="240" w:lineRule="auto"/>
              <w:ind w:left="0" w:leftChars="0" w:right="0" w:rightChars="0" w:firstLine="0" w:firstLineChars="0"/>
              <w:jc w:val="left"/>
              <w:rPr>
                <w:rFonts w:ascii="宋体" w:eastAsia="宋体"/>
                <w:sz w:val="24"/>
                <w:lang w:eastAsia="zh-CN"/>
              </w:rPr>
            </w:pPr>
            <w:r>
              <w:rPr>
                <w:rFonts w:ascii="宋体" w:eastAsia="宋体"/>
                <w:sz w:val="24"/>
                <w:lang w:eastAsia="zh-CN"/>
              </w:rPr>
              <w:t>投标人在2021年1月1日以来在中国与本标同类规格产品的</w:t>
            </w:r>
            <w:r>
              <w:rPr>
                <w:rFonts w:ascii="宋体" w:eastAsia="宋体"/>
                <w:spacing w:val="6"/>
                <w:sz w:val="24"/>
                <w:lang w:eastAsia="zh-CN"/>
              </w:rPr>
              <w:t xml:space="preserve">  </w:t>
            </w:r>
            <w:r>
              <w:rPr>
                <w:rFonts w:ascii="宋体" w:eastAsia="宋体"/>
                <w:spacing w:val="1"/>
                <w:sz w:val="24"/>
                <w:lang w:eastAsia="zh-CN"/>
              </w:rPr>
              <w:t>业绩，以合同复印件加盖公章为准(须有客户联系方式及联</w:t>
            </w:r>
            <w:r>
              <w:rPr>
                <w:rFonts w:ascii="宋体" w:eastAsia="宋体"/>
                <w:spacing w:val="16"/>
                <w:sz w:val="24"/>
                <w:lang w:eastAsia="zh-CN"/>
              </w:rPr>
              <w:t xml:space="preserve"> </w:t>
            </w:r>
            <w:r>
              <w:rPr>
                <w:rFonts w:ascii="宋体" w:eastAsia="宋体"/>
                <w:spacing w:val="4"/>
                <w:sz w:val="24"/>
                <w:lang w:eastAsia="zh-CN"/>
              </w:rPr>
              <w:t>系人以供招标人核实确认),</w:t>
            </w:r>
          </w:p>
        </w:tc>
      </w:tr>
      <w:tr w14:paraId="5E415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12119B30">
            <w:pPr>
              <w:snapToGrid w:val="0"/>
              <w:ind w:left="0" w:leftChars="0" w:right="0" w:rightChars="0" w:firstLine="0" w:firstLineChars="0"/>
              <w:jc w:val="center"/>
              <w:rPr>
                <w:rFonts w:ascii="宋体" w:eastAsia="宋体"/>
                <w:sz w:val="24"/>
                <w:lang w:eastAsia="zh-CN"/>
              </w:rPr>
            </w:pPr>
          </w:p>
        </w:tc>
        <w:tc>
          <w:tcPr>
            <w:tcW w:w="682" w:type="dxa"/>
            <w:vMerge w:val="restart"/>
            <w:tcBorders>
              <w:top w:val="single" w:color="auto" w:sz="4" w:space="0"/>
              <w:left w:val="single" w:color="auto" w:sz="4" w:space="0"/>
              <w:bottom w:val="single" w:color="auto" w:sz="4" w:space="0"/>
              <w:right w:val="single" w:color="auto" w:sz="4" w:space="0"/>
            </w:tcBorders>
            <w:vAlign w:val="center"/>
          </w:tcPr>
          <w:p w14:paraId="5ADD3D20">
            <w:pPr>
              <w:pStyle w:val="180"/>
              <w:snapToGrid w:val="0"/>
              <w:spacing w:before="59" w:line="240" w:lineRule="auto"/>
              <w:ind w:left="0" w:leftChars="0" w:right="0" w:rightChars="0" w:firstLine="0" w:firstLineChars="0"/>
              <w:jc w:val="left"/>
              <w:rPr>
                <w:rFonts w:ascii="宋体" w:eastAsia="宋体"/>
                <w:sz w:val="24"/>
              </w:rPr>
            </w:pPr>
            <w:r>
              <w:rPr>
                <w:rFonts w:ascii="宋体" w:eastAsia="宋体"/>
                <w:spacing w:val="9"/>
                <w:sz w:val="24"/>
              </w:rPr>
              <w:t>产品</w:t>
            </w:r>
            <w:r>
              <w:rPr>
                <w:rFonts w:ascii="宋体" w:eastAsia="宋体"/>
                <w:sz w:val="24"/>
              </w:rPr>
              <w:t xml:space="preserve"> </w:t>
            </w:r>
            <w:r>
              <w:rPr>
                <w:rFonts w:ascii="宋体" w:eastAsia="宋体"/>
                <w:spacing w:val="-2"/>
                <w:sz w:val="24"/>
              </w:rPr>
              <w:t>技术</w:t>
            </w:r>
          </w:p>
        </w:tc>
        <w:tc>
          <w:tcPr>
            <w:tcW w:w="656" w:type="dxa"/>
            <w:tcBorders>
              <w:top w:val="single" w:color="auto" w:sz="4" w:space="0"/>
              <w:left w:val="single" w:color="auto" w:sz="4" w:space="0"/>
              <w:bottom w:val="single" w:color="auto" w:sz="4" w:space="0"/>
              <w:right w:val="single" w:color="auto" w:sz="4" w:space="0"/>
            </w:tcBorders>
            <w:vAlign w:val="center"/>
          </w:tcPr>
          <w:p w14:paraId="5DEC62BE">
            <w:pPr>
              <w:pStyle w:val="180"/>
              <w:snapToGrid w:val="0"/>
              <w:spacing w:before="58" w:line="240" w:lineRule="auto"/>
              <w:ind w:left="0" w:leftChars="0" w:right="0" w:rightChars="0" w:firstLine="0" w:firstLineChars="0"/>
              <w:jc w:val="left"/>
              <w:rPr>
                <w:rFonts w:ascii="宋体" w:eastAsia="宋体"/>
                <w:sz w:val="24"/>
              </w:rPr>
            </w:pPr>
            <w:r>
              <w:rPr>
                <w:rFonts w:ascii="宋体" w:eastAsia="宋体"/>
                <w:sz w:val="24"/>
              </w:rPr>
              <w:t>2</w:t>
            </w:r>
          </w:p>
        </w:tc>
        <w:tc>
          <w:tcPr>
            <w:tcW w:w="2102" w:type="dxa"/>
            <w:tcBorders>
              <w:top w:val="single" w:color="auto" w:sz="4" w:space="0"/>
              <w:left w:val="single" w:color="auto" w:sz="4" w:space="0"/>
              <w:bottom w:val="single" w:color="auto" w:sz="4" w:space="0"/>
              <w:right w:val="single" w:color="auto" w:sz="4" w:space="0"/>
            </w:tcBorders>
            <w:vAlign w:val="center"/>
          </w:tcPr>
          <w:p w14:paraId="32C827F3">
            <w:pPr>
              <w:pStyle w:val="180"/>
              <w:snapToGrid w:val="0"/>
              <w:spacing w:before="58" w:line="240" w:lineRule="auto"/>
              <w:ind w:left="0" w:leftChars="0" w:right="0" w:rightChars="0" w:firstLine="0" w:firstLineChars="0"/>
              <w:jc w:val="left"/>
              <w:rPr>
                <w:rFonts w:ascii="宋体" w:eastAsia="宋体"/>
                <w:sz w:val="24"/>
                <w:lang w:eastAsia="zh-CN"/>
              </w:rPr>
            </w:pPr>
            <w:r>
              <w:rPr>
                <w:rFonts w:ascii="宋体" w:eastAsia="宋体"/>
                <w:sz w:val="24"/>
                <w:lang w:eastAsia="zh-CN"/>
              </w:rPr>
              <w:t>设备制造商装备制造能力、生产</w:t>
            </w:r>
            <w:r>
              <w:rPr>
                <w:rFonts w:ascii="宋体" w:eastAsia="宋体"/>
                <w:spacing w:val="10"/>
                <w:sz w:val="24"/>
                <w:lang w:eastAsia="zh-CN"/>
              </w:rPr>
              <w:t xml:space="preserve"> </w:t>
            </w:r>
            <w:r>
              <w:rPr>
                <w:rFonts w:ascii="宋体" w:eastAsia="宋体"/>
                <w:sz w:val="24"/>
                <w:lang w:eastAsia="zh-CN"/>
              </w:rPr>
              <w:t>设备、加工工艺、完善程度</w:t>
            </w:r>
          </w:p>
        </w:tc>
        <w:tc>
          <w:tcPr>
            <w:tcW w:w="532" w:type="dxa"/>
            <w:tcBorders>
              <w:top w:val="single" w:color="auto" w:sz="4" w:space="0"/>
              <w:left w:val="single" w:color="auto" w:sz="4" w:space="0"/>
              <w:bottom w:val="single" w:color="auto" w:sz="4" w:space="0"/>
              <w:right w:val="single" w:color="auto" w:sz="4" w:space="0"/>
            </w:tcBorders>
            <w:vAlign w:val="center"/>
          </w:tcPr>
          <w:p w14:paraId="5D3577B8">
            <w:pPr>
              <w:pStyle w:val="180"/>
              <w:snapToGrid w:val="0"/>
              <w:spacing w:before="59"/>
              <w:ind w:left="0" w:leftChars="0" w:right="0" w:rightChars="0" w:firstLine="0" w:firstLineChars="0"/>
              <w:jc w:val="left"/>
              <w:rPr>
                <w:rFonts w:ascii="宋体" w:eastAsia="宋体"/>
                <w:sz w:val="24"/>
              </w:rPr>
            </w:pPr>
            <w:r>
              <w:rPr>
                <w:rFonts w:ascii="宋体" w:eastAsia="宋体"/>
                <w:spacing w:val="-6"/>
                <w:sz w:val="24"/>
              </w:rPr>
              <w:t>15</w:t>
            </w:r>
          </w:p>
        </w:tc>
        <w:tc>
          <w:tcPr>
            <w:tcW w:w="4546" w:type="dxa"/>
            <w:tcBorders>
              <w:top w:val="single" w:color="auto" w:sz="4" w:space="0"/>
              <w:left w:val="single" w:color="auto" w:sz="4" w:space="0"/>
              <w:bottom w:val="single" w:color="auto" w:sz="4" w:space="0"/>
              <w:right w:val="single" w:color="auto" w:sz="12" w:space="0"/>
            </w:tcBorders>
            <w:vAlign w:val="center"/>
          </w:tcPr>
          <w:p w14:paraId="5536D07A">
            <w:pPr>
              <w:pStyle w:val="180"/>
              <w:snapToGrid w:val="0"/>
              <w:spacing w:before="57"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一般进行赋分，最高15分。</w:t>
            </w:r>
          </w:p>
        </w:tc>
      </w:tr>
      <w:tr w14:paraId="3D351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71AA89E2">
            <w:pPr>
              <w:snapToGrid w:val="0"/>
              <w:ind w:left="0" w:leftChars="0" w:right="0" w:rightChars="0" w:firstLine="0" w:firstLineChars="0"/>
              <w:jc w:val="center"/>
              <w:rPr>
                <w:rFonts w:ascii="宋体" w:eastAsia="宋体"/>
                <w:sz w:val="24"/>
                <w:lang w:eastAsia="zh-CN"/>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14:paraId="6B144DC8">
            <w:pPr>
              <w:snapToGrid w:val="0"/>
              <w:ind w:left="0" w:leftChars="0" w:right="0" w:rightChars="0" w:firstLine="0" w:firstLineChars="0"/>
              <w:jc w:val="left"/>
              <w:rPr>
                <w:rFonts w:ascii="宋体" w:eastAsia="宋体"/>
                <w:sz w:val="24"/>
                <w:lang w:eastAsia="zh-CN"/>
              </w:rPr>
            </w:pPr>
          </w:p>
        </w:tc>
        <w:tc>
          <w:tcPr>
            <w:tcW w:w="656" w:type="dxa"/>
            <w:tcBorders>
              <w:top w:val="single" w:color="auto" w:sz="4" w:space="0"/>
              <w:left w:val="single" w:color="auto" w:sz="4" w:space="0"/>
              <w:bottom w:val="single" w:color="auto" w:sz="4" w:space="0"/>
              <w:right w:val="single" w:color="auto" w:sz="4" w:space="0"/>
            </w:tcBorders>
            <w:vAlign w:val="center"/>
          </w:tcPr>
          <w:p w14:paraId="394A16DF">
            <w:pPr>
              <w:pStyle w:val="180"/>
              <w:snapToGrid w:val="0"/>
              <w:spacing w:before="58"/>
              <w:ind w:left="0" w:leftChars="0" w:right="0" w:rightChars="0" w:firstLine="0" w:firstLineChars="0"/>
              <w:jc w:val="left"/>
              <w:rPr>
                <w:rFonts w:ascii="宋体" w:eastAsia="宋体"/>
                <w:sz w:val="24"/>
              </w:rPr>
            </w:pPr>
            <w:r>
              <w:rPr>
                <w:rFonts w:ascii="宋体" w:eastAsia="宋体"/>
                <w:sz w:val="24"/>
              </w:rPr>
              <w:t>3</w:t>
            </w:r>
          </w:p>
        </w:tc>
        <w:tc>
          <w:tcPr>
            <w:tcW w:w="2102" w:type="dxa"/>
            <w:tcBorders>
              <w:top w:val="single" w:color="auto" w:sz="4" w:space="0"/>
              <w:left w:val="single" w:color="auto" w:sz="4" w:space="0"/>
              <w:bottom w:val="single" w:color="auto" w:sz="4" w:space="0"/>
              <w:right w:val="single" w:color="auto" w:sz="4" w:space="0"/>
            </w:tcBorders>
            <w:vAlign w:val="center"/>
          </w:tcPr>
          <w:p w14:paraId="2B602014">
            <w:pPr>
              <w:pStyle w:val="180"/>
              <w:snapToGrid w:val="0"/>
              <w:spacing w:before="59" w:line="240" w:lineRule="auto"/>
              <w:ind w:left="0" w:leftChars="0" w:right="0" w:rightChars="0" w:firstLine="0" w:firstLineChars="0"/>
              <w:jc w:val="left"/>
              <w:rPr>
                <w:rFonts w:ascii="宋体" w:eastAsia="宋体"/>
                <w:sz w:val="24"/>
                <w:lang w:eastAsia="zh-CN"/>
              </w:rPr>
            </w:pPr>
            <w:r>
              <w:rPr>
                <w:rFonts w:ascii="宋体" w:eastAsia="宋体"/>
                <w:spacing w:val="-5"/>
                <w:sz w:val="24"/>
                <w:lang w:eastAsia="zh-CN"/>
              </w:rPr>
              <w:t>产品方案技术先进、各系统完善、</w:t>
            </w:r>
            <w:r>
              <w:rPr>
                <w:rFonts w:ascii="宋体" w:eastAsia="宋体"/>
                <w:spacing w:val="8"/>
                <w:sz w:val="24"/>
                <w:lang w:eastAsia="zh-CN"/>
              </w:rPr>
              <w:t xml:space="preserve"> </w:t>
            </w:r>
            <w:r>
              <w:rPr>
                <w:rFonts w:ascii="宋体" w:eastAsia="宋体"/>
                <w:spacing w:val="-6"/>
                <w:sz w:val="24"/>
                <w:lang w:eastAsia="zh-CN"/>
              </w:rPr>
              <w:t>性能可靠，设备主要核心部件</w:t>
            </w:r>
          </w:p>
          <w:p w14:paraId="3419CD85">
            <w:pPr>
              <w:pStyle w:val="180"/>
              <w:snapToGrid w:val="0"/>
              <w:spacing w:line="240" w:lineRule="auto"/>
              <w:ind w:left="0" w:leftChars="0" w:right="0" w:rightChars="0" w:firstLine="0" w:firstLineChars="0"/>
              <w:jc w:val="left"/>
              <w:rPr>
                <w:rFonts w:ascii="宋体" w:eastAsia="宋体"/>
                <w:sz w:val="24"/>
              </w:rPr>
            </w:pPr>
            <w:r>
              <w:rPr>
                <w:rFonts w:ascii="宋体" w:eastAsia="宋体"/>
                <w:spacing w:val="1"/>
                <w:sz w:val="24"/>
              </w:rPr>
              <w:t>具备自身技术优势</w:t>
            </w:r>
          </w:p>
        </w:tc>
        <w:tc>
          <w:tcPr>
            <w:tcW w:w="532" w:type="dxa"/>
            <w:tcBorders>
              <w:top w:val="single" w:color="auto" w:sz="4" w:space="0"/>
              <w:left w:val="single" w:color="auto" w:sz="4" w:space="0"/>
              <w:bottom w:val="single" w:color="auto" w:sz="4" w:space="0"/>
              <w:right w:val="single" w:color="auto" w:sz="4" w:space="0"/>
            </w:tcBorders>
            <w:vAlign w:val="center"/>
          </w:tcPr>
          <w:p w14:paraId="2A9682C1">
            <w:pPr>
              <w:pStyle w:val="180"/>
              <w:snapToGrid w:val="0"/>
              <w:spacing w:before="58"/>
              <w:ind w:left="0" w:leftChars="0" w:right="0" w:rightChars="0" w:firstLine="0" w:firstLineChars="0"/>
              <w:jc w:val="left"/>
              <w:rPr>
                <w:rFonts w:ascii="宋体" w:eastAsia="宋体"/>
                <w:sz w:val="24"/>
              </w:rPr>
            </w:pPr>
            <w:r>
              <w:rPr>
                <w:rFonts w:ascii="宋体" w:eastAsia="宋体"/>
                <w:spacing w:val="-2"/>
                <w:sz w:val="24"/>
              </w:rPr>
              <w:t>40</w:t>
            </w:r>
          </w:p>
        </w:tc>
        <w:tc>
          <w:tcPr>
            <w:tcW w:w="4546" w:type="dxa"/>
            <w:tcBorders>
              <w:top w:val="single" w:color="auto" w:sz="4" w:space="0"/>
              <w:left w:val="single" w:color="auto" w:sz="4" w:space="0"/>
              <w:bottom w:val="single" w:color="auto" w:sz="4" w:space="0"/>
              <w:right w:val="single" w:color="auto" w:sz="12" w:space="0"/>
            </w:tcBorders>
            <w:vAlign w:val="center"/>
          </w:tcPr>
          <w:p w14:paraId="2E0D664B">
            <w:pPr>
              <w:pStyle w:val="180"/>
              <w:snapToGrid w:val="0"/>
              <w:spacing w:before="58"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以下各项由评标委员会成员独立进行客观、公正的评价打分。</w:t>
            </w:r>
            <w:r>
              <w:rPr>
                <w:rFonts w:ascii="宋体" w:eastAsia="宋体"/>
                <w:spacing w:val="15"/>
                <w:sz w:val="24"/>
                <w:lang w:eastAsia="zh-CN"/>
              </w:rPr>
              <w:t xml:space="preserve"> </w:t>
            </w:r>
            <w:r>
              <w:rPr>
                <w:rFonts w:ascii="宋体" w:eastAsia="宋体"/>
                <w:spacing w:val="1"/>
                <w:sz w:val="24"/>
                <w:lang w:eastAsia="zh-CN"/>
              </w:rPr>
              <w:t>投标文件中技术方案、软硬件配置、处理工艺、设施明细、</w:t>
            </w:r>
            <w:r>
              <w:rPr>
                <w:rFonts w:ascii="宋体" w:eastAsia="宋体"/>
                <w:spacing w:val="10"/>
                <w:sz w:val="24"/>
                <w:lang w:eastAsia="zh-CN"/>
              </w:rPr>
              <w:t xml:space="preserve"> </w:t>
            </w:r>
            <w:r>
              <w:rPr>
                <w:rFonts w:ascii="宋体" w:eastAsia="宋体"/>
                <w:spacing w:val="-1"/>
                <w:sz w:val="24"/>
                <w:lang w:eastAsia="zh-CN"/>
              </w:rPr>
              <w:t>技术参数、综合性能、控制方案等的先进性、符合性、适用</w:t>
            </w:r>
            <w:r>
              <w:rPr>
                <w:rFonts w:ascii="宋体" w:eastAsia="宋体"/>
                <w:spacing w:val="1"/>
                <w:sz w:val="24"/>
                <w:lang w:eastAsia="zh-CN"/>
              </w:rPr>
              <w:t xml:space="preserve">  </w:t>
            </w:r>
            <w:r>
              <w:rPr>
                <w:rFonts w:ascii="宋体" w:eastAsia="宋体"/>
                <w:spacing w:val="-3"/>
                <w:sz w:val="24"/>
                <w:lang w:eastAsia="zh-CN"/>
              </w:rPr>
              <w:t>性进行分析比较、评议、综合打分，按照优、良、一般进行</w:t>
            </w:r>
            <w:r>
              <w:rPr>
                <w:rFonts w:ascii="宋体" w:eastAsia="宋体"/>
                <w:spacing w:val="5"/>
                <w:sz w:val="24"/>
                <w:lang w:eastAsia="zh-CN"/>
              </w:rPr>
              <w:t xml:space="preserve">   </w:t>
            </w:r>
            <w:r>
              <w:rPr>
                <w:rFonts w:ascii="宋体" w:eastAsia="宋体"/>
                <w:spacing w:val="-2"/>
                <w:sz w:val="24"/>
                <w:lang w:eastAsia="zh-CN"/>
              </w:rPr>
              <w:t>赋分，最高40分。</w:t>
            </w:r>
          </w:p>
        </w:tc>
      </w:tr>
      <w:tr w14:paraId="5C82A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6BD4F503">
            <w:pPr>
              <w:snapToGrid w:val="0"/>
              <w:ind w:left="0" w:leftChars="0" w:right="0" w:rightChars="0" w:firstLine="0" w:firstLineChars="0"/>
              <w:jc w:val="center"/>
              <w:rPr>
                <w:rFonts w:ascii="宋体" w:eastAsia="宋体"/>
                <w:sz w:val="24"/>
                <w:lang w:eastAsia="zh-CN"/>
              </w:rPr>
            </w:pPr>
          </w:p>
        </w:tc>
        <w:tc>
          <w:tcPr>
            <w:tcW w:w="682" w:type="dxa"/>
            <w:tcBorders>
              <w:top w:val="single" w:color="auto" w:sz="4" w:space="0"/>
              <w:left w:val="single" w:color="auto" w:sz="4" w:space="0"/>
              <w:bottom w:val="single" w:color="auto" w:sz="4" w:space="0"/>
              <w:right w:val="single" w:color="auto" w:sz="4" w:space="0"/>
            </w:tcBorders>
            <w:vAlign w:val="center"/>
          </w:tcPr>
          <w:p w14:paraId="601E3633">
            <w:pPr>
              <w:pStyle w:val="180"/>
              <w:snapToGrid w:val="0"/>
              <w:spacing w:before="220" w:line="240" w:lineRule="auto"/>
              <w:ind w:left="0" w:leftChars="0" w:right="0" w:rightChars="0" w:firstLine="0" w:firstLineChars="0"/>
              <w:jc w:val="left"/>
              <w:rPr>
                <w:rFonts w:ascii="宋体" w:eastAsia="宋体"/>
                <w:sz w:val="24"/>
              </w:rPr>
            </w:pPr>
            <w:r>
              <w:rPr>
                <w:rFonts w:ascii="宋体" w:eastAsia="宋体"/>
                <w:spacing w:val="-2"/>
                <w:sz w:val="24"/>
              </w:rPr>
              <w:t>答疑</w:t>
            </w:r>
          </w:p>
        </w:tc>
        <w:tc>
          <w:tcPr>
            <w:tcW w:w="656" w:type="dxa"/>
            <w:tcBorders>
              <w:top w:val="single" w:color="auto" w:sz="4" w:space="0"/>
              <w:left w:val="single" w:color="auto" w:sz="4" w:space="0"/>
              <w:bottom w:val="single" w:color="auto" w:sz="4" w:space="0"/>
              <w:right w:val="single" w:color="auto" w:sz="4" w:space="0"/>
            </w:tcBorders>
            <w:vAlign w:val="center"/>
          </w:tcPr>
          <w:p w14:paraId="2B1871A5">
            <w:pPr>
              <w:pStyle w:val="180"/>
              <w:snapToGrid w:val="0"/>
              <w:spacing w:before="238" w:line="240" w:lineRule="auto"/>
              <w:ind w:left="0" w:leftChars="0" w:right="0" w:rightChars="0" w:firstLine="0" w:firstLineChars="0"/>
              <w:jc w:val="left"/>
              <w:rPr>
                <w:rFonts w:ascii="宋体" w:eastAsia="宋体"/>
                <w:sz w:val="24"/>
              </w:rPr>
            </w:pPr>
            <w:r>
              <w:rPr>
                <w:rFonts w:ascii="宋体" w:eastAsia="宋体"/>
                <w:sz w:val="24"/>
              </w:rPr>
              <w:t>4</w:t>
            </w:r>
          </w:p>
        </w:tc>
        <w:tc>
          <w:tcPr>
            <w:tcW w:w="2102" w:type="dxa"/>
            <w:tcBorders>
              <w:top w:val="single" w:color="auto" w:sz="4" w:space="0"/>
              <w:left w:val="single" w:color="auto" w:sz="4" w:space="0"/>
              <w:bottom w:val="single" w:color="auto" w:sz="4" w:space="0"/>
              <w:right w:val="single" w:color="auto" w:sz="4" w:space="0"/>
            </w:tcBorders>
            <w:vAlign w:val="center"/>
          </w:tcPr>
          <w:p w14:paraId="69D107D6">
            <w:pPr>
              <w:pStyle w:val="180"/>
              <w:snapToGrid w:val="0"/>
              <w:spacing w:before="220" w:line="240" w:lineRule="auto"/>
              <w:ind w:left="0" w:leftChars="0" w:right="0" w:rightChars="0" w:firstLine="0" w:firstLineChars="0"/>
              <w:jc w:val="left"/>
              <w:rPr>
                <w:rFonts w:ascii="宋体" w:eastAsia="宋体"/>
                <w:sz w:val="24"/>
              </w:rPr>
            </w:pPr>
            <w:r>
              <w:rPr>
                <w:rFonts w:ascii="宋体" w:eastAsia="宋体"/>
                <w:spacing w:val="-2"/>
                <w:sz w:val="24"/>
              </w:rPr>
              <w:t>现场答疑</w:t>
            </w:r>
          </w:p>
        </w:tc>
        <w:tc>
          <w:tcPr>
            <w:tcW w:w="532" w:type="dxa"/>
            <w:tcBorders>
              <w:top w:val="single" w:color="auto" w:sz="4" w:space="0"/>
              <w:left w:val="single" w:color="auto" w:sz="4" w:space="0"/>
              <w:bottom w:val="single" w:color="auto" w:sz="4" w:space="0"/>
              <w:right w:val="single" w:color="auto" w:sz="4" w:space="0"/>
            </w:tcBorders>
            <w:vAlign w:val="center"/>
          </w:tcPr>
          <w:p w14:paraId="3E1F0A8B">
            <w:pPr>
              <w:pStyle w:val="180"/>
              <w:snapToGrid w:val="0"/>
              <w:spacing w:before="237"/>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344CE4E6">
            <w:pPr>
              <w:pStyle w:val="180"/>
              <w:snapToGrid w:val="0"/>
              <w:spacing w:before="59" w:line="240" w:lineRule="auto"/>
              <w:ind w:left="0" w:leftChars="0" w:right="0" w:rightChars="0" w:firstLine="0" w:firstLineChars="0"/>
              <w:jc w:val="left"/>
              <w:rPr>
                <w:rFonts w:ascii="宋体" w:eastAsia="宋体"/>
                <w:sz w:val="24"/>
                <w:lang w:eastAsia="zh-CN"/>
              </w:rPr>
            </w:pPr>
            <w:r>
              <w:rPr>
                <w:rFonts w:ascii="宋体" w:eastAsia="宋体"/>
                <w:sz w:val="24"/>
                <w:lang w:eastAsia="zh-CN"/>
              </w:rPr>
              <w:t>投标人代表对方案、技术优势的讲解，以及就该项目难点回</w:t>
            </w:r>
            <w:r>
              <w:rPr>
                <w:rFonts w:ascii="宋体" w:eastAsia="宋体"/>
                <w:spacing w:val="18"/>
                <w:sz w:val="24"/>
                <w:lang w:eastAsia="zh-CN"/>
              </w:rPr>
              <w:t xml:space="preserve"> </w:t>
            </w:r>
            <w:r>
              <w:rPr>
                <w:rFonts w:ascii="宋体" w:eastAsia="宋体"/>
                <w:sz w:val="24"/>
                <w:lang w:eastAsia="zh-CN"/>
              </w:rPr>
              <w:t>答评标专家现场提问，打分0-5分。</w:t>
            </w:r>
          </w:p>
        </w:tc>
      </w:tr>
      <w:tr w14:paraId="53880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4220CE5E">
            <w:pPr>
              <w:snapToGrid w:val="0"/>
              <w:ind w:left="0" w:leftChars="0" w:right="0" w:rightChars="0" w:firstLine="0" w:firstLineChars="0"/>
              <w:jc w:val="center"/>
              <w:rPr>
                <w:rFonts w:ascii="宋体" w:eastAsia="宋体"/>
                <w:sz w:val="24"/>
                <w:lang w:eastAsia="zh-CN"/>
              </w:rPr>
            </w:pPr>
          </w:p>
        </w:tc>
        <w:tc>
          <w:tcPr>
            <w:tcW w:w="682" w:type="dxa"/>
            <w:tcBorders>
              <w:top w:val="single" w:color="auto" w:sz="4" w:space="0"/>
              <w:left w:val="single" w:color="auto" w:sz="4" w:space="0"/>
              <w:bottom w:val="single" w:color="auto" w:sz="4" w:space="0"/>
              <w:right w:val="single" w:color="auto" w:sz="4" w:space="0"/>
            </w:tcBorders>
            <w:vAlign w:val="center"/>
          </w:tcPr>
          <w:p w14:paraId="4041328C">
            <w:pPr>
              <w:pStyle w:val="180"/>
              <w:snapToGrid w:val="0"/>
              <w:spacing w:before="58" w:line="240" w:lineRule="auto"/>
              <w:ind w:left="0" w:leftChars="0" w:right="0" w:rightChars="0" w:firstLine="0" w:firstLineChars="0"/>
              <w:jc w:val="left"/>
              <w:rPr>
                <w:rFonts w:ascii="宋体" w:eastAsia="宋体"/>
                <w:sz w:val="24"/>
              </w:rPr>
            </w:pPr>
            <w:r>
              <w:rPr>
                <w:rFonts w:ascii="宋体" w:eastAsia="宋体"/>
                <w:spacing w:val="-2"/>
                <w:sz w:val="24"/>
              </w:rPr>
              <w:t>技术</w:t>
            </w:r>
          </w:p>
          <w:p w14:paraId="63F3C5A6">
            <w:pPr>
              <w:pStyle w:val="180"/>
              <w:snapToGrid w:val="0"/>
              <w:spacing w:before="116" w:line="240" w:lineRule="auto"/>
              <w:ind w:left="0" w:leftChars="0" w:right="0" w:rightChars="0" w:firstLine="0" w:firstLineChars="0"/>
              <w:jc w:val="left"/>
              <w:rPr>
                <w:rFonts w:ascii="宋体" w:eastAsia="宋体"/>
                <w:sz w:val="24"/>
              </w:rPr>
            </w:pPr>
            <w:r>
              <w:rPr>
                <w:rFonts w:ascii="宋体" w:eastAsia="宋体"/>
                <w:spacing w:val="-2"/>
                <w:sz w:val="24"/>
              </w:rPr>
              <w:t>偏离</w:t>
            </w:r>
          </w:p>
        </w:tc>
        <w:tc>
          <w:tcPr>
            <w:tcW w:w="656" w:type="dxa"/>
            <w:tcBorders>
              <w:top w:val="single" w:color="auto" w:sz="4" w:space="0"/>
              <w:left w:val="single" w:color="auto" w:sz="4" w:space="0"/>
              <w:bottom w:val="single" w:color="auto" w:sz="4" w:space="0"/>
              <w:right w:val="single" w:color="auto" w:sz="4" w:space="0"/>
            </w:tcBorders>
            <w:vAlign w:val="center"/>
          </w:tcPr>
          <w:p w14:paraId="0652483A">
            <w:pPr>
              <w:pStyle w:val="180"/>
              <w:snapToGrid w:val="0"/>
              <w:spacing w:before="58"/>
              <w:ind w:left="0" w:leftChars="0" w:right="0" w:rightChars="0" w:firstLine="0" w:firstLineChars="0"/>
              <w:jc w:val="left"/>
              <w:rPr>
                <w:rFonts w:ascii="宋体" w:eastAsia="宋体"/>
                <w:sz w:val="24"/>
              </w:rPr>
            </w:pPr>
            <w:r>
              <w:rPr>
                <w:rFonts w:ascii="宋体" w:eastAsia="宋体"/>
                <w:sz w:val="24"/>
              </w:rPr>
              <w:t>5</w:t>
            </w:r>
          </w:p>
        </w:tc>
        <w:tc>
          <w:tcPr>
            <w:tcW w:w="2102" w:type="dxa"/>
            <w:tcBorders>
              <w:top w:val="single" w:color="auto" w:sz="4" w:space="0"/>
              <w:left w:val="single" w:color="auto" w:sz="4" w:space="0"/>
              <w:bottom w:val="single" w:color="auto" w:sz="4" w:space="0"/>
              <w:right w:val="single" w:color="auto" w:sz="4" w:space="0"/>
            </w:tcBorders>
            <w:vAlign w:val="center"/>
          </w:tcPr>
          <w:p w14:paraId="0A231FE0">
            <w:pPr>
              <w:pStyle w:val="180"/>
              <w:snapToGrid w:val="0"/>
              <w:spacing w:before="58" w:line="240" w:lineRule="auto"/>
              <w:ind w:left="0" w:leftChars="0" w:right="0" w:rightChars="0" w:firstLine="0" w:firstLineChars="0"/>
              <w:jc w:val="left"/>
              <w:rPr>
                <w:rFonts w:ascii="宋体" w:eastAsia="宋体"/>
                <w:sz w:val="24"/>
              </w:rPr>
            </w:pPr>
            <w:r>
              <w:rPr>
                <w:rFonts w:ascii="宋体" w:eastAsia="宋体"/>
                <w:spacing w:val="-2"/>
                <w:sz w:val="24"/>
              </w:rPr>
              <w:t>技术偏离</w:t>
            </w:r>
          </w:p>
        </w:tc>
        <w:tc>
          <w:tcPr>
            <w:tcW w:w="532" w:type="dxa"/>
            <w:tcBorders>
              <w:top w:val="single" w:color="auto" w:sz="4" w:space="0"/>
              <w:left w:val="single" w:color="auto" w:sz="4" w:space="0"/>
              <w:bottom w:val="single" w:color="auto" w:sz="4" w:space="0"/>
              <w:right w:val="single" w:color="auto" w:sz="4" w:space="0"/>
            </w:tcBorders>
            <w:vAlign w:val="center"/>
          </w:tcPr>
          <w:p w14:paraId="69F680DE">
            <w:pPr>
              <w:pStyle w:val="180"/>
              <w:snapToGrid w:val="0"/>
              <w:spacing w:before="58"/>
              <w:ind w:left="0" w:leftChars="0" w:right="0" w:rightChars="0" w:firstLine="0" w:firstLineChars="0"/>
              <w:jc w:val="left"/>
              <w:rPr>
                <w:rFonts w:ascii="宋体" w:eastAsia="宋体"/>
                <w:sz w:val="24"/>
              </w:rPr>
            </w:pPr>
            <w:r>
              <w:rPr>
                <w:rFonts w:ascii="宋体" w:eastAsia="宋体"/>
                <w:spacing w:val="-6"/>
                <w:sz w:val="24"/>
              </w:rPr>
              <w:t>15</w:t>
            </w:r>
          </w:p>
        </w:tc>
        <w:tc>
          <w:tcPr>
            <w:tcW w:w="4546" w:type="dxa"/>
            <w:tcBorders>
              <w:top w:val="single" w:color="auto" w:sz="4" w:space="0"/>
              <w:left w:val="single" w:color="auto" w:sz="4" w:space="0"/>
              <w:bottom w:val="single" w:color="auto" w:sz="4" w:space="0"/>
              <w:right w:val="single" w:color="auto" w:sz="12" w:space="0"/>
            </w:tcBorders>
            <w:vAlign w:val="center"/>
          </w:tcPr>
          <w:p w14:paraId="5F283368">
            <w:pPr>
              <w:pStyle w:val="180"/>
              <w:snapToGrid w:val="0"/>
              <w:spacing w:before="59" w:line="240" w:lineRule="auto"/>
              <w:ind w:left="0" w:leftChars="0" w:right="0" w:rightChars="0" w:firstLine="0" w:firstLineChars="0"/>
              <w:jc w:val="left"/>
              <w:rPr>
                <w:rFonts w:ascii="宋体" w:eastAsia="宋体"/>
                <w:sz w:val="24"/>
                <w:lang w:eastAsia="zh-CN"/>
              </w:rPr>
            </w:pPr>
            <w:r>
              <w:rPr>
                <w:rFonts w:ascii="宋体" w:eastAsia="宋体"/>
                <w:sz w:val="24"/>
                <w:lang w:eastAsia="zh-CN"/>
              </w:rPr>
              <w:t>由评标委员会成员独立进行客观、公正的评价，根据各投标</w:t>
            </w:r>
            <w:r>
              <w:rPr>
                <w:rFonts w:ascii="宋体" w:eastAsia="宋体"/>
                <w:spacing w:val="6"/>
                <w:sz w:val="24"/>
                <w:lang w:eastAsia="zh-CN"/>
              </w:rPr>
              <w:t xml:space="preserve"> </w:t>
            </w:r>
            <w:r>
              <w:rPr>
                <w:rFonts w:ascii="宋体" w:eastAsia="宋体"/>
                <w:sz w:val="24"/>
                <w:lang w:eastAsia="zh-CN"/>
              </w:rPr>
              <w:t>单位的核心产品的配置参数、技术偏离情况，在满足我司技</w:t>
            </w:r>
            <w:r>
              <w:rPr>
                <w:rFonts w:ascii="宋体" w:eastAsia="宋体"/>
                <w:spacing w:val="10"/>
                <w:sz w:val="24"/>
                <w:lang w:eastAsia="zh-CN"/>
              </w:rPr>
              <w:t xml:space="preserve"> </w:t>
            </w:r>
            <w:r>
              <w:rPr>
                <w:rFonts w:ascii="宋体" w:eastAsia="宋体"/>
                <w:spacing w:val="-1"/>
                <w:sz w:val="24"/>
                <w:lang w:eastAsia="zh-CN"/>
              </w:rPr>
              <w:t>术基本要求的前提下偏离，无偏离得满分15分，较大偏离每</w:t>
            </w:r>
            <w:r>
              <w:rPr>
                <w:rFonts w:ascii="宋体" w:eastAsia="宋体"/>
                <w:spacing w:val="17"/>
                <w:sz w:val="24"/>
                <w:lang w:eastAsia="zh-CN"/>
              </w:rPr>
              <w:t xml:space="preserve"> </w:t>
            </w:r>
            <w:r>
              <w:rPr>
                <w:rFonts w:ascii="宋体" w:eastAsia="宋体"/>
                <w:sz w:val="24"/>
                <w:lang w:eastAsia="zh-CN"/>
              </w:rPr>
              <w:t>一项扣3分，一般偏离每一项扣2分，最低得分0分。</w:t>
            </w:r>
          </w:p>
        </w:tc>
      </w:tr>
      <w:tr w14:paraId="30DEE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1D7933DC">
            <w:pPr>
              <w:snapToGrid w:val="0"/>
              <w:ind w:left="0" w:leftChars="0" w:right="0" w:rightChars="0" w:firstLine="0" w:firstLineChars="0"/>
              <w:jc w:val="center"/>
              <w:rPr>
                <w:rFonts w:ascii="宋体" w:eastAsia="宋体"/>
                <w:sz w:val="24"/>
                <w:lang w:eastAsia="zh-CN"/>
              </w:rPr>
            </w:pPr>
          </w:p>
        </w:tc>
        <w:tc>
          <w:tcPr>
            <w:tcW w:w="682" w:type="dxa"/>
            <w:vMerge w:val="restart"/>
            <w:tcBorders>
              <w:top w:val="single" w:color="auto" w:sz="4" w:space="0"/>
              <w:left w:val="single" w:color="auto" w:sz="4" w:space="0"/>
              <w:bottom w:val="single" w:color="auto" w:sz="4" w:space="0"/>
              <w:right w:val="single" w:color="auto" w:sz="4" w:space="0"/>
            </w:tcBorders>
            <w:vAlign w:val="center"/>
          </w:tcPr>
          <w:p w14:paraId="6A223EAA">
            <w:pPr>
              <w:pStyle w:val="180"/>
              <w:snapToGrid w:val="0"/>
              <w:spacing w:before="58" w:line="240" w:lineRule="auto"/>
              <w:ind w:left="0" w:leftChars="0" w:right="0" w:rightChars="0" w:firstLine="0" w:firstLineChars="0"/>
              <w:jc w:val="left"/>
              <w:rPr>
                <w:rFonts w:ascii="宋体" w:eastAsia="宋体"/>
                <w:sz w:val="24"/>
              </w:rPr>
            </w:pPr>
            <w:r>
              <w:rPr>
                <w:rFonts w:ascii="宋体" w:eastAsia="宋体"/>
                <w:spacing w:val="6"/>
                <w:sz w:val="24"/>
              </w:rPr>
              <w:t>售后</w:t>
            </w:r>
            <w:r>
              <w:rPr>
                <w:rFonts w:ascii="宋体" w:eastAsia="宋体"/>
                <w:sz w:val="24"/>
              </w:rPr>
              <w:t xml:space="preserve"> </w:t>
            </w:r>
            <w:r>
              <w:rPr>
                <w:rFonts w:ascii="宋体" w:eastAsia="宋体"/>
                <w:spacing w:val="-2"/>
                <w:sz w:val="24"/>
              </w:rPr>
              <w:t>服务</w:t>
            </w:r>
          </w:p>
        </w:tc>
        <w:tc>
          <w:tcPr>
            <w:tcW w:w="656" w:type="dxa"/>
            <w:tcBorders>
              <w:top w:val="single" w:color="auto" w:sz="4" w:space="0"/>
              <w:left w:val="single" w:color="auto" w:sz="4" w:space="0"/>
              <w:bottom w:val="single" w:color="auto" w:sz="4" w:space="0"/>
              <w:right w:val="single" w:color="auto" w:sz="4" w:space="0"/>
            </w:tcBorders>
            <w:vAlign w:val="center"/>
          </w:tcPr>
          <w:p w14:paraId="39127242">
            <w:pPr>
              <w:pStyle w:val="180"/>
              <w:snapToGrid w:val="0"/>
              <w:spacing w:before="58"/>
              <w:ind w:left="0" w:leftChars="0" w:right="0" w:rightChars="0" w:firstLine="0" w:firstLineChars="0"/>
              <w:jc w:val="left"/>
              <w:rPr>
                <w:rFonts w:ascii="宋体" w:eastAsia="宋体"/>
                <w:sz w:val="24"/>
              </w:rPr>
            </w:pPr>
            <w:r>
              <w:rPr>
                <w:rFonts w:ascii="宋体" w:eastAsia="宋体"/>
                <w:sz w:val="24"/>
              </w:rPr>
              <w:t>6</w:t>
            </w:r>
          </w:p>
        </w:tc>
        <w:tc>
          <w:tcPr>
            <w:tcW w:w="2102" w:type="dxa"/>
            <w:tcBorders>
              <w:top w:val="single" w:color="auto" w:sz="4" w:space="0"/>
              <w:left w:val="single" w:color="auto" w:sz="4" w:space="0"/>
              <w:bottom w:val="single" w:color="auto" w:sz="4" w:space="0"/>
              <w:right w:val="single" w:color="auto" w:sz="4" w:space="0"/>
            </w:tcBorders>
            <w:vAlign w:val="center"/>
          </w:tcPr>
          <w:p w14:paraId="3B55C3EE">
            <w:pPr>
              <w:pStyle w:val="180"/>
              <w:snapToGrid w:val="0"/>
              <w:spacing w:before="80"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技术培训方案：对采购方人员的</w:t>
            </w:r>
            <w:r>
              <w:rPr>
                <w:rFonts w:ascii="宋体" w:eastAsia="宋体"/>
                <w:sz w:val="24"/>
                <w:lang w:eastAsia="zh-CN"/>
              </w:rPr>
              <w:t xml:space="preserve">  </w:t>
            </w:r>
            <w:r>
              <w:rPr>
                <w:rFonts w:ascii="宋体" w:eastAsia="宋体"/>
                <w:spacing w:val="6"/>
                <w:sz w:val="24"/>
                <w:lang w:eastAsia="zh-CN"/>
              </w:rPr>
              <w:t>技术培训方案安排科学、合理、</w:t>
            </w:r>
            <w:r>
              <w:rPr>
                <w:rFonts w:ascii="宋体" w:eastAsia="宋体"/>
                <w:spacing w:val="4"/>
                <w:sz w:val="24"/>
                <w:lang w:eastAsia="zh-CN"/>
              </w:rPr>
              <w:t xml:space="preserve"> </w:t>
            </w:r>
            <w:r>
              <w:rPr>
                <w:rFonts w:ascii="宋体" w:eastAsia="宋体"/>
                <w:spacing w:val="-3"/>
                <w:sz w:val="24"/>
                <w:lang w:eastAsia="zh-CN"/>
              </w:rPr>
              <w:t>可行</w:t>
            </w:r>
          </w:p>
        </w:tc>
        <w:tc>
          <w:tcPr>
            <w:tcW w:w="532" w:type="dxa"/>
            <w:tcBorders>
              <w:top w:val="single" w:color="auto" w:sz="4" w:space="0"/>
              <w:left w:val="single" w:color="auto" w:sz="4" w:space="0"/>
              <w:bottom w:val="single" w:color="auto" w:sz="4" w:space="0"/>
              <w:right w:val="single" w:color="auto" w:sz="4" w:space="0"/>
            </w:tcBorders>
            <w:vAlign w:val="center"/>
          </w:tcPr>
          <w:p w14:paraId="11F7B417">
            <w:pPr>
              <w:pStyle w:val="180"/>
              <w:snapToGrid w:val="0"/>
              <w:spacing w:before="59"/>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3924B948">
            <w:pPr>
              <w:pStyle w:val="180"/>
              <w:snapToGrid w:val="0"/>
              <w:spacing w:before="209"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一般进行赋分，最高5分。</w:t>
            </w:r>
          </w:p>
        </w:tc>
      </w:tr>
      <w:tr w14:paraId="6AC6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4F00543C">
            <w:pPr>
              <w:snapToGrid w:val="0"/>
              <w:ind w:left="0" w:leftChars="0" w:right="0" w:rightChars="0" w:firstLine="0" w:firstLineChars="0"/>
              <w:jc w:val="center"/>
              <w:rPr>
                <w:rFonts w:ascii="宋体" w:eastAsia="宋体"/>
                <w:sz w:val="24"/>
                <w:lang w:eastAsia="zh-CN"/>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14:paraId="2D1AB132">
            <w:pPr>
              <w:snapToGrid w:val="0"/>
              <w:ind w:left="0" w:leftChars="0" w:right="0" w:rightChars="0" w:firstLine="0" w:firstLineChars="0"/>
              <w:jc w:val="left"/>
              <w:rPr>
                <w:rFonts w:ascii="宋体" w:eastAsia="宋体"/>
                <w:sz w:val="24"/>
                <w:lang w:eastAsia="zh-CN"/>
              </w:rPr>
            </w:pPr>
          </w:p>
        </w:tc>
        <w:tc>
          <w:tcPr>
            <w:tcW w:w="656" w:type="dxa"/>
            <w:tcBorders>
              <w:top w:val="single" w:color="auto" w:sz="4" w:space="0"/>
              <w:left w:val="single" w:color="auto" w:sz="4" w:space="0"/>
              <w:bottom w:val="single" w:color="auto" w:sz="4" w:space="0"/>
              <w:right w:val="single" w:color="auto" w:sz="4" w:space="0"/>
            </w:tcBorders>
            <w:vAlign w:val="center"/>
          </w:tcPr>
          <w:p w14:paraId="01604D51">
            <w:pPr>
              <w:pStyle w:val="180"/>
              <w:snapToGrid w:val="0"/>
              <w:spacing w:before="58"/>
              <w:ind w:left="0" w:leftChars="0" w:right="0" w:rightChars="0" w:firstLine="0" w:firstLineChars="0"/>
              <w:jc w:val="left"/>
              <w:rPr>
                <w:rFonts w:ascii="宋体" w:eastAsia="宋体"/>
                <w:sz w:val="24"/>
              </w:rPr>
            </w:pPr>
            <w:r>
              <w:rPr>
                <w:rFonts w:ascii="宋体" w:eastAsia="宋体"/>
                <w:sz w:val="24"/>
              </w:rPr>
              <w:t>7</w:t>
            </w:r>
          </w:p>
        </w:tc>
        <w:tc>
          <w:tcPr>
            <w:tcW w:w="2102" w:type="dxa"/>
            <w:tcBorders>
              <w:top w:val="single" w:color="auto" w:sz="4" w:space="0"/>
              <w:left w:val="single" w:color="auto" w:sz="4" w:space="0"/>
              <w:bottom w:val="single" w:color="auto" w:sz="4" w:space="0"/>
              <w:right w:val="single" w:color="auto" w:sz="4" w:space="0"/>
            </w:tcBorders>
            <w:vAlign w:val="center"/>
          </w:tcPr>
          <w:p w14:paraId="7C3F6B90">
            <w:pPr>
              <w:pStyle w:val="180"/>
              <w:snapToGrid w:val="0"/>
              <w:spacing w:before="71"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投标人</w:t>
            </w:r>
            <w:r>
              <w:rPr>
                <w:rFonts w:hint="eastAsia" w:ascii="宋体" w:eastAsia="宋体"/>
                <w:spacing w:val="-1"/>
                <w:sz w:val="24"/>
                <w:lang w:eastAsia="zh-CN"/>
              </w:rPr>
              <w:t>需有</w:t>
            </w:r>
            <w:r>
              <w:rPr>
                <w:rFonts w:ascii="宋体" w:eastAsia="宋体"/>
                <w:spacing w:val="-1"/>
                <w:sz w:val="24"/>
                <w:lang w:eastAsia="zh-CN"/>
              </w:rPr>
              <w:t>专业技术</w:t>
            </w:r>
            <w:r>
              <w:rPr>
                <w:rFonts w:ascii="宋体" w:eastAsia="宋体"/>
                <w:sz w:val="24"/>
                <w:lang w:eastAsia="zh-CN"/>
              </w:rPr>
              <w:t>力量的维保机构并具有实施本项</w:t>
            </w:r>
            <w:r>
              <w:rPr>
                <w:rFonts w:ascii="宋体" w:eastAsia="宋体"/>
                <w:spacing w:val="-1"/>
                <w:sz w:val="24"/>
                <w:lang w:eastAsia="zh-CN"/>
              </w:rPr>
              <w:t>目维保的专业技术人员：</w:t>
            </w:r>
          </w:p>
        </w:tc>
        <w:tc>
          <w:tcPr>
            <w:tcW w:w="532" w:type="dxa"/>
            <w:tcBorders>
              <w:top w:val="single" w:color="auto" w:sz="4" w:space="0"/>
              <w:left w:val="single" w:color="auto" w:sz="4" w:space="0"/>
              <w:bottom w:val="single" w:color="auto" w:sz="4" w:space="0"/>
              <w:right w:val="single" w:color="auto" w:sz="4" w:space="0"/>
            </w:tcBorders>
            <w:vAlign w:val="center"/>
          </w:tcPr>
          <w:p w14:paraId="4DA150A1">
            <w:pPr>
              <w:pStyle w:val="180"/>
              <w:snapToGrid w:val="0"/>
              <w:spacing w:before="58"/>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67496737">
            <w:pPr>
              <w:pStyle w:val="180"/>
              <w:snapToGrid w:val="0"/>
              <w:spacing w:before="211"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一般进行赋分，最高5分。</w:t>
            </w:r>
          </w:p>
        </w:tc>
      </w:tr>
      <w:tr w14:paraId="11F03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vMerge w:val="continue"/>
            <w:tcBorders>
              <w:top w:val="single" w:color="auto" w:sz="4" w:space="0"/>
              <w:left w:val="single" w:color="auto" w:sz="12" w:space="0"/>
              <w:bottom w:val="single" w:color="auto" w:sz="4" w:space="0"/>
              <w:right w:val="single" w:color="auto" w:sz="4" w:space="0"/>
            </w:tcBorders>
            <w:vAlign w:val="center"/>
          </w:tcPr>
          <w:p w14:paraId="338D3408">
            <w:pPr>
              <w:snapToGrid w:val="0"/>
              <w:ind w:left="0" w:leftChars="0" w:right="0" w:rightChars="0" w:firstLine="0" w:firstLineChars="0"/>
              <w:jc w:val="center"/>
              <w:rPr>
                <w:rFonts w:ascii="宋体" w:eastAsia="宋体"/>
                <w:sz w:val="24"/>
                <w:lang w:eastAsia="zh-CN"/>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14:paraId="0E738260">
            <w:pPr>
              <w:snapToGrid w:val="0"/>
              <w:ind w:left="0" w:leftChars="0" w:right="0" w:rightChars="0" w:firstLine="0" w:firstLineChars="0"/>
              <w:jc w:val="left"/>
              <w:rPr>
                <w:rFonts w:ascii="宋体" w:eastAsia="宋体"/>
                <w:sz w:val="24"/>
                <w:lang w:eastAsia="zh-CN"/>
              </w:rPr>
            </w:pPr>
          </w:p>
        </w:tc>
        <w:tc>
          <w:tcPr>
            <w:tcW w:w="656" w:type="dxa"/>
            <w:tcBorders>
              <w:top w:val="single" w:color="auto" w:sz="4" w:space="0"/>
              <w:left w:val="single" w:color="auto" w:sz="4" w:space="0"/>
              <w:bottom w:val="single" w:color="auto" w:sz="4" w:space="0"/>
              <w:right w:val="single" w:color="auto" w:sz="4" w:space="0"/>
            </w:tcBorders>
            <w:vAlign w:val="center"/>
          </w:tcPr>
          <w:p w14:paraId="1F52BEE1">
            <w:pPr>
              <w:pStyle w:val="180"/>
              <w:snapToGrid w:val="0"/>
              <w:spacing w:before="59"/>
              <w:ind w:left="0" w:leftChars="0" w:right="0" w:rightChars="0" w:firstLine="0" w:firstLineChars="0"/>
              <w:jc w:val="left"/>
              <w:rPr>
                <w:rFonts w:ascii="宋体" w:eastAsia="宋体"/>
                <w:sz w:val="24"/>
              </w:rPr>
            </w:pPr>
            <w:r>
              <w:rPr>
                <w:rFonts w:ascii="宋体" w:eastAsia="宋体"/>
                <w:sz w:val="24"/>
              </w:rPr>
              <w:t>8</w:t>
            </w:r>
          </w:p>
        </w:tc>
        <w:tc>
          <w:tcPr>
            <w:tcW w:w="2102" w:type="dxa"/>
            <w:tcBorders>
              <w:top w:val="single" w:color="auto" w:sz="4" w:space="0"/>
              <w:left w:val="single" w:color="auto" w:sz="4" w:space="0"/>
              <w:bottom w:val="single" w:color="auto" w:sz="4" w:space="0"/>
              <w:right w:val="single" w:color="auto" w:sz="4" w:space="0"/>
            </w:tcBorders>
            <w:vAlign w:val="center"/>
          </w:tcPr>
          <w:p w14:paraId="5E667432">
            <w:pPr>
              <w:pStyle w:val="180"/>
              <w:snapToGrid w:val="0"/>
              <w:spacing w:before="63" w:line="240" w:lineRule="auto"/>
              <w:ind w:left="0" w:leftChars="0" w:right="0" w:rightChars="0" w:firstLine="0" w:firstLineChars="0"/>
              <w:jc w:val="left"/>
              <w:rPr>
                <w:rFonts w:ascii="宋体" w:eastAsia="宋体"/>
                <w:sz w:val="24"/>
                <w:lang w:eastAsia="zh-CN"/>
              </w:rPr>
            </w:pPr>
            <w:r>
              <w:rPr>
                <w:rFonts w:ascii="宋体" w:eastAsia="宋体"/>
                <w:spacing w:val="-1"/>
                <w:sz w:val="24"/>
                <w:lang w:eastAsia="zh-CN"/>
              </w:rPr>
              <w:t>售后服务及时周到，有相应的服</w:t>
            </w:r>
            <w:r>
              <w:rPr>
                <w:rFonts w:ascii="宋体" w:eastAsia="宋体"/>
                <w:spacing w:val="5"/>
                <w:sz w:val="24"/>
                <w:lang w:eastAsia="zh-CN"/>
              </w:rPr>
              <w:t xml:space="preserve"> </w:t>
            </w:r>
            <w:r>
              <w:rPr>
                <w:rFonts w:ascii="宋体" w:eastAsia="宋体"/>
                <w:spacing w:val="-1"/>
                <w:sz w:val="24"/>
                <w:lang w:eastAsia="zh-CN"/>
              </w:rPr>
              <w:t>务承诺和具体的保证措施</w:t>
            </w:r>
          </w:p>
        </w:tc>
        <w:tc>
          <w:tcPr>
            <w:tcW w:w="532" w:type="dxa"/>
            <w:tcBorders>
              <w:top w:val="single" w:color="auto" w:sz="4" w:space="0"/>
              <w:left w:val="single" w:color="auto" w:sz="4" w:space="0"/>
              <w:bottom w:val="single" w:color="auto" w:sz="4" w:space="0"/>
              <w:right w:val="single" w:color="auto" w:sz="4" w:space="0"/>
            </w:tcBorders>
            <w:vAlign w:val="center"/>
          </w:tcPr>
          <w:p w14:paraId="2F305D21">
            <w:pPr>
              <w:pStyle w:val="180"/>
              <w:snapToGrid w:val="0"/>
              <w:spacing w:before="59"/>
              <w:ind w:left="0" w:leftChars="0" w:right="0" w:rightChars="0" w:firstLine="0" w:firstLineChars="0"/>
              <w:jc w:val="left"/>
              <w:rPr>
                <w:rFonts w:ascii="宋体" w:eastAsia="宋体"/>
                <w:sz w:val="24"/>
              </w:rPr>
            </w:pPr>
            <w:r>
              <w:rPr>
                <w:rFonts w:ascii="宋体" w:eastAsia="宋体"/>
                <w:sz w:val="24"/>
              </w:rPr>
              <w:t>5</w:t>
            </w:r>
          </w:p>
        </w:tc>
        <w:tc>
          <w:tcPr>
            <w:tcW w:w="4546" w:type="dxa"/>
            <w:tcBorders>
              <w:top w:val="single" w:color="auto" w:sz="4" w:space="0"/>
              <w:left w:val="single" w:color="auto" w:sz="4" w:space="0"/>
              <w:bottom w:val="single" w:color="auto" w:sz="4" w:space="0"/>
              <w:right w:val="single" w:color="auto" w:sz="12" w:space="0"/>
            </w:tcBorders>
            <w:vAlign w:val="center"/>
          </w:tcPr>
          <w:p w14:paraId="17035981">
            <w:pPr>
              <w:pStyle w:val="180"/>
              <w:snapToGrid w:val="0"/>
              <w:spacing w:before="81" w:line="240" w:lineRule="auto"/>
              <w:ind w:left="0" w:leftChars="0" w:right="0" w:rightChars="0" w:firstLine="0" w:firstLineChars="0"/>
              <w:jc w:val="left"/>
              <w:rPr>
                <w:rFonts w:ascii="宋体" w:eastAsia="宋体"/>
                <w:sz w:val="24"/>
                <w:lang w:eastAsia="zh-CN"/>
              </w:rPr>
            </w:pPr>
            <w:r>
              <w:rPr>
                <w:rFonts w:ascii="宋体" w:eastAsia="宋体"/>
                <w:spacing w:val="-3"/>
                <w:sz w:val="24"/>
                <w:lang w:eastAsia="zh-CN"/>
              </w:rPr>
              <w:t>由评标委员会成员独立进行客观、公正的评价，按照优、良、</w:t>
            </w:r>
            <w:r>
              <w:rPr>
                <w:rFonts w:ascii="宋体" w:eastAsia="宋体"/>
                <w:spacing w:val="4"/>
                <w:sz w:val="24"/>
                <w:lang w:eastAsia="zh-CN"/>
              </w:rPr>
              <w:t xml:space="preserve"> </w:t>
            </w:r>
            <w:r>
              <w:rPr>
                <w:rFonts w:ascii="宋体" w:eastAsia="宋体"/>
                <w:spacing w:val="-3"/>
                <w:sz w:val="24"/>
                <w:lang w:eastAsia="zh-CN"/>
              </w:rPr>
              <w:t>一般进行赋分，最高5分。</w:t>
            </w:r>
          </w:p>
        </w:tc>
      </w:tr>
      <w:tr w14:paraId="55E50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tcBorders>
              <w:top w:val="single" w:color="auto" w:sz="4" w:space="0"/>
              <w:left w:val="single" w:color="auto" w:sz="12" w:space="0"/>
              <w:bottom w:val="single" w:color="auto" w:sz="4" w:space="0"/>
              <w:right w:val="single" w:color="auto" w:sz="4" w:space="0"/>
            </w:tcBorders>
            <w:vAlign w:val="center"/>
          </w:tcPr>
          <w:p w14:paraId="5AF86E70">
            <w:pPr>
              <w:pStyle w:val="180"/>
              <w:snapToGrid w:val="0"/>
              <w:spacing w:before="58" w:line="240" w:lineRule="auto"/>
              <w:ind w:left="0" w:leftChars="0" w:right="0" w:rightChars="0" w:firstLine="0" w:firstLineChars="0"/>
              <w:jc w:val="center"/>
              <w:rPr>
                <w:rFonts w:ascii="宋体" w:eastAsia="宋体"/>
                <w:sz w:val="24"/>
              </w:rPr>
            </w:pPr>
            <w:r>
              <w:rPr>
                <w:rFonts w:ascii="宋体" w:eastAsia="宋体"/>
                <w:spacing w:val="-3"/>
                <w:sz w:val="24"/>
              </w:rPr>
              <w:t>商务</w:t>
            </w:r>
          </w:p>
          <w:p w14:paraId="4C4B6E54">
            <w:pPr>
              <w:pStyle w:val="180"/>
              <w:snapToGrid w:val="0"/>
              <w:spacing w:before="167" w:line="240" w:lineRule="auto"/>
              <w:ind w:left="0" w:leftChars="0" w:right="0" w:rightChars="0" w:firstLine="0" w:firstLineChars="0"/>
              <w:jc w:val="center"/>
              <w:rPr>
                <w:rFonts w:ascii="宋体" w:eastAsia="宋体"/>
                <w:sz w:val="24"/>
                <w:szCs w:val="21"/>
              </w:rPr>
            </w:pPr>
            <w:r>
              <w:rPr>
                <w:rFonts w:ascii="宋体" w:eastAsia="宋体"/>
                <w:spacing w:val="-2"/>
                <w:sz w:val="24"/>
              </w:rPr>
              <w:t>标100</w:t>
            </w:r>
            <w:r>
              <w:rPr>
                <w:rFonts w:ascii="宋体" w:eastAsia="宋体"/>
                <w:sz w:val="24"/>
              </w:rPr>
              <w:t xml:space="preserve"> 分</w:t>
            </w:r>
          </w:p>
        </w:tc>
        <w:tc>
          <w:tcPr>
            <w:tcW w:w="4546" w:type="dxa"/>
            <w:gridSpan w:val="5"/>
            <w:tcBorders>
              <w:top w:val="single" w:color="auto" w:sz="4" w:space="0"/>
              <w:left w:val="single" w:color="auto" w:sz="4" w:space="0"/>
              <w:bottom w:val="single" w:color="auto" w:sz="4" w:space="0"/>
              <w:right w:val="single" w:color="auto" w:sz="12" w:space="0"/>
            </w:tcBorders>
            <w:vAlign w:val="center"/>
          </w:tcPr>
          <w:p w14:paraId="54AEDF10">
            <w:pPr>
              <w:pStyle w:val="180"/>
              <w:snapToGrid w:val="0"/>
              <w:spacing w:before="112" w:line="240" w:lineRule="auto"/>
              <w:ind w:left="0" w:leftChars="0" w:right="0" w:rightChars="0" w:firstLine="0" w:firstLineChars="0"/>
              <w:jc w:val="left"/>
              <w:rPr>
                <w:rFonts w:ascii="宋体" w:eastAsia="宋体"/>
                <w:sz w:val="24"/>
                <w:lang w:eastAsia="zh-CN"/>
              </w:rPr>
            </w:pPr>
            <w:r>
              <w:rPr>
                <w:rFonts w:ascii="宋体" w:eastAsia="宋体"/>
                <w:spacing w:val="-7"/>
                <w:sz w:val="24"/>
                <w:lang w:eastAsia="zh-CN"/>
              </w:rPr>
              <w:t>评 标 基</w:t>
            </w:r>
            <w:r>
              <w:rPr>
                <w:rFonts w:ascii="宋体" w:eastAsia="宋体"/>
                <w:spacing w:val="-3"/>
                <w:sz w:val="24"/>
                <w:lang w:eastAsia="zh-CN"/>
              </w:rPr>
              <w:t xml:space="preserve"> </w:t>
            </w:r>
            <w:r>
              <w:rPr>
                <w:rFonts w:ascii="宋体" w:eastAsia="宋体"/>
                <w:spacing w:val="-7"/>
                <w:sz w:val="24"/>
                <w:lang w:eastAsia="zh-CN"/>
              </w:rPr>
              <w:t>准 价</w:t>
            </w:r>
            <w:r>
              <w:rPr>
                <w:rFonts w:ascii="宋体" w:eastAsia="宋体"/>
                <w:spacing w:val="-14"/>
                <w:sz w:val="24"/>
                <w:lang w:eastAsia="zh-CN"/>
              </w:rPr>
              <w:t xml:space="preserve"> </w:t>
            </w:r>
            <w:r>
              <w:rPr>
                <w:rFonts w:ascii="宋体" w:eastAsia="宋体"/>
                <w:spacing w:val="-7"/>
                <w:sz w:val="24"/>
                <w:lang w:eastAsia="zh-CN"/>
              </w:rPr>
              <w:t>：</w:t>
            </w:r>
          </w:p>
          <w:p w14:paraId="55440370">
            <w:pPr>
              <w:pStyle w:val="180"/>
              <w:snapToGrid w:val="0"/>
              <w:spacing w:before="257" w:line="240" w:lineRule="auto"/>
              <w:ind w:left="0" w:leftChars="0" w:right="0" w:rightChars="0" w:firstLine="0" w:firstLineChars="0"/>
              <w:jc w:val="left"/>
              <w:rPr>
                <w:rFonts w:ascii="宋体" w:eastAsia="宋体"/>
                <w:sz w:val="24"/>
                <w:lang w:eastAsia="zh-CN"/>
              </w:rPr>
            </w:pPr>
            <w:r>
              <w:rPr>
                <w:rFonts w:ascii="宋体" w:eastAsia="宋体"/>
                <w:spacing w:val="-10"/>
                <w:sz w:val="24"/>
                <w:lang w:eastAsia="zh-CN"/>
              </w:rPr>
              <w:t>1 、</w:t>
            </w:r>
            <w:r>
              <w:rPr>
                <w:rFonts w:ascii="宋体" w:eastAsia="宋体"/>
                <w:spacing w:val="-25"/>
                <w:sz w:val="24"/>
                <w:lang w:eastAsia="zh-CN"/>
              </w:rPr>
              <w:t xml:space="preserve"> </w:t>
            </w:r>
            <w:r>
              <w:rPr>
                <w:rFonts w:ascii="宋体" w:eastAsia="宋体"/>
                <w:spacing w:val="-10"/>
                <w:sz w:val="24"/>
                <w:lang w:eastAsia="zh-CN"/>
              </w:rPr>
              <w:t>评</w:t>
            </w:r>
            <w:r>
              <w:rPr>
                <w:rFonts w:ascii="宋体" w:eastAsia="宋体"/>
                <w:spacing w:val="-22"/>
                <w:sz w:val="24"/>
                <w:lang w:eastAsia="zh-CN"/>
              </w:rPr>
              <w:t xml:space="preserve"> </w:t>
            </w:r>
            <w:r>
              <w:rPr>
                <w:rFonts w:ascii="宋体" w:eastAsia="宋体"/>
                <w:spacing w:val="-10"/>
                <w:sz w:val="24"/>
                <w:lang w:eastAsia="zh-CN"/>
              </w:rPr>
              <w:t>标</w:t>
            </w:r>
            <w:r>
              <w:rPr>
                <w:rFonts w:ascii="宋体" w:eastAsia="宋体"/>
                <w:spacing w:val="-24"/>
                <w:sz w:val="24"/>
                <w:lang w:eastAsia="zh-CN"/>
              </w:rPr>
              <w:t xml:space="preserve"> </w:t>
            </w:r>
            <w:r>
              <w:rPr>
                <w:rFonts w:ascii="宋体" w:eastAsia="宋体"/>
                <w:spacing w:val="-10"/>
                <w:sz w:val="24"/>
                <w:lang w:eastAsia="zh-CN"/>
              </w:rPr>
              <w:t>基</w:t>
            </w:r>
            <w:r>
              <w:rPr>
                <w:rFonts w:ascii="宋体" w:eastAsia="宋体"/>
                <w:spacing w:val="-22"/>
                <w:sz w:val="24"/>
                <w:lang w:eastAsia="zh-CN"/>
              </w:rPr>
              <w:t xml:space="preserve"> </w:t>
            </w:r>
            <w:r>
              <w:rPr>
                <w:rFonts w:ascii="宋体" w:eastAsia="宋体"/>
                <w:spacing w:val="-10"/>
                <w:sz w:val="24"/>
                <w:lang w:eastAsia="zh-CN"/>
              </w:rPr>
              <w:t>准</w:t>
            </w:r>
            <w:r>
              <w:rPr>
                <w:rFonts w:ascii="宋体" w:eastAsia="宋体"/>
                <w:spacing w:val="-23"/>
                <w:sz w:val="24"/>
                <w:lang w:eastAsia="zh-CN"/>
              </w:rPr>
              <w:t xml:space="preserve"> </w:t>
            </w:r>
            <w:r>
              <w:rPr>
                <w:rFonts w:ascii="宋体" w:eastAsia="宋体"/>
                <w:spacing w:val="-10"/>
                <w:sz w:val="24"/>
                <w:lang w:eastAsia="zh-CN"/>
              </w:rPr>
              <w:t>价</w:t>
            </w:r>
            <w:r>
              <w:rPr>
                <w:rFonts w:ascii="宋体" w:eastAsia="宋体"/>
                <w:spacing w:val="-21"/>
                <w:sz w:val="24"/>
                <w:lang w:eastAsia="zh-CN"/>
              </w:rPr>
              <w:t xml:space="preserve"> </w:t>
            </w:r>
            <w:r>
              <w:rPr>
                <w:rFonts w:ascii="宋体" w:eastAsia="宋体"/>
                <w:spacing w:val="-10"/>
                <w:sz w:val="24"/>
                <w:lang w:eastAsia="zh-CN"/>
              </w:rPr>
              <w:t>为</w:t>
            </w:r>
            <w:r>
              <w:rPr>
                <w:rFonts w:ascii="宋体" w:eastAsia="宋体"/>
                <w:spacing w:val="-24"/>
                <w:sz w:val="24"/>
                <w:lang w:eastAsia="zh-CN"/>
              </w:rPr>
              <w:t xml:space="preserve"> </w:t>
            </w:r>
            <w:r>
              <w:rPr>
                <w:rFonts w:ascii="宋体" w:eastAsia="宋体"/>
                <w:spacing w:val="-10"/>
                <w:sz w:val="24"/>
                <w:lang w:eastAsia="zh-CN"/>
              </w:rPr>
              <w:t>所</w:t>
            </w:r>
            <w:r>
              <w:rPr>
                <w:rFonts w:ascii="宋体" w:eastAsia="宋体"/>
                <w:spacing w:val="-23"/>
                <w:sz w:val="24"/>
                <w:lang w:eastAsia="zh-CN"/>
              </w:rPr>
              <w:t xml:space="preserve"> </w:t>
            </w:r>
            <w:r>
              <w:rPr>
                <w:rFonts w:ascii="宋体" w:eastAsia="宋体"/>
                <w:spacing w:val="-10"/>
                <w:sz w:val="24"/>
                <w:lang w:eastAsia="zh-CN"/>
              </w:rPr>
              <w:t>有</w:t>
            </w:r>
            <w:r>
              <w:rPr>
                <w:rFonts w:ascii="宋体" w:eastAsia="宋体"/>
                <w:spacing w:val="-22"/>
                <w:sz w:val="24"/>
                <w:lang w:eastAsia="zh-CN"/>
              </w:rPr>
              <w:t xml:space="preserve"> </w:t>
            </w:r>
            <w:r>
              <w:rPr>
                <w:rFonts w:ascii="宋体" w:eastAsia="宋体"/>
                <w:spacing w:val="-10"/>
                <w:sz w:val="24"/>
                <w:lang w:eastAsia="zh-CN"/>
              </w:rPr>
              <w:t>合</w:t>
            </w:r>
            <w:r>
              <w:rPr>
                <w:rFonts w:ascii="宋体" w:eastAsia="宋体"/>
                <w:spacing w:val="-22"/>
                <w:sz w:val="24"/>
                <w:lang w:eastAsia="zh-CN"/>
              </w:rPr>
              <w:t xml:space="preserve"> </w:t>
            </w:r>
            <w:r>
              <w:rPr>
                <w:rFonts w:ascii="宋体" w:eastAsia="宋体"/>
                <w:spacing w:val="-10"/>
                <w:sz w:val="24"/>
                <w:lang w:eastAsia="zh-CN"/>
              </w:rPr>
              <w:t>理</w:t>
            </w:r>
            <w:r>
              <w:rPr>
                <w:rFonts w:ascii="宋体" w:eastAsia="宋体"/>
                <w:spacing w:val="-22"/>
                <w:sz w:val="24"/>
                <w:lang w:eastAsia="zh-CN"/>
              </w:rPr>
              <w:t xml:space="preserve"> </w:t>
            </w:r>
            <w:r>
              <w:rPr>
                <w:rFonts w:ascii="宋体" w:eastAsia="宋体"/>
                <w:spacing w:val="-10"/>
                <w:sz w:val="24"/>
                <w:lang w:eastAsia="zh-CN"/>
              </w:rPr>
              <w:t>有 效 的</w:t>
            </w:r>
            <w:r>
              <w:rPr>
                <w:rFonts w:ascii="宋体" w:eastAsia="宋体"/>
                <w:spacing w:val="-22"/>
                <w:sz w:val="24"/>
                <w:lang w:eastAsia="zh-CN"/>
              </w:rPr>
              <w:t xml:space="preserve"> </w:t>
            </w:r>
            <w:r>
              <w:rPr>
                <w:rFonts w:ascii="宋体" w:eastAsia="宋体"/>
                <w:spacing w:val="-10"/>
                <w:sz w:val="24"/>
                <w:lang w:eastAsia="zh-CN"/>
              </w:rPr>
              <w:t>最</w:t>
            </w:r>
            <w:r>
              <w:rPr>
                <w:rFonts w:ascii="宋体" w:eastAsia="宋体"/>
                <w:spacing w:val="-20"/>
                <w:sz w:val="24"/>
                <w:lang w:eastAsia="zh-CN"/>
              </w:rPr>
              <w:t xml:space="preserve"> </w:t>
            </w:r>
            <w:r>
              <w:rPr>
                <w:rFonts w:ascii="宋体" w:eastAsia="宋体"/>
                <w:spacing w:val="-10"/>
                <w:sz w:val="24"/>
                <w:lang w:eastAsia="zh-CN"/>
              </w:rPr>
              <w:t>终</w:t>
            </w:r>
            <w:r>
              <w:rPr>
                <w:rFonts w:ascii="宋体" w:eastAsia="宋体"/>
                <w:spacing w:val="-22"/>
                <w:sz w:val="24"/>
                <w:lang w:eastAsia="zh-CN"/>
              </w:rPr>
              <w:t xml:space="preserve"> </w:t>
            </w:r>
            <w:r>
              <w:rPr>
                <w:rFonts w:ascii="宋体" w:eastAsia="宋体"/>
                <w:spacing w:val="-10"/>
                <w:sz w:val="24"/>
                <w:lang w:eastAsia="zh-CN"/>
              </w:rPr>
              <w:t>投</w:t>
            </w:r>
            <w:r>
              <w:rPr>
                <w:rFonts w:ascii="宋体" w:eastAsia="宋体"/>
                <w:spacing w:val="-23"/>
                <w:sz w:val="24"/>
                <w:lang w:eastAsia="zh-CN"/>
              </w:rPr>
              <w:t xml:space="preserve"> </w:t>
            </w:r>
            <w:r>
              <w:rPr>
                <w:rFonts w:ascii="宋体" w:eastAsia="宋体"/>
                <w:spacing w:val="-10"/>
                <w:sz w:val="24"/>
                <w:lang w:eastAsia="zh-CN"/>
              </w:rPr>
              <w:t>标</w:t>
            </w:r>
            <w:r>
              <w:rPr>
                <w:rFonts w:ascii="宋体" w:eastAsia="宋体"/>
                <w:spacing w:val="-25"/>
                <w:sz w:val="24"/>
                <w:lang w:eastAsia="zh-CN"/>
              </w:rPr>
              <w:t xml:space="preserve"> </w:t>
            </w:r>
            <w:r>
              <w:rPr>
                <w:rFonts w:ascii="宋体" w:eastAsia="宋体"/>
                <w:spacing w:val="-10"/>
                <w:sz w:val="24"/>
                <w:lang w:eastAsia="zh-CN"/>
              </w:rPr>
              <w:t>报</w:t>
            </w:r>
            <w:r>
              <w:rPr>
                <w:rFonts w:ascii="宋体" w:eastAsia="宋体"/>
                <w:spacing w:val="-22"/>
                <w:sz w:val="24"/>
                <w:lang w:eastAsia="zh-CN"/>
              </w:rPr>
              <w:t xml:space="preserve"> </w:t>
            </w:r>
            <w:r>
              <w:rPr>
                <w:rFonts w:ascii="宋体" w:eastAsia="宋体"/>
                <w:spacing w:val="-10"/>
                <w:sz w:val="24"/>
                <w:lang w:eastAsia="zh-CN"/>
              </w:rPr>
              <w:t>价 的</w:t>
            </w:r>
            <w:r>
              <w:rPr>
                <w:rFonts w:ascii="宋体" w:eastAsia="宋体"/>
                <w:spacing w:val="-22"/>
                <w:sz w:val="24"/>
                <w:lang w:eastAsia="zh-CN"/>
              </w:rPr>
              <w:t xml:space="preserve"> </w:t>
            </w:r>
            <w:r>
              <w:rPr>
                <w:rFonts w:ascii="宋体" w:eastAsia="宋体"/>
                <w:spacing w:val="-10"/>
                <w:sz w:val="24"/>
                <w:lang w:eastAsia="zh-CN"/>
              </w:rPr>
              <w:t>最</w:t>
            </w:r>
            <w:r>
              <w:rPr>
                <w:rFonts w:ascii="宋体" w:eastAsia="宋体"/>
                <w:spacing w:val="-24"/>
                <w:sz w:val="24"/>
                <w:lang w:eastAsia="zh-CN"/>
              </w:rPr>
              <w:t xml:space="preserve"> </w:t>
            </w:r>
            <w:r>
              <w:rPr>
                <w:rFonts w:ascii="宋体" w:eastAsia="宋体"/>
                <w:spacing w:val="-10"/>
                <w:sz w:val="24"/>
                <w:lang w:eastAsia="zh-CN"/>
              </w:rPr>
              <w:t>低</w:t>
            </w:r>
            <w:r>
              <w:rPr>
                <w:rFonts w:ascii="宋体" w:eastAsia="宋体"/>
                <w:spacing w:val="-23"/>
                <w:sz w:val="24"/>
                <w:lang w:eastAsia="zh-CN"/>
              </w:rPr>
              <w:t xml:space="preserve"> </w:t>
            </w:r>
            <w:r>
              <w:rPr>
                <w:rFonts w:ascii="宋体" w:eastAsia="宋体"/>
                <w:spacing w:val="-11"/>
                <w:sz w:val="24"/>
                <w:lang w:eastAsia="zh-CN"/>
              </w:rPr>
              <w:t>价</w:t>
            </w:r>
            <w:r>
              <w:rPr>
                <w:rFonts w:ascii="宋体" w:eastAsia="宋体"/>
                <w:spacing w:val="-30"/>
                <w:sz w:val="24"/>
                <w:lang w:eastAsia="zh-CN"/>
              </w:rPr>
              <w:t xml:space="preserve"> </w:t>
            </w:r>
            <w:r>
              <w:rPr>
                <w:rFonts w:ascii="宋体" w:eastAsia="宋体"/>
                <w:spacing w:val="-11"/>
                <w:sz w:val="24"/>
                <w:lang w:eastAsia="zh-CN"/>
              </w:rPr>
              <w:t>。</w:t>
            </w:r>
          </w:p>
          <w:p w14:paraId="0A9E5B29">
            <w:pPr>
              <w:pStyle w:val="180"/>
              <w:snapToGrid w:val="0"/>
              <w:spacing w:before="227" w:line="240" w:lineRule="auto"/>
              <w:ind w:left="0" w:leftChars="0" w:right="0" w:rightChars="0" w:firstLine="0" w:firstLineChars="0"/>
              <w:jc w:val="left"/>
              <w:rPr>
                <w:rFonts w:ascii="宋体" w:eastAsia="宋体"/>
                <w:spacing w:val="-38"/>
                <w:sz w:val="24"/>
                <w:lang w:eastAsia="zh-CN"/>
              </w:rPr>
            </w:pPr>
            <w:r>
              <w:rPr>
                <w:rFonts w:ascii="宋体" w:eastAsia="宋体"/>
                <w:spacing w:val="-11"/>
                <w:sz w:val="24"/>
                <w:lang w:eastAsia="zh-CN"/>
              </w:rPr>
              <w:t>2</w:t>
            </w:r>
            <w:r>
              <w:rPr>
                <w:rFonts w:ascii="宋体" w:eastAsia="宋体"/>
                <w:spacing w:val="-27"/>
                <w:sz w:val="24"/>
                <w:lang w:eastAsia="zh-CN"/>
              </w:rPr>
              <w:t xml:space="preserve"> </w:t>
            </w:r>
            <w:r>
              <w:rPr>
                <w:rFonts w:ascii="宋体" w:eastAsia="宋体"/>
                <w:spacing w:val="-11"/>
                <w:sz w:val="24"/>
                <w:lang w:eastAsia="zh-CN"/>
              </w:rPr>
              <w:t>、</w:t>
            </w:r>
            <w:r>
              <w:rPr>
                <w:rFonts w:ascii="宋体" w:eastAsia="宋体"/>
                <w:spacing w:val="-39"/>
                <w:sz w:val="24"/>
                <w:lang w:eastAsia="zh-CN"/>
              </w:rPr>
              <w:t xml:space="preserve"> </w:t>
            </w:r>
            <w:r>
              <w:rPr>
                <w:rFonts w:ascii="宋体" w:eastAsia="宋体"/>
                <w:spacing w:val="-11"/>
                <w:sz w:val="24"/>
                <w:lang w:eastAsia="zh-CN"/>
              </w:rPr>
              <w:t>有</w:t>
            </w:r>
            <w:r>
              <w:rPr>
                <w:rFonts w:ascii="宋体" w:eastAsia="宋体"/>
                <w:spacing w:val="-36"/>
                <w:sz w:val="24"/>
                <w:lang w:eastAsia="zh-CN"/>
              </w:rPr>
              <w:t xml:space="preserve"> </w:t>
            </w:r>
            <w:r>
              <w:rPr>
                <w:rFonts w:ascii="宋体" w:eastAsia="宋体"/>
                <w:spacing w:val="-11"/>
                <w:sz w:val="24"/>
                <w:lang w:eastAsia="zh-CN"/>
              </w:rPr>
              <w:t>效</w:t>
            </w:r>
            <w:r>
              <w:rPr>
                <w:rFonts w:ascii="宋体" w:eastAsia="宋体"/>
                <w:spacing w:val="-25"/>
                <w:sz w:val="24"/>
                <w:lang w:eastAsia="zh-CN"/>
              </w:rPr>
              <w:t xml:space="preserve"> </w:t>
            </w:r>
            <w:r>
              <w:rPr>
                <w:rFonts w:ascii="宋体" w:eastAsia="宋体"/>
                <w:spacing w:val="-11"/>
                <w:sz w:val="24"/>
                <w:lang w:eastAsia="zh-CN"/>
              </w:rPr>
              <w:t>的</w:t>
            </w:r>
            <w:r>
              <w:rPr>
                <w:rFonts w:ascii="宋体" w:eastAsia="宋体"/>
                <w:spacing w:val="-40"/>
                <w:sz w:val="24"/>
                <w:lang w:eastAsia="zh-CN"/>
              </w:rPr>
              <w:t xml:space="preserve"> </w:t>
            </w:r>
            <w:r>
              <w:rPr>
                <w:rFonts w:ascii="宋体" w:eastAsia="宋体"/>
                <w:spacing w:val="-11"/>
                <w:sz w:val="24"/>
                <w:lang w:eastAsia="zh-CN"/>
              </w:rPr>
              <w:t>评</w:t>
            </w:r>
            <w:r>
              <w:rPr>
                <w:rFonts w:ascii="宋体" w:eastAsia="宋体"/>
                <w:spacing w:val="-39"/>
                <w:sz w:val="24"/>
                <w:lang w:eastAsia="zh-CN"/>
              </w:rPr>
              <w:t xml:space="preserve"> </w:t>
            </w:r>
            <w:r>
              <w:rPr>
                <w:rFonts w:ascii="宋体" w:eastAsia="宋体"/>
                <w:spacing w:val="-11"/>
                <w:sz w:val="24"/>
                <w:lang w:eastAsia="zh-CN"/>
              </w:rPr>
              <w:t>标</w:t>
            </w:r>
            <w:r>
              <w:rPr>
                <w:rFonts w:ascii="宋体" w:eastAsia="宋体"/>
                <w:spacing w:val="-40"/>
                <w:sz w:val="24"/>
                <w:lang w:eastAsia="zh-CN"/>
              </w:rPr>
              <w:t xml:space="preserve"> </w:t>
            </w:r>
            <w:r>
              <w:rPr>
                <w:rFonts w:ascii="宋体" w:eastAsia="宋体"/>
                <w:spacing w:val="-11"/>
                <w:sz w:val="24"/>
                <w:lang w:eastAsia="zh-CN"/>
              </w:rPr>
              <w:t>基</w:t>
            </w:r>
            <w:r>
              <w:rPr>
                <w:rFonts w:ascii="宋体" w:eastAsia="宋体"/>
                <w:spacing w:val="-38"/>
                <w:sz w:val="24"/>
                <w:lang w:eastAsia="zh-CN"/>
              </w:rPr>
              <w:t xml:space="preserve"> </w:t>
            </w:r>
            <w:r>
              <w:rPr>
                <w:rFonts w:ascii="宋体" w:eastAsia="宋体"/>
                <w:spacing w:val="-11"/>
                <w:sz w:val="24"/>
                <w:lang w:eastAsia="zh-CN"/>
              </w:rPr>
              <w:t>准</w:t>
            </w:r>
            <w:r>
              <w:rPr>
                <w:rFonts w:ascii="宋体" w:eastAsia="宋体"/>
                <w:spacing w:val="-39"/>
                <w:sz w:val="24"/>
                <w:lang w:eastAsia="zh-CN"/>
              </w:rPr>
              <w:t xml:space="preserve"> </w:t>
            </w:r>
            <w:r>
              <w:rPr>
                <w:rFonts w:ascii="宋体" w:eastAsia="宋体"/>
                <w:spacing w:val="-11"/>
                <w:sz w:val="24"/>
                <w:lang w:eastAsia="zh-CN"/>
              </w:rPr>
              <w:t>价</w:t>
            </w:r>
            <w:r>
              <w:rPr>
                <w:rFonts w:ascii="宋体" w:eastAsia="宋体"/>
                <w:spacing w:val="-39"/>
                <w:sz w:val="24"/>
                <w:lang w:eastAsia="zh-CN"/>
              </w:rPr>
              <w:t xml:space="preserve"> </w:t>
            </w:r>
            <w:r>
              <w:rPr>
                <w:rFonts w:ascii="宋体" w:eastAsia="宋体"/>
                <w:spacing w:val="-11"/>
                <w:sz w:val="24"/>
                <w:lang w:eastAsia="zh-CN"/>
              </w:rPr>
              <w:t>得</w:t>
            </w:r>
            <w:r>
              <w:rPr>
                <w:rFonts w:ascii="宋体" w:eastAsia="宋体"/>
                <w:spacing w:val="-27"/>
                <w:sz w:val="24"/>
                <w:lang w:eastAsia="zh-CN"/>
              </w:rPr>
              <w:t xml:space="preserve"> </w:t>
            </w:r>
            <w:r>
              <w:rPr>
                <w:rFonts w:ascii="宋体" w:eastAsia="宋体"/>
                <w:spacing w:val="-11"/>
                <w:sz w:val="24"/>
                <w:lang w:eastAsia="zh-CN"/>
              </w:rPr>
              <w:t>1</w:t>
            </w:r>
            <w:r>
              <w:rPr>
                <w:rFonts w:ascii="宋体" w:eastAsia="宋体"/>
                <w:spacing w:val="-38"/>
                <w:sz w:val="24"/>
                <w:lang w:eastAsia="zh-CN"/>
              </w:rPr>
              <w:t xml:space="preserve"> </w:t>
            </w:r>
            <w:r>
              <w:rPr>
                <w:rFonts w:ascii="宋体" w:eastAsia="宋体"/>
                <w:spacing w:val="-11"/>
                <w:sz w:val="24"/>
                <w:lang w:eastAsia="zh-CN"/>
              </w:rPr>
              <w:t>0</w:t>
            </w:r>
            <w:r>
              <w:rPr>
                <w:rFonts w:ascii="宋体" w:eastAsia="宋体"/>
                <w:spacing w:val="-38"/>
                <w:sz w:val="24"/>
                <w:lang w:eastAsia="zh-CN"/>
              </w:rPr>
              <w:t xml:space="preserve"> </w:t>
            </w:r>
            <w:r>
              <w:rPr>
                <w:rFonts w:ascii="宋体" w:eastAsia="宋体"/>
                <w:spacing w:val="-11"/>
                <w:sz w:val="24"/>
                <w:lang w:eastAsia="zh-CN"/>
              </w:rPr>
              <w:t>0</w:t>
            </w:r>
            <w:r>
              <w:rPr>
                <w:rFonts w:ascii="宋体" w:eastAsia="宋体"/>
                <w:spacing w:val="-38"/>
                <w:sz w:val="24"/>
                <w:lang w:eastAsia="zh-CN"/>
              </w:rPr>
              <w:t xml:space="preserve"> </w:t>
            </w:r>
            <w:r>
              <w:rPr>
                <w:rFonts w:ascii="宋体" w:eastAsia="宋体"/>
                <w:spacing w:val="-11"/>
                <w:sz w:val="24"/>
                <w:lang w:eastAsia="zh-CN"/>
              </w:rPr>
              <w:t>分</w:t>
            </w:r>
            <w:r>
              <w:rPr>
                <w:rFonts w:ascii="宋体" w:eastAsia="宋体"/>
                <w:spacing w:val="-24"/>
                <w:sz w:val="24"/>
                <w:lang w:eastAsia="zh-CN"/>
              </w:rPr>
              <w:t xml:space="preserve"> </w:t>
            </w:r>
            <w:r>
              <w:rPr>
                <w:rFonts w:ascii="宋体" w:eastAsia="宋体"/>
                <w:spacing w:val="-11"/>
                <w:sz w:val="24"/>
                <w:lang w:eastAsia="zh-CN"/>
              </w:rPr>
              <w:t>：</w:t>
            </w:r>
            <w:r>
              <w:rPr>
                <w:rFonts w:ascii="宋体" w:eastAsia="宋体"/>
                <w:spacing w:val="-39"/>
                <w:sz w:val="24"/>
                <w:lang w:eastAsia="zh-CN"/>
              </w:rPr>
              <w:t xml:space="preserve"> </w:t>
            </w:r>
            <w:r>
              <w:rPr>
                <w:rFonts w:ascii="宋体" w:eastAsia="宋体"/>
                <w:spacing w:val="-11"/>
                <w:sz w:val="24"/>
                <w:lang w:eastAsia="zh-CN"/>
              </w:rPr>
              <w:t>其</w:t>
            </w:r>
            <w:r>
              <w:rPr>
                <w:rFonts w:ascii="宋体" w:eastAsia="宋体"/>
                <w:spacing w:val="-40"/>
                <w:sz w:val="24"/>
                <w:lang w:eastAsia="zh-CN"/>
              </w:rPr>
              <w:t xml:space="preserve"> </w:t>
            </w:r>
            <w:r>
              <w:rPr>
                <w:rFonts w:ascii="宋体" w:eastAsia="宋体"/>
                <w:spacing w:val="-11"/>
                <w:sz w:val="24"/>
                <w:lang w:eastAsia="zh-CN"/>
              </w:rPr>
              <w:t>他</w:t>
            </w:r>
            <w:r>
              <w:rPr>
                <w:rFonts w:ascii="宋体" w:eastAsia="宋体"/>
                <w:spacing w:val="-38"/>
                <w:sz w:val="24"/>
                <w:lang w:eastAsia="zh-CN"/>
              </w:rPr>
              <w:t xml:space="preserve"> </w:t>
            </w:r>
            <w:r>
              <w:rPr>
                <w:rFonts w:ascii="宋体" w:eastAsia="宋体"/>
                <w:spacing w:val="-11"/>
                <w:sz w:val="24"/>
                <w:lang w:eastAsia="zh-CN"/>
              </w:rPr>
              <w:t>投</w:t>
            </w:r>
            <w:r>
              <w:rPr>
                <w:rFonts w:ascii="宋体" w:eastAsia="宋体"/>
                <w:spacing w:val="-39"/>
                <w:sz w:val="24"/>
                <w:lang w:eastAsia="zh-CN"/>
              </w:rPr>
              <w:t xml:space="preserve"> </w:t>
            </w:r>
            <w:r>
              <w:rPr>
                <w:rFonts w:ascii="宋体" w:eastAsia="宋体"/>
                <w:spacing w:val="-11"/>
                <w:sz w:val="24"/>
                <w:lang w:eastAsia="zh-CN"/>
              </w:rPr>
              <w:t>标</w:t>
            </w:r>
            <w:r>
              <w:rPr>
                <w:rFonts w:ascii="宋体" w:eastAsia="宋体"/>
                <w:spacing w:val="-38"/>
                <w:sz w:val="24"/>
                <w:lang w:eastAsia="zh-CN"/>
              </w:rPr>
              <w:t xml:space="preserve"> </w:t>
            </w:r>
            <w:r>
              <w:rPr>
                <w:rFonts w:ascii="宋体" w:eastAsia="宋体"/>
                <w:spacing w:val="-11"/>
                <w:sz w:val="24"/>
                <w:lang w:eastAsia="zh-CN"/>
              </w:rPr>
              <w:t>人</w:t>
            </w:r>
            <w:r>
              <w:rPr>
                <w:rFonts w:ascii="宋体" w:eastAsia="宋体"/>
                <w:spacing w:val="-25"/>
                <w:sz w:val="24"/>
                <w:lang w:eastAsia="zh-CN"/>
              </w:rPr>
              <w:t xml:space="preserve"> </w:t>
            </w:r>
            <w:r>
              <w:rPr>
                <w:rFonts w:ascii="宋体" w:eastAsia="宋体"/>
                <w:spacing w:val="-11"/>
                <w:sz w:val="24"/>
                <w:lang w:eastAsia="zh-CN"/>
              </w:rPr>
              <w:t>的</w:t>
            </w:r>
            <w:r>
              <w:rPr>
                <w:rFonts w:ascii="宋体" w:eastAsia="宋体"/>
                <w:spacing w:val="-39"/>
                <w:sz w:val="24"/>
                <w:lang w:eastAsia="zh-CN"/>
              </w:rPr>
              <w:t xml:space="preserve"> </w:t>
            </w:r>
            <w:r>
              <w:rPr>
                <w:rFonts w:ascii="宋体" w:eastAsia="宋体"/>
                <w:spacing w:val="-11"/>
                <w:sz w:val="24"/>
                <w:lang w:eastAsia="zh-CN"/>
              </w:rPr>
              <w:t>价</w:t>
            </w:r>
            <w:r>
              <w:rPr>
                <w:rFonts w:ascii="宋体" w:eastAsia="宋体"/>
                <w:spacing w:val="-40"/>
                <w:sz w:val="24"/>
                <w:lang w:eastAsia="zh-CN"/>
              </w:rPr>
              <w:t xml:space="preserve"> </w:t>
            </w:r>
            <w:r>
              <w:rPr>
                <w:rFonts w:ascii="宋体" w:eastAsia="宋体"/>
                <w:spacing w:val="-11"/>
                <w:sz w:val="24"/>
                <w:lang w:eastAsia="zh-CN"/>
              </w:rPr>
              <w:t>格</w:t>
            </w:r>
            <w:r>
              <w:rPr>
                <w:rFonts w:ascii="宋体" w:eastAsia="宋体"/>
                <w:spacing w:val="-39"/>
                <w:sz w:val="24"/>
                <w:lang w:eastAsia="zh-CN"/>
              </w:rPr>
              <w:t xml:space="preserve"> </w:t>
            </w:r>
            <w:r>
              <w:rPr>
                <w:rFonts w:ascii="宋体" w:eastAsia="宋体"/>
                <w:spacing w:val="-11"/>
                <w:sz w:val="24"/>
                <w:lang w:eastAsia="zh-CN"/>
              </w:rPr>
              <w:t>得</w:t>
            </w:r>
            <w:r>
              <w:rPr>
                <w:rFonts w:ascii="宋体" w:eastAsia="宋体"/>
                <w:spacing w:val="-38"/>
                <w:sz w:val="24"/>
                <w:lang w:eastAsia="zh-CN"/>
              </w:rPr>
              <w:t xml:space="preserve"> </w:t>
            </w:r>
            <w:r>
              <w:rPr>
                <w:rFonts w:ascii="宋体" w:eastAsia="宋体"/>
                <w:spacing w:val="-11"/>
                <w:sz w:val="24"/>
                <w:lang w:eastAsia="zh-CN"/>
              </w:rPr>
              <w:t>分</w:t>
            </w:r>
            <w:r>
              <w:rPr>
                <w:rFonts w:ascii="宋体" w:eastAsia="宋体"/>
                <w:spacing w:val="-38"/>
                <w:sz w:val="24"/>
                <w:lang w:eastAsia="zh-CN"/>
              </w:rPr>
              <w:t xml:space="preserve"> </w:t>
            </w:r>
            <w:r>
              <w:rPr>
                <w:rFonts w:ascii="宋体" w:eastAsia="宋体"/>
                <w:spacing w:val="-11"/>
                <w:sz w:val="24"/>
                <w:lang w:eastAsia="zh-CN"/>
              </w:rPr>
              <w:t>按</w:t>
            </w:r>
            <w:r>
              <w:rPr>
                <w:rFonts w:ascii="宋体" w:eastAsia="宋体"/>
                <w:spacing w:val="-34"/>
                <w:sz w:val="24"/>
                <w:lang w:eastAsia="zh-CN"/>
              </w:rPr>
              <w:t xml:space="preserve"> </w:t>
            </w:r>
            <w:r>
              <w:rPr>
                <w:rFonts w:ascii="宋体" w:eastAsia="宋体"/>
                <w:spacing w:val="-11"/>
                <w:sz w:val="24"/>
                <w:lang w:eastAsia="zh-CN"/>
              </w:rPr>
              <w:t>下</w:t>
            </w:r>
            <w:r>
              <w:rPr>
                <w:rFonts w:ascii="宋体" w:eastAsia="宋体"/>
                <w:spacing w:val="-36"/>
                <w:sz w:val="24"/>
                <w:lang w:eastAsia="zh-CN"/>
              </w:rPr>
              <w:t xml:space="preserve"> </w:t>
            </w:r>
            <w:r>
              <w:rPr>
                <w:rFonts w:ascii="宋体" w:eastAsia="宋体"/>
                <w:spacing w:val="-11"/>
                <w:sz w:val="24"/>
                <w:lang w:eastAsia="zh-CN"/>
              </w:rPr>
              <w:t>列</w:t>
            </w:r>
            <w:r>
              <w:rPr>
                <w:rFonts w:ascii="宋体" w:eastAsia="宋体"/>
                <w:spacing w:val="-34"/>
                <w:sz w:val="24"/>
                <w:lang w:eastAsia="zh-CN"/>
              </w:rPr>
              <w:t xml:space="preserve"> </w:t>
            </w:r>
            <w:r>
              <w:rPr>
                <w:rFonts w:ascii="宋体" w:eastAsia="宋体"/>
                <w:spacing w:val="-11"/>
                <w:sz w:val="24"/>
                <w:lang w:eastAsia="zh-CN"/>
              </w:rPr>
              <w:t>公</w:t>
            </w:r>
            <w:r>
              <w:rPr>
                <w:rFonts w:ascii="宋体" w:eastAsia="宋体"/>
                <w:spacing w:val="-37"/>
                <w:sz w:val="24"/>
                <w:lang w:eastAsia="zh-CN"/>
              </w:rPr>
              <w:t xml:space="preserve"> </w:t>
            </w:r>
            <w:r>
              <w:rPr>
                <w:rFonts w:ascii="宋体" w:eastAsia="宋体"/>
                <w:spacing w:val="-11"/>
                <w:sz w:val="24"/>
                <w:lang w:eastAsia="zh-CN"/>
              </w:rPr>
              <w:t>式</w:t>
            </w:r>
            <w:r>
              <w:rPr>
                <w:rFonts w:ascii="宋体" w:eastAsia="宋体"/>
                <w:spacing w:val="-39"/>
                <w:sz w:val="24"/>
                <w:lang w:eastAsia="zh-CN"/>
              </w:rPr>
              <w:t xml:space="preserve"> </w:t>
            </w:r>
            <w:r>
              <w:rPr>
                <w:rFonts w:ascii="宋体" w:eastAsia="宋体"/>
                <w:spacing w:val="-11"/>
                <w:sz w:val="24"/>
                <w:lang w:eastAsia="zh-CN"/>
              </w:rPr>
              <w:t>计</w:t>
            </w:r>
            <w:r>
              <w:rPr>
                <w:rFonts w:ascii="宋体" w:eastAsia="宋体"/>
                <w:spacing w:val="-39"/>
                <w:sz w:val="24"/>
                <w:lang w:eastAsia="zh-CN"/>
              </w:rPr>
              <w:t xml:space="preserve"> </w:t>
            </w:r>
            <w:r>
              <w:rPr>
                <w:rFonts w:ascii="宋体" w:eastAsia="宋体"/>
                <w:spacing w:val="-11"/>
                <w:sz w:val="24"/>
                <w:lang w:eastAsia="zh-CN"/>
              </w:rPr>
              <w:t>算</w:t>
            </w:r>
            <w:r>
              <w:rPr>
                <w:rFonts w:ascii="宋体" w:eastAsia="宋体"/>
                <w:spacing w:val="-24"/>
                <w:sz w:val="24"/>
                <w:lang w:eastAsia="zh-CN"/>
              </w:rPr>
              <w:t xml:space="preserve"> </w:t>
            </w:r>
            <w:r>
              <w:rPr>
                <w:rFonts w:ascii="宋体" w:eastAsia="宋体"/>
                <w:spacing w:val="-11"/>
                <w:sz w:val="24"/>
                <w:lang w:eastAsia="zh-CN"/>
              </w:rPr>
              <w:t>：</w:t>
            </w:r>
            <w:r>
              <w:rPr>
                <w:rFonts w:ascii="宋体" w:eastAsia="宋体"/>
                <w:spacing w:val="-38"/>
                <w:sz w:val="24"/>
                <w:lang w:eastAsia="zh-CN"/>
              </w:rPr>
              <w:t xml:space="preserve"> </w:t>
            </w:r>
          </w:p>
          <w:p w14:paraId="08A1E211">
            <w:pPr>
              <w:pStyle w:val="180"/>
              <w:snapToGrid w:val="0"/>
              <w:spacing w:before="227" w:line="240" w:lineRule="auto"/>
              <w:ind w:left="0" w:leftChars="0" w:right="0" w:rightChars="0" w:firstLine="0" w:firstLineChars="0"/>
              <w:jc w:val="left"/>
              <w:rPr>
                <w:rFonts w:ascii="宋体" w:eastAsia="宋体"/>
                <w:sz w:val="24"/>
                <w:lang w:eastAsia="zh-CN"/>
              </w:rPr>
            </w:pPr>
            <w:r>
              <w:rPr>
                <w:rFonts w:ascii="宋体" w:eastAsia="宋体"/>
                <w:spacing w:val="-11"/>
                <w:sz w:val="24"/>
                <w:lang w:eastAsia="zh-CN"/>
              </w:rPr>
              <w:t>投</w:t>
            </w:r>
            <w:r>
              <w:rPr>
                <w:rFonts w:ascii="宋体" w:eastAsia="宋体"/>
                <w:spacing w:val="-39"/>
                <w:sz w:val="24"/>
                <w:lang w:eastAsia="zh-CN"/>
              </w:rPr>
              <w:t xml:space="preserve"> </w:t>
            </w:r>
            <w:r>
              <w:rPr>
                <w:rFonts w:ascii="宋体" w:eastAsia="宋体"/>
                <w:spacing w:val="-12"/>
                <w:sz w:val="24"/>
                <w:lang w:eastAsia="zh-CN"/>
              </w:rPr>
              <w:t>标</w:t>
            </w:r>
            <w:r>
              <w:rPr>
                <w:rFonts w:ascii="宋体" w:eastAsia="宋体"/>
                <w:spacing w:val="-39"/>
                <w:sz w:val="24"/>
                <w:lang w:eastAsia="zh-CN"/>
              </w:rPr>
              <w:t xml:space="preserve"> </w:t>
            </w:r>
            <w:r>
              <w:rPr>
                <w:rFonts w:ascii="宋体" w:eastAsia="宋体"/>
                <w:spacing w:val="-12"/>
                <w:sz w:val="24"/>
                <w:lang w:eastAsia="zh-CN"/>
              </w:rPr>
              <w:t>价</w:t>
            </w:r>
            <w:r>
              <w:rPr>
                <w:rFonts w:ascii="宋体" w:eastAsia="宋体"/>
                <w:spacing w:val="-40"/>
                <w:sz w:val="24"/>
                <w:lang w:eastAsia="zh-CN"/>
              </w:rPr>
              <w:t xml:space="preserve"> </w:t>
            </w:r>
            <w:r>
              <w:rPr>
                <w:rFonts w:ascii="宋体" w:eastAsia="宋体"/>
                <w:spacing w:val="-12"/>
                <w:sz w:val="24"/>
                <w:lang w:eastAsia="zh-CN"/>
              </w:rPr>
              <w:t>格</w:t>
            </w:r>
            <w:r>
              <w:rPr>
                <w:rFonts w:ascii="宋体" w:eastAsia="宋体"/>
                <w:spacing w:val="-39"/>
                <w:sz w:val="24"/>
                <w:lang w:eastAsia="zh-CN"/>
              </w:rPr>
              <w:t xml:space="preserve"> </w:t>
            </w:r>
            <w:r>
              <w:rPr>
                <w:rFonts w:ascii="宋体" w:eastAsia="宋体"/>
                <w:spacing w:val="-12"/>
                <w:sz w:val="24"/>
                <w:lang w:eastAsia="zh-CN"/>
              </w:rPr>
              <w:t>得</w:t>
            </w:r>
            <w:r>
              <w:rPr>
                <w:rFonts w:ascii="宋体" w:eastAsia="宋体"/>
                <w:spacing w:val="-37"/>
                <w:sz w:val="24"/>
                <w:lang w:eastAsia="zh-CN"/>
              </w:rPr>
              <w:t xml:space="preserve"> </w:t>
            </w:r>
            <w:r>
              <w:rPr>
                <w:rFonts w:ascii="宋体" w:eastAsia="宋体"/>
                <w:spacing w:val="-12"/>
                <w:sz w:val="24"/>
                <w:lang w:eastAsia="zh-CN"/>
              </w:rPr>
              <w:t>分</w:t>
            </w:r>
            <w:r>
              <w:rPr>
                <w:rFonts w:ascii="宋体" w:eastAsia="宋体"/>
                <w:spacing w:val="-41"/>
                <w:sz w:val="24"/>
                <w:lang w:eastAsia="zh-CN"/>
              </w:rPr>
              <w:t xml:space="preserve"> </w:t>
            </w:r>
            <w:r>
              <w:rPr>
                <w:rFonts w:ascii="宋体" w:eastAsia="宋体"/>
                <w:spacing w:val="-12"/>
                <w:sz w:val="24"/>
                <w:lang w:eastAsia="zh-CN"/>
              </w:rPr>
              <w:t>=1</w:t>
            </w:r>
            <w:r>
              <w:rPr>
                <w:rFonts w:ascii="宋体" w:eastAsia="宋体"/>
                <w:spacing w:val="-38"/>
                <w:sz w:val="24"/>
                <w:lang w:eastAsia="zh-CN"/>
              </w:rPr>
              <w:t xml:space="preserve"> </w:t>
            </w:r>
            <w:r>
              <w:rPr>
                <w:rFonts w:ascii="宋体" w:eastAsia="宋体"/>
                <w:spacing w:val="-12"/>
                <w:sz w:val="24"/>
                <w:lang w:eastAsia="zh-CN"/>
              </w:rPr>
              <w:t>0</w:t>
            </w:r>
            <w:r>
              <w:rPr>
                <w:rFonts w:ascii="宋体" w:eastAsia="宋体"/>
                <w:spacing w:val="-39"/>
                <w:sz w:val="24"/>
                <w:lang w:eastAsia="zh-CN"/>
              </w:rPr>
              <w:t xml:space="preserve"> </w:t>
            </w:r>
            <w:r>
              <w:rPr>
                <w:rFonts w:ascii="宋体" w:eastAsia="宋体"/>
                <w:spacing w:val="-12"/>
                <w:sz w:val="24"/>
                <w:lang w:eastAsia="zh-CN"/>
              </w:rPr>
              <w:t>0 ×</w:t>
            </w:r>
            <w:r>
              <w:rPr>
                <w:rFonts w:ascii="宋体" w:eastAsia="宋体"/>
                <w:spacing w:val="-10"/>
                <w:sz w:val="24"/>
                <w:lang w:eastAsia="zh-CN"/>
              </w:rPr>
              <w:t>(</w:t>
            </w:r>
            <w:r>
              <w:rPr>
                <w:rFonts w:ascii="宋体" w:eastAsia="宋体"/>
                <w:spacing w:val="-15"/>
                <w:sz w:val="24"/>
                <w:lang w:eastAsia="zh-CN"/>
              </w:rPr>
              <w:t xml:space="preserve"> </w:t>
            </w:r>
            <w:r>
              <w:rPr>
                <w:rFonts w:ascii="宋体" w:eastAsia="宋体"/>
                <w:spacing w:val="-10"/>
                <w:sz w:val="24"/>
                <w:lang w:eastAsia="zh-CN"/>
              </w:rPr>
              <w:t>评</w:t>
            </w:r>
            <w:r>
              <w:rPr>
                <w:rFonts w:ascii="宋体" w:eastAsia="宋体"/>
                <w:spacing w:val="-22"/>
                <w:sz w:val="24"/>
                <w:lang w:eastAsia="zh-CN"/>
              </w:rPr>
              <w:t xml:space="preserve"> </w:t>
            </w:r>
            <w:r>
              <w:rPr>
                <w:rFonts w:ascii="宋体" w:eastAsia="宋体"/>
                <w:spacing w:val="-10"/>
                <w:sz w:val="24"/>
                <w:lang w:eastAsia="zh-CN"/>
              </w:rPr>
              <w:t>标</w:t>
            </w:r>
            <w:r>
              <w:rPr>
                <w:rFonts w:ascii="宋体" w:eastAsia="宋体"/>
                <w:spacing w:val="-22"/>
                <w:sz w:val="24"/>
                <w:lang w:eastAsia="zh-CN"/>
              </w:rPr>
              <w:t xml:space="preserve"> </w:t>
            </w:r>
            <w:r>
              <w:rPr>
                <w:rFonts w:ascii="宋体" w:eastAsia="宋体"/>
                <w:spacing w:val="-10"/>
                <w:sz w:val="24"/>
                <w:lang w:eastAsia="zh-CN"/>
              </w:rPr>
              <w:t>基</w:t>
            </w:r>
            <w:r>
              <w:rPr>
                <w:rFonts w:ascii="宋体" w:eastAsia="宋体"/>
                <w:spacing w:val="-22"/>
                <w:sz w:val="24"/>
                <w:lang w:eastAsia="zh-CN"/>
              </w:rPr>
              <w:t xml:space="preserve"> </w:t>
            </w:r>
            <w:r>
              <w:rPr>
                <w:rFonts w:ascii="宋体" w:eastAsia="宋体"/>
                <w:spacing w:val="-10"/>
                <w:sz w:val="24"/>
                <w:lang w:eastAsia="zh-CN"/>
              </w:rPr>
              <w:t>准</w:t>
            </w:r>
            <w:r>
              <w:rPr>
                <w:rFonts w:ascii="宋体" w:eastAsia="宋体"/>
                <w:spacing w:val="-21"/>
                <w:sz w:val="24"/>
                <w:lang w:eastAsia="zh-CN"/>
              </w:rPr>
              <w:t xml:space="preserve"> </w:t>
            </w:r>
            <w:r>
              <w:rPr>
                <w:rFonts w:ascii="宋体" w:eastAsia="宋体"/>
                <w:spacing w:val="-10"/>
                <w:sz w:val="24"/>
                <w:lang w:eastAsia="zh-CN"/>
              </w:rPr>
              <w:t>价</w:t>
            </w:r>
            <w:r>
              <w:rPr>
                <w:rFonts w:ascii="宋体" w:eastAsia="宋体"/>
                <w:spacing w:val="-24"/>
                <w:sz w:val="24"/>
                <w:lang w:eastAsia="zh-CN"/>
              </w:rPr>
              <w:t xml:space="preserve"> </w:t>
            </w:r>
            <w:r>
              <w:rPr>
                <w:rFonts w:ascii="宋体" w:eastAsia="宋体"/>
                <w:spacing w:val="-10"/>
                <w:sz w:val="24"/>
                <w:lang w:eastAsia="zh-CN"/>
              </w:rPr>
              <w:t>/</w:t>
            </w:r>
            <w:r>
              <w:rPr>
                <w:rFonts w:ascii="宋体" w:eastAsia="宋体"/>
                <w:spacing w:val="-20"/>
                <w:sz w:val="24"/>
                <w:lang w:eastAsia="zh-CN"/>
              </w:rPr>
              <w:t xml:space="preserve"> </w:t>
            </w:r>
            <w:r>
              <w:rPr>
                <w:rFonts w:ascii="宋体" w:eastAsia="宋体"/>
                <w:spacing w:val="-10"/>
                <w:sz w:val="24"/>
                <w:lang w:eastAsia="zh-CN"/>
              </w:rPr>
              <w:t>投</w:t>
            </w:r>
            <w:r>
              <w:rPr>
                <w:rFonts w:ascii="宋体" w:eastAsia="宋体"/>
                <w:spacing w:val="-22"/>
                <w:sz w:val="24"/>
                <w:lang w:eastAsia="zh-CN"/>
              </w:rPr>
              <w:t xml:space="preserve"> </w:t>
            </w:r>
            <w:r>
              <w:rPr>
                <w:rFonts w:ascii="宋体" w:eastAsia="宋体"/>
                <w:spacing w:val="-10"/>
                <w:sz w:val="24"/>
                <w:lang w:eastAsia="zh-CN"/>
              </w:rPr>
              <w:t>标</w:t>
            </w:r>
            <w:r>
              <w:rPr>
                <w:rFonts w:ascii="宋体" w:eastAsia="宋体"/>
                <w:spacing w:val="-24"/>
                <w:sz w:val="24"/>
                <w:lang w:eastAsia="zh-CN"/>
              </w:rPr>
              <w:t xml:space="preserve"> </w:t>
            </w:r>
            <w:r>
              <w:rPr>
                <w:rFonts w:ascii="宋体" w:eastAsia="宋体"/>
                <w:spacing w:val="-10"/>
                <w:sz w:val="24"/>
                <w:lang w:eastAsia="zh-CN"/>
              </w:rPr>
              <w:t>报</w:t>
            </w:r>
            <w:r>
              <w:rPr>
                <w:rFonts w:ascii="宋体" w:eastAsia="宋体"/>
                <w:spacing w:val="-22"/>
                <w:sz w:val="24"/>
                <w:lang w:eastAsia="zh-CN"/>
              </w:rPr>
              <w:t xml:space="preserve"> </w:t>
            </w:r>
            <w:r>
              <w:rPr>
                <w:rFonts w:ascii="宋体" w:eastAsia="宋体"/>
                <w:spacing w:val="-10"/>
                <w:sz w:val="24"/>
                <w:lang w:eastAsia="zh-CN"/>
              </w:rPr>
              <w:t>价</w:t>
            </w:r>
            <w:r>
              <w:rPr>
                <w:rFonts w:ascii="宋体" w:eastAsia="宋体"/>
                <w:spacing w:val="-22"/>
                <w:sz w:val="24"/>
                <w:lang w:eastAsia="zh-CN"/>
              </w:rPr>
              <w:t xml:space="preserve"> </w:t>
            </w:r>
            <w:r>
              <w:rPr>
                <w:rFonts w:ascii="宋体" w:eastAsia="宋体"/>
                <w:spacing w:val="-10"/>
                <w:sz w:val="24"/>
                <w:lang w:eastAsia="zh-CN"/>
              </w:rPr>
              <w:t>)</w:t>
            </w:r>
            <w:r>
              <w:rPr>
                <w:rFonts w:ascii="宋体" w:eastAsia="宋体"/>
                <w:spacing w:val="-29"/>
                <w:sz w:val="24"/>
                <w:lang w:eastAsia="zh-CN"/>
              </w:rPr>
              <w:t xml:space="preserve"> </w:t>
            </w:r>
            <w:r>
              <w:rPr>
                <w:rFonts w:ascii="宋体" w:eastAsia="宋体"/>
                <w:spacing w:val="-10"/>
                <w:sz w:val="24"/>
                <w:lang w:eastAsia="zh-CN"/>
              </w:rPr>
              <w:t>。</w:t>
            </w:r>
          </w:p>
          <w:p w14:paraId="1E3043C9">
            <w:pPr>
              <w:pStyle w:val="180"/>
              <w:snapToGrid w:val="0"/>
              <w:spacing w:before="129" w:line="240" w:lineRule="auto"/>
              <w:ind w:left="0" w:leftChars="0" w:right="0" w:rightChars="0" w:firstLine="0" w:firstLineChars="0"/>
              <w:jc w:val="left"/>
              <w:rPr>
                <w:rFonts w:ascii="宋体" w:eastAsia="宋体"/>
                <w:sz w:val="24"/>
                <w:szCs w:val="21"/>
                <w:lang w:eastAsia="zh-CN"/>
              </w:rPr>
            </w:pPr>
            <w:r>
              <w:rPr>
                <w:rFonts w:ascii="宋体" w:eastAsia="宋体"/>
                <w:spacing w:val="-11"/>
                <w:sz w:val="24"/>
                <w:lang w:eastAsia="zh-CN"/>
              </w:rPr>
              <w:t>注 ：</w:t>
            </w:r>
            <w:r>
              <w:rPr>
                <w:rFonts w:ascii="宋体" w:eastAsia="宋体"/>
                <w:spacing w:val="-22"/>
                <w:sz w:val="24"/>
                <w:lang w:eastAsia="zh-CN"/>
              </w:rPr>
              <w:t xml:space="preserve"> </w:t>
            </w:r>
            <w:r>
              <w:rPr>
                <w:rFonts w:ascii="宋体" w:eastAsia="宋体"/>
                <w:spacing w:val="-11"/>
                <w:sz w:val="24"/>
                <w:lang w:eastAsia="zh-CN"/>
              </w:rPr>
              <w:t>得</w:t>
            </w:r>
            <w:r>
              <w:rPr>
                <w:rFonts w:ascii="宋体" w:eastAsia="宋体"/>
                <w:spacing w:val="-21"/>
                <w:sz w:val="24"/>
                <w:lang w:eastAsia="zh-CN"/>
              </w:rPr>
              <w:t xml:space="preserve"> </w:t>
            </w:r>
            <w:r>
              <w:rPr>
                <w:rFonts w:ascii="宋体" w:eastAsia="宋体"/>
                <w:spacing w:val="-11"/>
                <w:sz w:val="24"/>
                <w:lang w:eastAsia="zh-CN"/>
              </w:rPr>
              <w:t>分</w:t>
            </w:r>
            <w:r>
              <w:rPr>
                <w:rFonts w:ascii="宋体" w:eastAsia="宋体"/>
                <w:spacing w:val="-23"/>
                <w:sz w:val="24"/>
                <w:lang w:eastAsia="zh-CN"/>
              </w:rPr>
              <w:t xml:space="preserve"> </w:t>
            </w:r>
            <w:r>
              <w:rPr>
                <w:rFonts w:ascii="宋体" w:eastAsia="宋体"/>
                <w:spacing w:val="-11"/>
                <w:sz w:val="24"/>
                <w:lang w:eastAsia="zh-CN"/>
              </w:rPr>
              <w:t>值</w:t>
            </w:r>
            <w:r>
              <w:rPr>
                <w:rFonts w:ascii="宋体" w:eastAsia="宋体"/>
                <w:spacing w:val="-20"/>
                <w:sz w:val="24"/>
                <w:lang w:eastAsia="zh-CN"/>
              </w:rPr>
              <w:t xml:space="preserve"> </w:t>
            </w:r>
            <w:r>
              <w:rPr>
                <w:rFonts w:ascii="宋体" w:eastAsia="宋体"/>
                <w:spacing w:val="-11"/>
                <w:sz w:val="24"/>
                <w:lang w:eastAsia="zh-CN"/>
              </w:rPr>
              <w:t>取 小</w:t>
            </w:r>
            <w:r>
              <w:rPr>
                <w:rFonts w:ascii="宋体" w:eastAsia="宋体"/>
                <w:spacing w:val="-22"/>
                <w:sz w:val="24"/>
                <w:lang w:eastAsia="zh-CN"/>
              </w:rPr>
              <w:t xml:space="preserve"> </w:t>
            </w:r>
            <w:r>
              <w:rPr>
                <w:rFonts w:ascii="宋体" w:eastAsia="宋体"/>
                <w:spacing w:val="-11"/>
                <w:sz w:val="24"/>
                <w:lang w:eastAsia="zh-CN"/>
              </w:rPr>
              <w:t>数 点</w:t>
            </w:r>
            <w:r>
              <w:rPr>
                <w:rFonts w:ascii="宋体" w:eastAsia="宋体"/>
                <w:spacing w:val="-21"/>
                <w:sz w:val="24"/>
                <w:lang w:eastAsia="zh-CN"/>
              </w:rPr>
              <w:t xml:space="preserve"> </w:t>
            </w:r>
            <w:r>
              <w:rPr>
                <w:rFonts w:ascii="宋体" w:eastAsia="宋体"/>
                <w:spacing w:val="-11"/>
                <w:sz w:val="24"/>
                <w:lang w:eastAsia="zh-CN"/>
              </w:rPr>
              <w:t>后</w:t>
            </w:r>
            <w:r>
              <w:rPr>
                <w:rFonts w:ascii="宋体" w:eastAsia="宋体"/>
                <w:spacing w:val="-22"/>
                <w:sz w:val="24"/>
                <w:lang w:eastAsia="zh-CN"/>
              </w:rPr>
              <w:t xml:space="preserve"> </w:t>
            </w:r>
            <w:r>
              <w:rPr>
                <w:rFonts w:ascii="宋体" w:eastAsia="宋体"/>
                <w:spacing w:val="-11"/>
                <w:sz w:val="24"/>
                <w:lang w:eastAsia="zh-CN"/>
              </w:rPr>
              <w:t>两</w:t>
            </w:r>
            <w:r>
              <w:rPr>
                <w:rFonts w:ascii="宋体" w:eastAsia="宋体"/>
                <w:spacing w:val="-23"/>
                <w:sz w:val="24"/>
                <w:lang w:eastAsia="zh-CN"/>
              </w:rPr>
              <w:t xml:space="preserve"> </w:t>
            </w:r>
            <w:r>
              <w:rPr>
                <w:rFonts w:ascii="宋体" w:eastAsia="宋体"/>
                <w:spacing w:val="-11"/>
                <w:sz w:val="24"/>
                <w:lang w:eastAsia="zh-CN"/>
              </w:rPr>
              <w:t>位 ，</w:t>
            </w:r>
            <w:r>
              <w:rPr>
                <w:rFonts w:ascii="宋体" w:eastAsia="宋体"/>
                <w:spacing w:val="-20"/>
                <w:sz w:val="24"/>
                <w:lang w:eastAsia="zh-CN"/>
              </w:rPr>
              <w:t xml:space="preserve"> </w:t>
            </w:r>
            <w:r>
              <w:rPr>
                <w:rFonts w:ascii="宋体" w:eastAsia="宋体"/>
                <w:spacing w:val="-11"/>
                <w:sz w:val="24"/>
                <w:lang w:eastAsia="zh-CN"/>
              </w:rPr>
              <w:t>不</w:t>
            </w:r>
            <w:r>
              <w:rPr>
                <w:rFonts w:ascii="宋体" w:eastAsia="宋体"/>
                <w:spacing w:val="-20"/>
                <w:sz w:val="24"/>
                <w:lang w:eastAsia="zh-CN"/>
              </w:rPr>
              <w:t xml:space="preserve"> </w:t>
            </w:r>
            <w:r>
              <w:rPr>
                <w:rFonts w:ascii="宋体" w:eastAsia="宋体"/>
                <w:spacing w:val="-11"/>
                <w:sz w:val="24"/>
                <w:lang w:eastAsia="zh-CN"/>
              </w:rPr>
              <w:t>足</w:t>
            </w:r>
            <w:r>
              <w:rPr>
                <w:rFonts w:ascii="宋体" w:eastAsia="宋体"/>
                <w:spacing w:val="-20"/>
                <w:sz w:val="24"/>
                <w:lang w:eastAsia="zh-CN"/>
              </w:rPr>
              <w:t xml:space="preserve"> </w:t>
            </w:r>
            <w:r>
              <w:rPr>
                <w:rFonts w:ascii="宋体" w:eastAsia="宋体"/>
                <w:spacing w:val="-11"/>
                <w:sz w:val="24"/>
                <w:lang w:eastAsia="zh-CN"/>
              </w:rPr>
              <w:t>一</w:t>
            </w:r>
            <w:r>
              <w:rPr>
                <w:rFonts w:ascii="宋体" w:eastAsia="宋体"/>
                <w:spacing w:val="-23"/>
                <w:sz w:val="24"/>
                <w:lang w:eastAsia="zh-CN"/>
              </w:rPr>
              <w:t xml:space="preserve"> </w:t>
            </w:r>
            <w:r>
              <w:rPr>
                <w:rFonts w:ascii="宋体" w:eastAsia="宋体"/>
                <w:spacing w:val="-11"/>
                <w:sz w:val="24"/>
                <w:lang w:eastAsia="zh-CN"/>
              </w:rPr>
              <w:t>个</w:t>
            </w:r>
            <w:r>
              <w:rPr>
                <w:rFonts w:ascii="宋体" w:eastAsia="宋体"/>
                <w:spacing w:val="-17"/>
                <w:sz w:val="24"/>
                <w:lang w:eastAsia="zh-CN"/>
              </w:rPr>
              <w:t xml:space="preserve"> </w:t>
            </w:r>
            <w:r>
              <w:rPr>
                <w:rFonts w:ascii="宋体" w:eastAsia="宋体"/>
                <w:spacing w:val="-11"/>
                <w:sz w:val="24"/>
                <w:lang w:eastAsia="zh-CN"/>
              </w:rPr>
              <w:t>百</w:t>
            </w:r>
            <w:r>
              <w:rPr>
                <w:rFonts w:ascii="宋体" w:eastAsia="宋体"/>
                <w:spacing w:val="-20"/>
                <w:sz w:val="24"/>
                <w:lang w:eastAsia="zh-CN"/>
              </w:rPr>
              <w:t xml:space="preserve"> </w:t>
            </w:r>
            <w:r>
              <w:rPr>
                <w:rFonts w:ascii="宋体" w:eastAsia="宋体"/>
                <w:spacing w:val="-11"/>
                <w:sz w:val="24"/>
                <w:lang w:eastAsia="zh-CN"/>
              </w:rPr>
              <w:t>分 点</w:t>
            </w:r>
            <w:r>
              <w:rPr>
                <w:rFonts w:ascii="宋体" w:eastAsia="宋体"/>
                <w:spacing w:val="-8"/>
                <w:sz w:val="24"/>
                <w:lang w:eastAsia="zh-CN"/>
              </w:rPr>
              <w:t xml:space="preserve"> </w:t>
            </w:r>
            <w:r>
              <w:rPr>
                <w:rFonts w:ascii="宋体" w:eastAsia="宋体"/>
                <w:spacing w:val="-11"/>
                <w:sz w:val="24"/>
                <w:lang w:eastAsia="zh-CN"/>
              </w:rPr>
              <w:t>的</w:t>
            </w:r>
            <w:r>
              <w:rPr>
                <w:rFonts w:ascii="宋体" w:eastAsia="宋体"/>
                <w:spacing w:val="-9"/>
                <w:sz w:val="24"/>
                <w:lang w:eastAsia="zh-CN"/>
              </w:rPr>
              <w:t xml:space="preserve"> </w:t>
            </w:r>
            <w:r>
              <w:rPr>
                <w:rFonts w:ascii="宋体" w:eastAsia="宋体"/>
                <w:spacing w:val="-11"/>
                <w:sz w:val="24"/>
                <w:lang w:eastAsia="zh-CN"/>
              </w:rPr>
              <w:t>，</w:t>
            </w:r>
            <w:r>
              <w:rPr>
                <w:rFonts w:ascii="宋体" w:eastAsia="宋体"/>
                <w:spacing w:val="-21"/>
                <w:sz w:val="24"/>
                <w:lang w:eastAsia="zh-CN"/>
              </w:rPr>
              <w:t xml:space="preserve"> </w:t>
            </w:r>
            <w:r>
              <w:rPr>
                <w:rFonts w:ascii="宋体" w:eastAsia="宋体"/>
                <w:spacing w:val="-11"/>
                <w:sz w:val="24"/>
                <w:lang w:eastAsia="zh-CN"/>
              </w:rPr>
              <w:t>按</w:t>
            </w:r>
            <w:r>
              <w:rPr>
                <w:rFonts w:ascii="宋体" w:eastAsia="宋体"/>
                <w:spacing w:val="-17"/>
                <w:sz w:val="24"/>
                <w:lang w:eastAsia="zh-CN"/>
              </w:rPr>
              <w:t xml:space="preserve"> </w:t>
            </w:r>
            <w:r>
              <w:rPr>
                <w:rFonts w:ascii="宋体" w:eastAsia="宋体"/>
                <w:spacing w:val="-11"/>
                <w:sz w:val="24"/>
                <w:lang w:eastAsia="zh-CN"/>
              </w:rPr>
              <w:t>照 四</w:t>
            </w:r>
            <w:r>
              <w:rPr>
                <w:rFonts w:ascii="宋体" w:eastAsia="宋体"/>
                <w:spacing w:val="-22"/>
                <w:sz w:val="24"/>
                <w:lang w:eastAsia="zh-CN"/>
              </w:rPr>
              <w:t xml:space="preserve"> </w:t>
            </w:r>
            <w:r>
              <w:rPr>
                <w:rFonts w:ascii="宋体" w:eastAsia="宋体"/>
                <w:spacing w:val="-11"/>
                <w:sz w:val="24"/>
                <w:lang w:eastAsia="zh-CN"/>
              </w:rPr>
              <w:t>舍</w:t>
            </w:r>
            <w:r>
              <w:rPr>
                <w:rFonts w:ascii="宋体" w:eastAsia="宋体"/>
                <w:spacing w:val="-20"/>
                <w:sz w:val="24"/>
                <w:lang w:eastAsia="zh-CN"/>
              </w:rPr>
              <w:t xml:space="preserve"> </w:t>
            </w:r>
            <w:r>
              <w:rPr>
                <w:rFonts w:ascii="宋体" w:eastAsia="宋体"/>
                <w:spacing w:val="-12"/>
                <w:sz w:val="24"/>
                <w:lang w:eastAsia="zh-CN"/>
              </w:rPr>
              <w:t>五</w:t>
            </w:r>
            <w:r>
              <w:rPr>
                <w:rFonts w:ascii="宋体" w:eastAsia="宋体"/>
                <w:spacing w:val="-24"/>
                <w:sz w:val="24"/>
                <w:lang w:eastAsia="zh-CN"/>
              </w:rPr>
              <w:t xml:space="preserve"> </w:t>
            </w:r>
            <w:r>
              <w:rPr>
                <w:rFonts w:ascii="宋体" w:eastAsia="宋体"/>
                <w:spacing w:val="-12"/>
                <w:sz w:val="24"/>
                <w:lang w:eastAsia="zh-CN"/>
              </w:rPr>
              <w:t>入</w:t>
            </w:r>
            <w:r>
              <w:rPr>
                <w:rFonts w:ascii="宋体" w:eastAsia="宋体"/>
                <w:spacing w:val="-22"/>
                <w:sz w:val="24"/>
                <w:lang w:eastAsia="zh-CN"/>
              </w:rPr>
              <w:t xml:space="preserve"> </w:t>
            </w:r>
            <w:r>
              <w:rPr>
                <w:rFonts w:ascii="宋体" w:eastAsia="宋体"/>
                <w:spacing w:val="-12"/>
                <w:sz w:val="24"/>
                <w:lang w:eastAsia="zh-CN"/>
              </w:rPr>
              <w:t>法</w:t>
            </w:r>
            <w:r>
              <w:rPr>
                <w:rFonts w:ascii="宋体" w:eastAsia="宋体"/>
                <w:spacing w:val="-23"/>
                <w:sz w:val="24"/>
                <w:lang w:eastAsia="zh-CN"/>
              </w:rPr>
              <w:t xml:space="preserve"> </w:t>
            </w:r>
            <w:r>
              <w:rPr>
                <w:rFonts w:ascii="宋体" w:eastAsia="宋体"/>
                <w:spacing w:val="-12"/>
                <w:sz w:val="24"/>
                <w:lang w:eastAsia="zh-CN"/>
              </w:rPr>
              <w:t>计</w:t>
            </w:r>
            <w:r>
              <w:rPr>
                <w:rFonts w:ascii="宋体" w:eastAsia="宋体"/>
                <w:spacing w:val="-22"/>
                <w:sz w:val="24"/>
                <w:lang w:eastAsia="zh-CN"/>
              </w:rPr>
              <w:t xml:space="preserve"> </w:t>
            </w:r>
            <w:r>
              <w:rPr>
                <w:rFonts w:ascii="宋体" w:eastAsia="宋体"/>
                <w:spacing w:val="-12"/>
                <w:sz w:val="24"/>
                <w:lang w:eastAsia="zh-CN"/>
              </w:rPr>
              <w:t>算</w:t>
            </w:r>
            <w:r>
              <w:rPr>
                <w:rFonts w:ascii="宋体" w:eastAsia="宋体"/>
                <w:spacing w:val="-29"/>
                <w:sz w:val="24"/>
                <w:lang w:eastAsia="zh-CN"/>
              </w:rPr>
              <w:t xml:space="preserve"> </w:t>
            </w:r>
            <w:r>
              <w:rPr>
                <w:rFonts w:ascii="宋体" w:eastAsia="宋体"/>
                <w:spacing w:val="-12"/>
                <w:sz w:val="24"/>
                <w:lang w:eastAsia="zh-CN"/>
              </w:rPr>
              <w:t>。</w:t>
            </w:r>
          </w:p>
        </w:tc>
      </w:tr>
      <w:tr w14:paraId="521AC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58" w:type="dxa"/>
            <w:tcBorders>
              <w:top w:val="single" w:color="auto" w:sz="4" w:space="0"/>
              <w:left w:val="single" w:color="auto" w:sz="12" w:space="0"/>
              <w:bottom w:val="single" w:color="auto" w:sz="12" w:space="0"/>
              <w:right w:val="single" w:color="auto" w:sz="4" w:space="0"/>
            </w:tcBorders>
            <w:vAlign w:val="center"/>
          </w:tcPr>
          <w:p w14:paraId="6864E6A8">
            <w:pPr>
              <w:pStyle w:val="180"/>
              <w:snapToGrid w:val="0"/>
              <w:spacing w:before="237" w:line="240" w:lineRule="auto"/>
              <w:ind w:left="0" w:leftChars="0" w:right="0" w:rightChars="0" w:firstLine="0" w:firstLineChars="0"/>
              <w:jc w:val="center"/>
            </w:pPr>
            <w:r>
              <w:rPr>
                <w:spacing w:val="-3"/>
              </w:rPr>
              <w:t>综合</w:t>
            </w:r>
          </w:p>
          <w:p w14:paraId="26A5298B">
            <w:pPr>
              <w:pStyle w:val="180"/>
              <w:snapToGrid w:val="0"/>
              <w:spacing w:before="95" w:line="240" w:lineRule="auto"/>
              <w:ind w:left="0" w:leftChars="0" w:right="0" w:rightChars="0" w:firstLine="0" w:firstLineChars="0"/>
              <w:jc w:val="center"/>
            </w:pPr>
            <w:r>
              <w:rPr>
                <w:spacing w:val="-2"/>
              </w:rPr>
              <w:t>得分</w:t>
            </w:r>
          </w:p>
        </w:tc>
        <w:tc>
          <w:tcPr>
            <w:tcW w:w="4546" w:type="dxa"/>
            <w:gridSpan w:val="5"/>
            <w:tcBorders>
              <w:top w:val="single" w:color="auto" w:sz="4" w:space="0"/>
              <w:left w:val="single" w:color="auto" w:sz="4" w:space="0"/>
              <w:bottom w:val="single" w:color="auto" w:sz="12" w:space="0"/>
              <w:right w:val="single" w:color="auto" w:sz="12" w:space="0"/>
            </w:tcBorders>
            <w:vAlign w:val="center"/>
          </w:tcPr>
          <w:p w14:paraId="61D9BAF5">
            <w:pPr>
              <w:pStyle w:val="180"/>
              <w:snapToGrid w:val="0"/>
              <w:spacing w:before="59" w:line="240" w:lineRule="auto"/>
              <w:ind w:left="0" w:leftChars="0" w:right="0" w:rightChars="0" w:firstLine="0" w:firstLineChars="0"/>
              <w:jc w:val="center"/>
              <w:rPr>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3</w:t>
            </w:r>
            <w:r>
              <w:rPr>
                <w:spacing w:val="-31"/>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7</w:t>
            </w:r>
            <w:r>
              <w:rPr>
                <w:spacing w:val="-30"/>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p>
        </w:tc>
      </w:tr>
    </w:tbl>
    <w:p w14:paraId="0246451F">
      <w:pPr>
        <w:rPr>
          <w:rFonts w:hint="eastAsia" w:ascii="宋体" w:hAnsi="宋体" w:eastAsia="宋体" w:cs="宋体"/>
          <w:sz w:val="24"/>
          <w:szCs w:val="24"/>
        </w:rPr>
        <w:sectPr>
          <w:footerReference r:id="rId40" w:type="default"/>
          <w:pgSz w:w="12110" w:h="16990"/>
          <w:pgMar w:top="1444" w:right="1155" w:bottom="1457" w:left="1494" w:header="0" w:footer="1331" w:gutter="0"/>
          <w:cols w:space="720" w:num="1"/>
        </w:sectPr>
      </w:pPr>
    </w:p>
    <w:p w14:paraId="0A22C948">
      <w:pPr>
        <w:pStyle w:val="17"/>
        <w:outlineLvl w:val="2"/>
        <w:rPr>
          <w:rFonts w:hint="eastAsia" w:hAnsi="宋体" w:eastAsia="宋体" w:cs="宋体"/>
          <w:b/>
          <w:bCs/>
          <w:color w:val="000000"/>
          <w:sz w:val="24"/>
          <w:szCs w:val="24"/>
          <w:highlight w:val="none"/>
        </w:rPr>
      </w:pPr>
    </w:p>
    <w:p w14:paraId="69032358">
      <w:pPr>
        <w:pStyle w:val="17"/>
        <w:outlineLvl w:val="2"/>
        <w:rPr>
          <w:rFonts w:hint="eastAsia" w:hAnsi="宋体" w:eastAsia="宋体" w:cs="宋体"/>
          <w:b/>
          <w:bCs/>
          <w:color w:val="000000"/>
          <w:sz w:val="24"/>
          <w:szCs w:val="24"/>
          <w:highlight w:val="none"/>
        </w:rPr>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59B9F5A1">
      <w:pPr>
        <w:pStyle w:val="1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1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7362023B">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11FC7CE2">
      <w:pPr>
        <w:pStyle w:val="1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2.配套能力“供货类别”填“直管单位非生产招标 / 工艺设备 / 工艺设备”，业务主管部门选择“</w:t>
      </w:r>
      <w:r>
        <w:rPr>
          <w:rFonts w:hint="eastAsia" w:hAnsi="宋体" w:eastAsia="宋体" w:cs="宋体"/>
          <w:b/>
          <w:bCs/>
          <w:color w:val="000000"/>
          <w:sz w:val="24"/>
          <w:szCs w:val="28"/>
          <w:highlight w:val="none"/>
          <w:lang w:val="en-US" w:eastAsia="zh-CN"/>
        </w:rPr>
        <w:t>工艺研究院</w:t>
      </w:r>
      <w:r>
        <w:rPr>
          <w:rFonts w:hint="eastAsia" w:hAnsi="宋体" w:eastAsia="宋体" w:cs="宋体"/>
          <w:b/>
          <w:bCs/>
          <w:color w:val="000000"/>
          <w:sz w:val="24"/>
          <w:szCs w:val="28"/>
          <w:highlight w:val="none"/>
        </w:rPr>
        <w:t>”。</w:t>
      </w:r>
    </w:p>
    <w:p w14:paraId="168F610B">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6E46F93">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74993B95">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358FB386">
      <w:pPr>
        <w:pStyle w:val="17"/>
        <w:rPr>
          <w:rFonts w:hAnsi="宋体" w:eastAsia="宋体" w:cs="Times New Roman"/>
          <w:b/>
          <w:color w:val="000000"/>
          <w:sz w:val="24"/>
          <w:szCs w:val="24"/>
          <w:highlight w:val="none"/>
        </w:rPr>
      </w:pPr>
    </w:p>
    <w:sectPr>
      <w:headerReference r:id="rId42" w:type="first"/>
      <w:footerReference r:id="rId44" w:type="first"/>
      <w:headerReference r:id="rId41" w:type="default"/>
      <w:footerReference r:id="rId43"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874D">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569F7">
    <w:pPr>
      <w:pStyle w:val="22"/>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3D1AD7D">
                          <w:pPr>
                            <w:pStyle w:val="185"/>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eyVKnwgEAAIEDAAAOAAAAAAAAAAEAIAAAACIBAABkcnMvZTJvRG9jLnht&#10;bFBLBQYAAAAABgAGAFkBAABWBQAAAAA=&#10;">
              <v:fill on="f" focussize="0,0"/>
              <v:stroke on="f" weight="0.5pt"/>
              <v:imagedata o:title=""/>
              <o:lock v:ext="edit" aspectratio="f"/>
              <v:textbox inset="0mm,0mm,0mm,0mm" style="mso-fit-shape-to-text:t;">
                <w:txbxContent>
                  <w:p w14:paraId="73D1AD7D">
                    <w:pPr>
                      <w:pStyle w:val="185"/>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E9C5E">
    <w:pPr>
      <w:pStyle w:val="22"/>
      <w:rPr>
        <w:rFonts w:hint="eastAsia"/>
      </w:rP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E7F3C">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7BC90">
    <w:pPr>
      <w:pStyle w:val="23"/>
    </w:pPr>
    <w:r>
      <w:rPr>
        <w:rFonts w:hint="eastAsia" w:eastAsia="黑体"/>
        <w:sz w:val="21"/>
      </w:rPr>
      <w:t>招标文件</w:t>
    </w:r>
    <w:r>
      <w:t xml:space="preserve">                                              </w:t>
    </w:r>
    <w:r>
      <w:rPr>
        <w:rFonts w:hint="eastAsia"/>
      </w:rPr>
      <w:t xml:space="preserve">     </w:t>
    </w:r>
    <w:r>
      <w:t xml:space="preserve">                        </w:t>
    </w:r>
    <w:r>
      <w:rPr>
        <w:rFonts w:hint="eastAsia"/>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412745"/>
    <w:rsid w:val="05491761"/>
    <w:rsid w:val="05512AE0"/>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8FA50E4"/>
    <w:rsid w:val="09097B66"/>
    <w:rsid w:val="090F1795"/>
    <w:rsid w:val="0942017F"/>
    <w:rsid w:val="0968268E"/>
    <w:rsid w:val="09BA1FBB"/>
    <w:rsid w:val="09CB139F"/>
    <w:rsid w:val="0A0106F5"/>
    <w:rsid w:val="0A112AB7"/>
    <w:rsid w:val="0A2F1876"/>
    <w:rsid w:val="0A4E5482"/>
    <w:rsid w:val="0AAA504A"/>
    <w:rsid w:val="0AD71BC7"/>
    <w:rsid w:val="0AF049F1"/>
    <w:rsid w:val="0AF420EB"/>
    <w:rsid w:val="0AFE47CE"/>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BC7A36"/>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3DD39CC"/>
    <w:rsid w:val="246D2675"/>
    <w:rsid w:val="246E563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F0D7F"/>
    <w:rsid w:val="2B844FB6"/>
    <w:rsid w:val="2B8716BD"/>
    <w:rsid w:val="2B8A1EA0"/>
    <w:rsid w:val="2B8B76FF"/>
    <w:rsid w:val="2BD5034F"/>
    <w:rsid w:val="2C6F1E42"/>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1F9640B"/>
    <w:rsid w:val="32036508"/>
    <w:rsid w:val="323F65DA"/>
    <w:rsid w:val="32412074"/>
    <w:rsid w:val="324F5BF1"/>
    <w:rsid w:val="327C2FDC"/>
    <w:rsid w:val="32A43435"/>
    <w:rsid w:val="32DE0199"/>
    <w:rsid w:val="333C2963"/>
    <w:rsid w:val="3344327C"/>
    <w:rsid w:val="335B2774"/>
    <w:rsid w:val="335F1E64"/>
    <w:rsid w:val="33A4642E"/>
    <w:rsid w:val="33CA5530"/>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CE2C6C"/>
    <w:rsid w:val="3ED26DE9"/>
    <w:rsid w:val="3EED17D0"/>
    <w:rsid w:val="3F0C0304"/>
    <w:rsid w:val="3F774839"/>
    <w:rsid w:val="3F7D3D9E"/>
    <w:rsid w:val="3F9410E8"/>
    <w:rsid w:val="3FEC147E"/>
    <w:rsid w:val="40376375"/>
    <w:rsid w:val="412732B7"/>
    <w:rsid w:val="4127791F"/>
    <w:rsid w:val="41281794"/>
    <w:rsid w:val="413B7F37"/>
    <w:rsid w:val="413C1FDF"/>
    <w:rsid w:val="41806A69"/>
    <w:rsid w:val="41B0259C"/>
    <w:rsid w:val="41BC6F1C"/>
    <w:rsid w:val="41C061C4"/>
    <w:rsid w:val="41EF2363"/>
    <w:rsid w:val="41F77860"/>
    <w:rsid w:val="424A4B98"/>
    <w:rsid w:val="42581D3A"/>
    <w:rsid w:val="42892A5A"/>
    <w:rsid w:val="42ED2EA4"/>
    <w:rsid w:val="42F6649D"/>
    <w:rsid w:val="42FE0080"/>
    <w:rsid w:val="43315D2E"/>
    <w:rsid w:val="43670C99"/>
    <w:rsid w:val="43824A1C"/>
    <w:rsid w:val="43917E18"/>
    <w:rsid w:val="43AE09CA"/>
    <w:rsid w:val="43B1743B"/>
    <w:rsid w:val="43D110E1"/>
    <w:rsid w:val="43D61CCF"/>
    <w:rsid w:val="43DF072A"/>
    <w:rsid w:val="43E873C9"/>
    <w:rsid w:val="445411FA"/>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382748"/>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6C1541"/>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54037E"/>
    <w:rsid w:val="547A000A"/>
    <w:rsid w:val="54862A07"/>
    <w:rsid w:val="54942CAE"/>
    <w:rsid w:val="54A61722"/>
    <w:rsid w:val="54B0031A"/>
    <w:rsid w:val="54B31FAF"/>
    <w:rsid w:val="54D44008"/>
    <w:rsid w:val="54FB10D7"/>
    <w:rsid w:val="54FD46FE"/>
    <w:rsid w:val="55326D63"/>
    <w:rsid w:val="555413F3"/>
    <w:rsid w:val="555D1A10"/>
    <w:rsid w:val="55C300FC"/>
    <w:rsid w:val="56260894"/>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C56BE4"/>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013FBA"/>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5A25DF"/>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3"/>
    <w:qFormat/>
    <w:uiPriority w:val="9"/>
    <w:pPr>
      <w:keepNext/>
      <w:keepLines/>
      <w:jc w:val="center"/>
      <w:outlineLvl w:val="0"/>
    </w:pPr>
    <w:rPr>
      <w:b/>
      <w:bCs/>
      <w:kern w:val="44"/>
      <w:sz w:val="36"/>
      <w:szCs w:val="44"/>
    </w:rPr>
  </w:style>
  <w:style w:type="paragraph" w:styleId="3">
    <w:name w:val="heading 2"/>
    <w:basedOn w:val="1"/>
    <w:next w:val="1"/>
    <w:link w:val="51"/>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3"/>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4"/>
    <w:qFormat/>
    <w:uiPriority w:val="0"/>
    <w:pPr>
      <w:jc w:val="left"/>
    </w:pPr>
  </w:style>
  <w:style w:type="paragraph" w:styleId="12">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2"/>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5"/>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6"/>
    <w:qFormat/>
    <w:uiPriority w:val="0"/>
    <w:pPr>
      <w:ind w:left="100" w:leftChars="2500"/>
    </w:pPr>
    <w:rPr>
      <w:sz w:val="24"/>
    </w:rPr>
  </w:style>
  <w:style w:type="paragraph" w:styleId="20">
    <w:name w:val="Body Text Indent 2"/>
    <w:basedOn w:val="1"/>
    <w:link w:val="54"/>
    <w:qFormat/>
    <w:uiPriority w:val="0"/>
    <w:pPr>
      <w:spacing w:after="120" w:line="480" w:lineRule="auto"/>
      <w:ind w:left="420" w:leftChars="200"/>
    </w:pPr>
  </w:style>
  <w:style w:type="paragraph" w:styleId="21">
    <w:name w:val="Balloon Text"/>
    <w:basedOn w:val="1"/>
    <w:link w:val="70"/>
    <w:qFormat/>
    <w:uiPriority w:val="0"/>
    <w:rPr>
      <w:sz w:val="18"/>
    </w:rPr>
  </w:style>
  <w:style w:type="paragraph" w:styleId="22">
    <w:name w:val="footer"/>
    <w:basedOn w:val="1"/>
    <w:link w:val="76"/>
    <w:qFormat/>
    <w:uiPriority w:val="99"/>
    <w:pPr>
      <w:tabs>
        <w:tab w:val="center" w:pos="4153"/>
        <w:tab w:val="right" w:pos="8306"/>
      </w:tabs>
      <w:snapToGrid w:val="0"/>
      <w:jc w:val="left"/>
    </w:pPr>
    <w:rPr>
      <w:sz w:val="18"/>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6"/>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5"/>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character" w:customStyle="1" w:styleId="50">
    <w:name w:val="标题 1 字符"/>
    <w:basedOn w:val="38"/>
    <w:link w:val="2"/>
    <w:qFormat/>
    <w:uiPriority w:val="9"/>
    <w:rPr>
      <w:rFonts w:ascii="Calibri" w:hAnsi="Calibri" w:eastAsia="宋体" w:cs="Times New Roman"/>
      <w:b/>
      <w:bCs/>
      <w:kern w:val="44"/>
      <w:sz w:val="36"/>
      <w:szCs w:val="44"/>
    </w:rPr>
  </w:style>
  <w:style w:type="character" w:customStyle="1" w:styleId="51">
    <w:name w:val="标题 2 字符"/>
    <w:basedOn w:val="38"/>
    <w:link w:val="3"/>
    <w:qFormat/>
    <w:uiPriority w:val="9"/>
    <w:rPr>
      <w:rFonts w:ascii="Arial" w:hAnsi="Arial" w:eastAsia="宋体" w:cs="Times New Roman"/>
      <w:b/>
      <w:bCs/>
      <w:sz w:val="24"/>
      <w:szCs w:val="32"/>
    </w:rPr>
  </w:style>
  <w:style w:type="character" w:customStyle="1" w:styleId="52">
    <w:name w:val="标题 3 字符"/>
    <w:basedOn w:val="38"/>
    <w:link w:val="4"/>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0"/>
    <w:qFormat/>
    <w:locked/>
    <w:uiPriority w:val="0"/>
  </w:style>
  <w:style w:type="character" w:customStyle="1" w:styleId="55">
    <w:name w:val="批注主题 字符"/>
    <w:link w:val="34"/>
    <w:qFormat/>
    <w:locked/>
    <w:uiPriority w:val="0"/>
    <w:rPr>
      <w:b/>
    </w:rPr>
  </w:style>
  <w:style w:type="character" w:customStyle="1" w:styleId="56">
    <w:name w:val="正文文本缩进 3 字符"/>
    <w:link w:val="28"/>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38"/>
    <w:qFormat/>
    <w:uiPriority w:val="0"/>
    <w:rPr>
      <w:rFonts w:cs="Times New Roman"/>
    </w:rPr>
  </w:style>
  <w:style w:type="character" w:customStyle="1" w:styleId="62">
    <w:name w:val="页眉 字符"/>
    <w:link w:val="23"/>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1"/>
    <w:qFormat/>
    <w:locked/>
    <w:uiPriority w:val="0"/>
  </w:style>
  <w:style w:type="character" w:customStyle="1" w:styleId="65">
    <w:name w:val="标题 字符"/>
    <w:link w:val="33"/>
    <w:qFormat/>
    <w:locked/>
    <w:uiPriority w:val="0"/>
    <w:rPr>
      <w:rFonts w:ascii="Arial" w:hAnsi="Arial"/>
      <w:b/>
      <w:sz w:val="32"/>
    </w:rPr>
  </w:style>
  <w:style w:type="character" w:customStyle="1" w:styleId="66">
    <w:name w:val="日期 字符"/>
    <w:link w:val="19"/>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1"/>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9"/>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7"/>
    <w:qFormat/>
    <w:locked/>
    <w:uiPriority w:val="0"/>
    <w:rPr>
      <w:rFonts w:ascii="宋体" w:hAnsi="Courier New"/>
    </w:rPr>
  </w:style>
  <w:style w:type="character" w:customStyle="1" w:styleId="76">
    <w:name w:val="页脚 字符"/>
    <w:link w:val="22"/>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38"/>
    <w:semiHidden/>
    <w:qFormat/>
    <w:uiPriority w:val="99"/>
  </w:style>
  <w:style w:type="character" w:customStyle="1" w:styleId="81">
    <w:name w:val="批注文字 字符11"/>
    <w:basedOn w:val="38"/>
    <w:qFormat/>
    <w:uiPriority w:val="0"/>
    <w:rPr>
      <w:rFonts w:cs="Times New Roman"/>
      <w:kern w:val="2"/>
      <w:sz w:val="21"/>
    </w:rPr>
  </w:style>
  <w:style w:type="character" w:customStyle="1" w:styleId="82">
    <w:name w:val="正文文本缩进 字符"/>
    <w:basedOn w:val="38"/>
    <w:link w:val="13"/>
    <w:qFormat/>
    <w:uiPriority w:val="99"/>
    <w:rPr>
      <w:rFonts w:ascii="Calibri" w:hAnsi="Calibri" w:eastAsia="宋体" w:cs="Times New Roman"/>
      <w:szCs w:val="20"/>
    </w:rPr>
  </w:style>
  <w:style w:type="character" w:customStyle="1" w:styleId="83">
    <w:name w:val="文档结构图 字符1"/>
    <w:basedOn w:val="38"/>
    <w:semiHidden/>
    <w:qFormat/>
    <w:uiPriority w:val="99"/>
    <w:rPr>
      <w:rFonts w:ascii="Microsoft YaHei UI" w:eastAsia="Microsoft YaHei UI"/>
      <w:sz w:val="18"/>
      <w:szCs w:val="18"/>
    </w:rPr>
  </w:style>
  <w:style w:type="character" w:customStyle="1" w:styleId="84">
    <w:name w:val="文档结构图 字符11"/>
    <w:basedOn w:val="38"/>
    <w:semiHidden/>
    <w:qFormat/>
    <w:uiPriority w:val="99"/>
    <w:rPr>
      <w:rFonts w:ascii="Microsoft YaHei UI" w:eastAsia="Microsoft YaHei UI" w:cs="Times New Roman"/>
      <w:kern w:val="2"/>
      <w:sz w:val="18"/>
      <w:szCs w:val="18"/>
    </w:rPr>
  </w:style>
  <w:style w:type="character" w:customStyle="1" w:styleId="85">
    <w:name w:val="正文文本 字符"/>
    <w:basedOn w:val="38"/>
    <w:link w:val="12"/>
    <w:qFormat/>
    <w:uiPriority w:val="99"/>
    <w:rPr>
      <w:rFonts w:ascii="Calibri" w:hAnsi="Calibri" w:eastAsia="新宋体" w:cs="Times New Roman"/>
      <w:szCs w:val="21"/>
    </w:rPr>
  </w:style>
  <w:style w:type="character" w:customStyle="1" w:styleId="86">
    <w:name w:val="纯文本 字符1"/>
    <w:basedOn w:val="38"/>
    <w:semiHidden/>
    <w:qFormat/>
    <w:uiPriority w:val="99"/>
    <w:rPr>
      <w:rFonts w:hAnsi="Courier New" w:cs="Courier New" w:asciiTheme="minorEastAsia"/>
    </w:rPr>
  </w:style>
  <w:style w:type="character" w:customStyle="1" w:styleId="87">
    <w:name w:val="纯文本 字符11"/>
    <w:basedOn w:val="38"/>
    <w:qFormat/>
    <w:uiPriority w:val="0"/>
    <w:rPr>
      <w:rFonts w:hAnsi="Courier New" w:cs="Courier New" w:asciiTheme="minorEastAsia" w:eastAsiaTheme="minorEastAsia"/>
      <w:kern w:val="2"/>
      <w:sz w:val="21"/>
    </w:rPr>
  </w:style>
  <w:style w:type="character" w:customStyle="1" w:styleId="88">
    <w:name w:val="页眉 字符1"/>
    <w:basedOn w:val="38"/>
    <w:semiHidden/>
    <w:qFormat/>
    <w:uiPriority w:val="99"/>
    <w:rPr>
      <w:sz w:val="18"/>
      <w:szCs w:val="18"/>
    </w:rPr>
  </w:style>
  <w:style w:type="character" w:customStyle="1" w:styleId="89">
    <w:name w:val="页眉 字符11"/>
    <w:basedOn w:val="38"/>
    <w:semiHidden/>
    <w:qFormat/>
    <w:uiPriority w:val="99"/>
    <w:rPr>
      <w:rFonts w:cs="Times New Roman"/>
      <w:kern w:val="2"/>
      <w:sz w:val="18"/>
      <w:szCs w:val="18"/>
    </w:rPr>
  </w:style>
  <w:style w:type="character" w:customStyle="1" w:styleId="90">
    <w:name w:val="批注框文本 字符1"/>
    <w:basedOn w:val="38"/>
    <w:semiHidden/>
    <w:qFormat/>
    <w:uiPriority w:val="99"/>
    <w:rPr>
      <w:sz w:val="18"/>
      <w:szCs w:val="18"/>
    </w:rPr>
  </w:style>
  <w:style w:type="character" w:customStyle="1" w:styleId="91">
    <w:name w:val="批注框文本 字符11"/>
    <w:basedOn w:val="38"/>
    <w:semiHidden/>
    <w:qFormat/>
    <w:uiPriority w:val="99"/>
    <w:rPr>
      <w:rFonts w:cs="Times New Roman"/>
      <w:kern w:val="2"/>
      <w:sz w:val="18"/>
      <w:szCs w:val="18"/>
    </w:rPr>
  </w:style>
  <w:style w:type="character" w:customStyle="1" w:styleId="92">
    <w:name w:val="日期 字符1"/>
    <w:basedOn w:val="38"/>
    <w:semiHidden/>
    <w:qFormat/>
    <w:uiPriority w:val="99"/>
  </w:style>
  <w:style w:type="character" w:customStyle="1" w:styleId="93">
    <w:name w:val="日期 字符11"/>
    <w:basedOn w:val="38"/>
    <w:semiHidden/>
    <w:qFormat/>
    <w:uiPriority w:val="99"/>
    <w:rPr>
      <w:rFonts w:cs="Times New Roman"/>
      <w:kern w:val="2"/>
      <w:sz w:val="21"/>
    </w:rPr>
  </w:style>
  <w:style w:type="character" w:customStyle="1" w:styleId="94">
    <w:name w:val="页脚 字符1"/>
    <w:basedOn w:val="38"/>
    <w:semiHidden/>
    <w:qFormat/>
    <w:uiPriority w:val="99"/>
    <w:rPr>
      <w:sz w:val="18"/>
      <w:szCs w:val="18"/>
    </w:rPr>
  </w:style>
  <w:style w:type="character" w:customStyle="1" w:styleId="95">
    <w:name w:val="页脚 字符11"/>
    <w:basedOn w:val="38"/>
    <w:semiHidden/>
    <w:qFormat/>
    <w:uiPriority w:val="99"/>
    <w:rPr>
      <w:rFonts w:cs="Times New Roman"/>
      <w:kern w:val="2"/>
      <w:sz w:val="18"/>
      <w:szCs w:val="18"/>
    </w:rPr>
  </w:style>
  <w:style w:type="character" w:customStyle="1" w:styleId="96">
    <w:name w:val="正文文本缩进 2 字符1"/>
    <w:basedOn w:val="38"/>
    <w:semiHidden/>
    <w:qFormat/>
    <w:uiPriority w:val="99"/>
  </w:style>
  <w:style w:type="character" w:customStyle="1" w:styleId="97">
    <w:name w:val="正文文本缩进 2 字符11"/>
    <w:basedOn w:val="38"/>
    <w:semiHidden/>
    <w:qFormat/>
    <w:uiPriority w:val="99"/>
    <w:rPr>
      <w:rFonts w:cs="Times New Roman"/>
      <w:kern w:val="2"/>
      <w:sz w:val="21"/>
    </w:rPr>
  </w:style>
  <w:style w:type="character" w:customStyle="1" w:styleId="98">
    <w:name w:val="正文文本缩进 3 字符1"/>
    <w:basedOn w:val="38"/>
    <w:semiHidden/>
    <w:qFormat/>
    <w:uiPriority w:val="99"/>
    <w:rPr>
      <w:sz w:val="16"/>
      <w:szCs w:val="16"/>
    </w:rPr>
  </w:style>
  <w:style w:type="character" w:customStyle="1" w:styleId="99">
    <w:name w:val="正文文本缩进 3 字符11"/>
    <w:basedOn w:val="38"/>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38"/>
    <w:qFormat/>
    <w:uiPriority w:val="10"/>
    <w:rPr>
      <w:rFonts w:asciiTheme="majorHAnsi" w:hAnsiTheme="majorHAnsi" w:eastAsiaTheme="majorEastAsia" w:cstheme="majorBidi"/>
      <w:b/>
      <w:bCs/>
      <w:sz w:val="32"/>
      <w:szCs w:val="32"/>
    </w:rPr>
  </w:style>
  <w:style w:type="character" w:customStyle="1" w:styleId="103">
    <w:name w:val="标题 字符11"/>
    <w:basedOn w:val="38"/>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7"/>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3"/>
    <w:link w:val="120"/>
    <w:qFormat/>
    <w:uiPriority w:val="0"/>
    <w:pPr>
      <w:spacing w:line="240" w:lineRule="auto"/>
      <w:jc w:val="left"/>
    </w:pPr>
    <w:rPr>
      <w:rFonts w:ascii="宋体" w:hAnsi="宋体" w:eastAsia="黑体"/>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4"/>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无间隔1"/>
    <w:qFormat/>
    <w:uiPriority w:val="0"/>
    <w:rPr>
      <w:rFonts w:ascii="Calibri" w:hAnsi="Calibri" w:eastAsia="Calibri" w:cs="Times New Roman"/>
      <w:szCs w:val="22"/>
      <w:lang w:val="en-GB" w:eastAsia="en-US" w:bidi="ar-SA"/>
    </w:rPr>
  </w:style>
  <w:style w:type="character" w:customStyle="1" w:styleId="137">
    <w:name w:val="font21"/>
    <w:basedOn w:val="38"/>
    <w:qFormat/>
    <w:uiPriority w:val="0"/>
    <w:rPr>
      <w:rFonts w:hint="eastAsia" w:ascii="宋体" w:hAnsi="宋体" w:eastAsia="宋体" w:cs="宋体"/>
      <w:color w:val="000000"/>
      <w:sz w:val="24"/>
      <w:szCs w:val="24"/>
      <w:u w:val="none"/>
    </w:rPr>
  </w:style>
  <w:style w:type="character" w:customStyle="1" w:styleId="138">
    <w:name w:val="font01"/>
    <w:basedOn w:val="38"/>
    <w:qFormat/>
    <w:uiPriority w:val="0"/>
    <w:rPr>
      <w:rFonts w:hint="eastAsia" w:ascii="宋体" w:hAnsi="宋体" w:eastAsia="宋体" w:cs="宋体"/>
      <w:color w:val="000000"/>
      <w:sz w:val="18"/>
      <w:szCs w:val="18"/>
      <w:u w:val="none"/>
    </w:rPr>
  </w:style>
  <w:style w:type="character" w:customStyle="1" w:styleId="139">
    <w:name w:val="15"/>
    <w:qFormat/>
    <w:uiPriority w:val="0"/>
    <w:rPr>
      <w:rFonts w:hint="eastAsia" w:ascii="微软雅黑" w:hAnsi="微软雅黑" w:eastAsia="微软雅黑"/>
      <w:color w:val="000000"/>
      <w:sz w:val="22"/>
      <w:szCs w:val="22"/>
    </w:rPr>
  </w:style>
  <w:style w:type="paragraph" w:customStyle="1" w:styleId="140">
    <w:name w:val="1正文段落"/>
    <w:basedOn w:val="1"/>
    <w:qFormat/>
    <w:uiPriority w:val="0"/>
    <w:pPr>
      <w:spacing w:line="360" w:lineRule="auto"/>
      <w:ind w:firstLine="480" w:firstLineChars="200"/>
      <w:jc w:val="left"/>
    </w:pPr>
    <w:rPr>
      <w:kern w:val="0"/>
      <w:szCs w:val="20"/>
    </w:rPr>
  </w:style>
  <w:style w:type="character" w:customStyle="1" w:styleId="141">
    <w:name w:val="ant-tree-checkbox8"/>
    <w:basedOn w:val="38"/>
    <w:qFormat/>
    <w:uiPriority w:val="0"/>
  </w:style>
  <w:style w:type="character" w:customStyle="1" w:styleId="142">
    <w:name w:val="ant-select-tree-iconele"/>
    <w:basedOn w:val="38"/>
    <w:qFormat/>
    <w:uiPriority w:val="0"/>
  </w:style>
  <w:style w:type="character" w:customStyle="1" w:styleId="143">
    <w:name w:val="wea-dropdown-triangle"/>
    <w:basedOn w:val="38"/>
    <w:qFormat/>
    <w:uiPriority w:val="0"/>
  </w:style>
  <w:style w:type="character" w:customStyle="1" w:styleId="144">
    <w:name w:val="button"/>
    <w:basedOn w:val="38"/>
    <w:qFormat/>
    <w:uiPriority w:val="0"/>
  </w:style>
  <w:style w:type="character" w:customStyle="1" w:styleId="145">
    <w:name w:val="button1"/>
    <w:basedOn w:val="38"/>
    <w:qFormat/>
    <w:uiPriority w:val="0"/>
  </w:style>
  <w:style w:type="character" w:customStyle="1" w:styleId="146">
    <w:name w:val="hover34"/>
    <w:basedOn w:val="38"/>
    <w:qFormat/>
    <w:uiPriority w:val="0"/>
    <w:rPr>
      <w:color w:val="009DFF"/>
    </w:rPr>
  </w:style>
  <w:style w:type="character" w:customStyle="1" w:styleId="147">
    <w:name w:val="hover35"/>
    <w:basedOn w:val="38"/>
    <w:qFormat/>
    <w:uiPriority w:val="0"/>
    <w:rPr>
      <w:color w:val="009DFF"/>
    </w:rPr>
  </w:style>
  <w:style w:type="character" w:customStyle="1" w:styleId="148">
    <w:name w:val="first-of-type"/>
    <w:basedOn w:val="38"/>
    <w:qFormat/>
    <w:uiPriority w:val="0"/>
    <w:rPr>
      <w:color w:val="FF0000"/>
    </w:rPr>
  </w:style>
  <w:style w:type="character" w:customStyle="1" w:styleId="149">
    <w:name w:val="first-of-type1"/>
    <w:basedOn w:val="38"/>
    <w:qFormat/>
    <w:uiPriority w:val="0"/>
    <w:rPr>
      <w:color w:val="FF0000"/>
    </w:rPr>
  </w:style>
  <w:style w:type="character" w:customStyle="1" w:styleId="150">
    <w:name w:val="not-pass-node"/>
    <w:basedOn w:val="38"/>
    <w:qFormat/>
    <w:uiPriority w:val="0"/>
    <w:rPr>
      <w:bdr w:val="single" w:color="5ABD6B" w:sz="6" w:space="0"/>
      <w:shd w:val="clear" w:fill="BFF3C3"/>
    </w:rPr>
  </w:style>
  <w:style w:type="character" w:customStyle="1" w:styleId="151">
    <w:name w:val="ant-tree-switcher8"/>
    <w:basedOn w:val="38"/>
    <w:qFormat/>
    <w:uiPriority w:val="0"/>
  </w:style>
  <w:style w:type="character" w:customStyle="1" w:styleId="152">
    <w:name w:val="ant-radio+*"/>
    <w:basedOn w:val="38"/>
    <w:qFormat/>
    <w:uiPriority w:val="0"/>
  </w:style>
  <w:style w:type="character" w:customStyle="1" w:styleId="153">
    <w:name w:val="ant-select-tree-checkbox"/>
    <w:basedOn w:val="38"/>
    <w:qFormat/>
    <w:uiPriority w:val="0"/>
  </w:style>
  <w:style w:type="character" w:customStyle="1" w:styleId="154">
    <w:name w:val="isrevision"/>
    <w:basedOn w:val="38"/>
    <w:qFormat/>
    <w:uiPriority w:val="0"/>
    <w:rPr>
      <w:color w:val="000000"/>
      <w:sz w:val="18"/>
      <w:szCs w:val="18"/>
      <w:bdr w:val="single" w:color="E9E9E9" w:sz="6" w:space="0"/>
      <w:shd w:val="clear" w:fill="FFFFFF"/>
    </w:rPr>
  </w:style>
  <w:style w:type="character" w:customStyle="1" w:styleId="155">
    <w:name w:val="disabled4"/>
    <w:basedOn w:val="38"/>
    <w:qFormat/>
    <w:uiPriority w:val="0"/>
    <w:rPr>
      <w:color w:val="AAAAAA"/>
      <w:shd w:val="clear" w:fill="F7F7F7"/>
    </w:rPr>
  </w:style>
  <w:style w:type="character" w:customStyle="1" w:styleId="156">
    <w:name w:val="auto-pass-node"/>
    <w:basedOn w:val="38"/>
    <w:qFormat/>
    <w:uiPriority w:val="0"/>
    <w:rPr>
      <w:bdr w:val="single" w:color="DC4446" w:sz="6" w:space="0"/>
      <w:shd w:val="clear" w:fill="A9E2FF"/>
    </w:rPr>
  </w:style>
  <w:style w:type="character" w:customStyle="1" w:styleId="157">
    <w:name w:val="ant-tree-iconele"/>
    <w:basedOn w:val="38"/>
    <w:qFormat/>
    <w:uiPriority w:val="0"/>
  </w:style>
  <w:style w:type="character" w:customStyle="1" w:styleId="158">
    <w:name w:val="wea-thumbnails-doc-content-subtitle"/>
    <w:basedOn w:val="38"/>
    <w:qFormat/>
    <w:uiPriority w:val="0"/>
    <w:rPr>
      <w:color w:val="9A9A9A"/>
    </w:rPr>
  </w:style>
  <w:style w:type="character" w:customStyle="1" w:styleId="159">
    <w:name w:val="ant-select-tree-switcher"/>
    <w:basedOn w:val="38"/>
    <w:qFormat/>
    <w:uiPriority w:val="0"/>
  </w:style>
  <w:style w:type="character" w:customStyle="1" w:styleId="160">
    <w:name w:val="ant-table-row-expand-icon3"/>
    <w:basedOn w:val="38"/>
    <w:qFormat/>
    <w:uiPriority w:val="0"/>
    <w:rPr>
      <w:vanish/>
    </w:rPr>
  </w:style>
  <w:style w:type="character" w:customStyle="1" w:styleId="161">
    <w:name w:val="passed-node"/>
    <w:basedOn w:val="38"/>
    <w:qFormat/>
    <w:uiPriority w:val="0"/>
    <w:rPr>
      <w:bdr w:val="single" w:color="49A8D4" w:sz="6" w:space="0"/>
      <w:shd w:val="clear" w:fill="A9E3FF"/>
    </w:rPr>
  </w:style>
  <w:style w:type="character" w:customStyle="1" w:styleId="162">
    <w:name w:val="current-node"/>
    <w:basedOn w:val="38"/>
    <w:qFormat/>
    <w:uiPriority w:val="0"/>
    <w:rPr>
      <w:bdr w:val="single" w:color="F5B87B" w:sz="6" w:space="0"/>
      <w:shd w:val="clear" w:fill="FFE8CC"/>
    </w:rPr>
  </w:style>
  <w:style w:type="character" w:customStyle="1" w:styleId="163">
    <w:name w:val="tmpztreemove_arrow"/>
    <w:basedOn w:val="38"/>
    <w:qFormat/>
    <w:uiPriority w:val="0"/>
  </w:style>
  <w:style w:type="character" w:customStyle="1" w:styleId="164">
    <w:name w:val="ant-tree-switcher10"/>
    <w:basedOn w:val="38"/>
    <w:qFormat/>
    <w:uiPriority w:val="0"/>
  </w:style>
  <w:style w:type="character" w:customStyle="1" w:styleId="165">
    <w:name w:val="ant-table-row-expand-icon"/>
    <w:basedOn w:val="38"/>
    <w:qFormat/>
    <w:uiPriority w:val="0"/>
    <w:rPr>
      <w:vanish/>
    </w:rPr>
  </w:style>
  <w:style w:type="character" w:customStyle="1" w:styleId="166">
    <w:name w:val="ant-select-tree-checkbox2"/>
    <w:basedOn w:val="38"/>
    <w:qFormat/>
    <w:uiPriority w:val="0"/>
  </w:style>
  <w:style w:type="character" w:customStyle="1" w:styleId="167">
    <w:name w:val="disabled"/>
    <w:basedOn w:val="38"/>
    <w:qFormat/>
    <w:uiPriority w:val="0"/>
    <w:rPr>
      <w:color w:val="AAAAAA"/>
      <w:shd w:val="clear" w:fill="F7F7F7"/>
    </w:rPr>
  </w:style>
  <w:style w:type="character" w:customStyle="1" w:styleId="168">
    <w:name w:val="ant-tree-checkbox7"/>
    <w:basedOn w:val="38"/>
    <w:qFormat/>
    <w:uiPriority w:val="0"/>
  </w:style>
  <w:style w:type="character" w:customStyle="1" w:styleId="169">
    <w:name w:val="ant-table-row-expand-icon4"/>
    <w:basedOn w:val="38"/>
    <w:qFormat/>
    <w:uiPriority w:val="0"/>
    <w:rPr>
      <w:vanish/>
    </w:rPr>
  </w:style>
  <w:style w:type="character" w:customStyle="1" w:styleId="170">
    <w:name w:val="hover30"/>
    <w:basedOn w:val="38"/>
    <w:qFormat/>
    <w:uiPriority w:val="0"/>
    <w:rPr>
      <w:color w:val="009DFF"/>
    </w:rPr>
  </w:style>
  <w:style w:type="character" w:customStyle="1" w:styleId="171">
    <w:name w:val="hover31"/>
    <w:basedOn w:val="38"/>
    <w:qFormat/>
    <w:uiPriority w:val="0"/>
    <w:rPr>
      <w:color w:val="009DFF"/>
    </w:rPr>
  </w:style>
  <w:style w:type="character" w:customStyle="1" w:styleId="172">
    <w:name w:val="ant-tree-checkbox"/>
    <w:basedOn w:val="38"/>
    <w:qFormat/>
    <w:uiPriority w:val="0"/>
  </w:style>
  <w:style w:type="character" w:customStyle="1" w:styleId="173">
    <w:name w:val="ant-tree-switcher"/>
    <w:basedOn w:val="38"/>
    <w:qFormat/>
    <w:uiPriority w:val="0"/>
  </w:style>
  <w:style w:type="character" w:customStyle="1" w:styleId="174">
    <w:name w:val="wea-dropdown-triangle2"/>
    <w:basedOn w:val="38"/>
    <w:qFormat/>
    <w:uiPriority w:val="0"/>
  </w:style>
  <w:style w:type="character" w:customStyle="1" w:styleId="175">
    <w:name w:val="ant-tree-switcher9"/>
    <w:basedOn w:val="38"/>
    <w:qFormat/>
    <w:uiPriority w:val="0"/>
  </w:style>
  <w:style w:type="character" w:customStyle="1" w:styleId="176">
    <w:name w:val="hover32"/>
    <w:basedOn w:val="38"/>
    <w:qFormat/>
    <w:uiPriority w:val="0"/>
    <w:rPr>
      <w:color w:val="009DFF"/>
    </w:rPr>
  </w:style>
  <w:style w:type="character" w:customStyle="1" w:styleId="177">
    <w:name w:val="ant-tree-switcher7"/>
    <w:basedOn w:val="38"/>
    <w:qFormat/>
    <w:uiPriority w:val="0"/>
  </w:style>
  <w:style w:type="character" w:customStyle="1" w:styleId="178">
    <w:name w:val="hover25"/>
    <w:basedOn w:val="38"/>
    <w:qFormat/>
    <w:uiPriority w:val="0"/>
    <w:rPr>
      <w:color w:val="009DFF"/>
    </w:rPr>
  </w:style>
  <w:style w:type="character" w:customStyle="1" w:styleId="179">
    <w:name w:val="hover26"/>
    <w:basedOn w:val="38"/>
    <w:qFormat/>
    <w:uiPriority w:val="0"/>
    <w:rPr>
      <w:color w:val="009DFF"/>
    </w:rPr>
  </w:style>
  <w:style w:type="paragraph" w:customStyle="1" w:styleId="180">
    <w:name w:val="Table Text"/>
    <w:basedOn w:val="1"/>
    <w:semiHidden/>
    <w:qFormat/>
    <w:uiPriority w:val="0"/>
    <w:rPr>
      <w:rFonts w:ascii="宋体" w:hAnsi="宋体" w:eastAsia="宋体" w:cs="宋体"/>
      <w:sz w:val="24"/>
      <w:szCs w:val="24"/>
      <w:lang w:val="en-US" w:eastAsia="en-US" w:bidi="ar-SA"/>
    </w:rPr>
  </w:style>
  <w:style w:type="paragraph" w:styleId="181">
    <w:name w:val="No Spacing"/>
    <w:autoRedefine/>
    <w:qFormat/>
    <w:uiPriority w:val="1"/>
    <w:rPr>
      <w:rFonts w:ascii="等线" w:hAnsi="等线" w:eastAsia="等线" w:cs="Times New Roman"/>
      <w:sz w:val="21"/>
      <w:szCs w:val="21"/>
      <w:lang w:val="en-US" w:eastAsia="zh-CN" w:bidi="ar-SA"/>
    </w:rPr>
  </w:style>
  <w:style w:type="character" w:customStyle="1" w:styleId="182">
    <w:name w:val="Classification"/>
    <w:autoRedefine/>
    <w:qFormat/>
    <w:uiPriority w:val="99"/>
    <w:rPr>
      <w:rFonts w:ascii="Calibri" w:hAnsi="Calibri" w:eastAsia="宋体" w:cs="Cordia New"/>
      <w:b/>
      <w:bCs/>
      <w:caps/>
      <w:color w:val="000000"/>
      <w:spacing w:val="20"/>
      <w:sz w:val="24"/>
      <w:szCs w:val="24"/>
    </w:rPr>
  </w:style>
  <w:style w:type="character" w:customStyle="1" w:styleId="183">
    <w:name w:val="标题 1 Char"/>
    <w:link w:val="2"/>
    <w:qFormat/>
    <w:uiPriority w:val="0"/>
    <w:rPr>
      <w:kern w:val="2"/>
      <w:sz w:val="28"/>
      <w:szCs w:val="24"/>
    </w:rPr>
  </w:style>
  <w:style w:type="paragraph" w:customStyle="1" w:styleId="184">
    <w:name w:val="标书正文"/>
    <w:basedOn w:val="1"/>
    <w:qFormat/>
    <w:uiPriority w:val="0"/>
    <w:pPr>
      <w:adjustRightInd/>
      <w:snapToGrid w:val="0"/>
      <w:spacing w:line="336" w:lineRule="auto"/>
      <w:ind w:firstLine="200" w:firstLineChars="200"/>
      <w:jc w:val="left"/>
      <w:textAlignment w:val="auto"/>
    </w:pPr>
    <w:rPr>
      <w:rFonts w:ascii="宋体" w:hAnsi="宋体"/>
      <w:szCs w:val="24"/>
    </w:rPr>
  </w:style>
  <w:style w:type="paragraph" w:customStyle="1" w:styleId="185">
    <w:name w:val="框架内容"/>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header" Target="header11.xml"/><Relationship Id="rId41" Type="http://schemas.openxmlformats.org/officeDocument/2006/relationships/header" Target="header1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header" Target="header7.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3887</Words>
  <Characters>4221</Characters>
  <Lines>364</Lines>
  <Paragraphs>102</Paragraphs>
  <TotalTime>5</TotalTime>
  <ScaleCrop>false</ScaleCrop>
  <LinksUpToDate>false</LinksUpToDate>
  <CharactersWithSpaces>4340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张志纯</cp:lastModifiedBy>
  <dcterms:modified xsi:type="dcterms:W3CDTF">2025-10-31T07:45:31Z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F0A1741303224E409AD5E3220CB469C4_13</vt:lpwstr>
  </property>
  <property fmtid="{D5CDD505-2E9C-101B-9397-08002B2CF9AE}" pid="4" name="KSOTemplateDocerSaveRecord">
    <vt:lpwstr>eyJoZGlkIjoiODY0NTcxYjI4Y2NjNTJkNmIwYzM2NDk2ZTI0NWYxZjQiLCJ1c2VySWQiOiIxNjcxODY1NzIwIn0=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