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D7492C">
      <w:pPr>
        <w:pStyle w:val="94"/>
        <w:ind w:firstLine="960"/>
        <w:rPr>
          <w:rFonts w:hint="eastAsia"/>
        </w:rPr>
      </w:pPr>
      <w:r>
        <w:rPr>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E1EEC8E">
      <w:pPr>
        <w:ind w:right="280" w:firstLine="960"/>
        <w:jc w:val="center"/>
        <w:rPr>
          <w:rFonts w:hint="eastAsia" w:ascii="宋体" w:hAnsi="宋体"/>
          <w:sz w:val="48"/>
          <w:szCs w:val="48"/>
        </w:rPr>
      </w:pPr>
    </w:p>
    <w:p w14:paraId="3366000B">
      <w:pPr>
        <w:ind w:right="280" w:firstLine="960"/>
        <w:jc w:val="center"/>
        <w:rPr>
          <w:rFonts w:hint="eastAsia" w:ascii="宋体" w:hAnsi="宋体"/>
          <w:sz w:val="48"/>
          <w:szCs w:val="48"/>
        </w:rPr>
      </w:pPr>
    </w:p>
    <w:p w14:paraId="6B1C7498">
      <w:pPr>
        <w:ind w:right="280" w:firstLine="960"/>
        <w:jc w:val="center"/>
        <w:rPr>
          <w:rFonts w:hint="eastAsia" w:ascii="宋体" w:hAnsi="宋体"/>
          <w:sz w:val="48"/>
          <w:szCs w:val="48"/>
        </w:rPr>
      </w:pPr>
    </w:p>
    <w:p w14:paraId="3DB1D9D0">
      <w:pPr>
        <w:ind w:right="280" w:firstLine="960"/>
        <w:jc w:val="center"/>
        <w:rPr>
          <w:rFonts w:hint="eastAsia" w:ascii="宋体" w:hAnsi="宋体"/>
          <w:sz w:val="48"/>
          <w:szCs w:val="48"/>
        </w:rPr>
      </w:pPr>
    </w:p>
    <w:p w14:paraId="6AFDDE4C">
      <w:pPr>
        <w:ind w:right="280" w:firstLine="1040"/>
        <w:jc w:val="center"/>
        <w:rPr>
          <w:rFonts w:hint="eastAsia" w:ascii="楷体_GB2312" w:hAnsi="宋体" w:eastAsia="楷体_GB2312"/>
          <w:sz w:val="52"/>
          <w:szCs w:val="52"/>
        </w:rPr>
      </w:pPr>
    </w:p>
    <w:p w14:paraId="2845EC5E">
      <w:pPr>
        <w:ind w:right="278" w:firstLine="0" w:firstLineChars="0"/>
        <w:jc w:val="cente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2026年汉诺威车展车模与动画制作项目</w:t>
      </w:r>
    </w:p>
    <w:p w14:paraId="1D899536">
      <w:pPr>
        <w:pStyle w:val="2"/>
        <w:ind w:firstLine="400"/>
        <w:rPr>
          <w:sz w:val="20"/>
          <w:szCs w:val="18"/>
        </w:rPr>
      </w:pPr>
    </w:p>
    <w:p w14:paraId="422E01E6">
      <w:pPr>
        <w:ind w:right="278" w:firstLine="0" w:firstLineChars="0"/>
        <w:jc w:val="center"/>
        <w:rPr>
          <w:rFonts w:hint="default" w:ascii="方正小标宋简体" w:hAnsi="方正小标宋简体" w:eastAsia="方正小标宋简体" w:cs="方正小标宋简体"/>
          <w:sz w:val="48"/>
          <w:szCs w:val="48"/>
          <w:lang w:val="en-US" w:eastAsia="zh-CN"/>
        </w:rPr>
      </w:pPr>
      <w:r>
        <w:rPr>
          <w:rFonts w:hint="eastAsia" w:ascii="方正小标宋简体" w:hAnsi="方正小标宋简体" w:eastAsia="方正小标宋简体" w:cs="方正小标宋简体"/>
          <w:sz w:val="48"/>
          <w:szCs w:val="48"/>
        </w:rPr>
        <w:t>招标文件</w:t>
      </w:r>
      <w:r>
        <w:rPr>
          <w:rFonts w:hint="eastAsia" w:ascii="方正小标宋简体" w:hAnsi="方正小标宋简体" w:eastAsia="方正小标宋简体" w:cs="方正小标宋简体"/>
          <w:sz w:val="48"/>
          <w:szCs w:val="48"/>
          <w:lang w:val="en-US" w:eastAsia="zh-CN"/>
        </w:rPr>
        <w:t>(二次挂网</w:t>
      </w:r>
      <w:bookmarkStart w:id="8" w:name="_GoBack"/>
      <w:bookmarkEnd w:id="8"/>
      <w:r>
        <w:rPr>
          <w:rFonts w:hint="eastAsia" w:ascii="方正小标宋简体" w:hAnsi="方正小标宋简体" w:eastAsia="方正小标宋简体" w:cs="方正小标宋简体"/>
          <w:sz w:val="48"/>
          <w:szCs w:val="48"/>
          <w:lang w:val="en-US" w:eastAsia="zh-CN"/>
        </w:rPr>
        <w:t>)</w:t>
      </w:r>
    </w:p>
    <w:p w14:paraId="7A0BA0C1">
      <w:pPr>
        <w:ind w:firstLine="960"/>
        <w:jc w:val="center"/>
        <w:rPr>
          <w:rFonts w:hint="eastAsia" w:ascii="宋体" w:hAnsi="宋体"/>
          <w:sz w:val="48"/>
          <w:szCs w:val="48"/>
        </w:rPr>
      </w:pPr>
    </w:p>
    <w:p w14:paraId="2B2301E7">
      <w:pPr>
        <w:ind w:firstLine="560"/>
        <w:rPr>
          <w:rFonts w:hint="eastAsia" w:ascii="宋体" w:hAnsi="宋体"/>
          <w:szCs w:val="28"/>
        </w:rPr>
      </w:pPr>
    </w:p>
    <w:p w14:paraId="790CC312">
      <w:pPr>
        <w:pStyle w:val="2"/>
        <w:ind w:firstLine="560"/>
      </w:pPr>
    </w:p>
    <w:p w14:paraId="79A486AB">
      <w:pPr>
        <w:pStyle w:val="2"/>
        <w:ind w:firstLine="560"/>
      </w:pPr>
    </w:p>
    <w:p w14:paraId="37CF3526">
      <w:pPr>
        <w:pStyle w:val="2"/>
        <w:ind w:firstLine="560"/>
      </w:pPr>
    </w:p>
    <w:p w14:paraId="2336C35B">
      <w:pPr>
        <w:pStyle w:val="2"/>
        <w:ind w:firstLine="560"/>
      </w:pPr>
    </w:p>
    <w:p w14:paraId="06F137A7">
      <w:pPr>
        <w:pStyle w:val="2"/>
        <w:ind w:firstLine="560"/>
      </w:pPr>
    </w:p>
    <w:p w14:paraId="6EF0C0FB">
      <w:pPr>
        <w:pStyle w:val="2"/>
        <w:ind w:firstLine="560"/>
      </w:pPr>
    </w:p>
    <w:p w14:paraId="252849AF">
      <w:pPr>
        <w:ind w:firstLine="0" w:firstLineChars="0"/>
        <w:jc w:val="center"/>
        <w:rPr>
          <w:rFonts w:hint="eastAsia" w:ascii="宋体" w:hAnsi="宋体"/>
          <w:szCs w:val="28"/>
        </w:rPr>
      </w:pPr>
      <w:r>
        <w:rPr>
          <w:rFonts w:hint="eastAsia" w:ascii="宋体" w:hAnsi="宋体"/>
          <w:szCs w:val="28"/>
        </w:rPr>
        <w:t>招 标 人：中国重汽集团济南动力有限公司</w:t>
      </w:r>
    </w:p>
    <w:p w14:paraId="159F72A7">
      <w:pPr>
        <w:ind w:firstLine="0" w:firstLineChars="0"/>
        <w:jc w:val="center"/>
        <w:rPr>
          <w:rFonts w:hint="eastAsia" w:ascii="宋体" w:hAnsi="宋体"/>
          <w:szCs w:val="28"/>
        </w:rPr>
      </w:pPr>
    </w:p>
    <w:p w14:paraId="20FE2D5D">
      <w:pPr>
        <w:spacing w:line="480" w:lineRule="auto"/>
        <w:ind w:firstLine="0" w:firstLineChars="0"/>
        <w:jc w:val="center"/>
        <w:rPr>
          <w:rFonts w:hint="eastAsia" w:ascii="宋体" w:hAnsi="宋体"/>
          <w:b/>
          <w:bCs/>
          <w:sz w:val="48"/>
          <w:szCs w:val="48"/>
        </w:rPr>
      </w:pPr>
      <w:r>
        <w:rPr>
          <w:rFonts w:hint="eastAsia" w:ascii="宋体" w:hAnsi="宋体"/>
          <w:szCs w:val="28"/>
        </w:rPr>
        <w:t>2026年07月</w:t>
      </w:r>
    </w:p>
    <w:p w14:paraId="521F0135">
      <w:pPr>
        <w:spacing w:line="480" w:lineRule="auto"/>
        <w:ind w:firstLine="964"/>
        <w:jc w:val="center"/>
        <w:rPr>
          <w:rFonts w:hint="eastAsia" w:ascii="宋体" w:hAnsi="宋体"/>
          <w:b/>
          <w:bCs/>
          <w:sz w:val="48"/>
          <w:szCs w:val="48"/>
        </w:rPr>
        <w:sectPr>
          <w:footerReference r:id="rId7" w:type="first"/>
          <w:headerReference r:id="rId5" w:type="default"/>
          <w:footerReference r:id="rId6"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仿宋_GB2312" w:cs="Times New Roman"/>
          <w:b/>
          <w:bCs/>
          <w:caps/>
          <w:color w:val="auto"/>
          <w:kern w:val="2"/>
          <w:sz w:val="21"/>
          <w:szCs w:val="20"/>
          <w:lang w:val="zh-CN"/>
        </w:rPr>
      </w:sdtEndPr>
      <w:sdtContent>
        <w:p w14:paraId="0A7E1F7B">
          <w:pPr>
            <w:pStyle w:val="69"/>
            <w:ind w:left="1120" w:firstLine="422"/>
            <w:jc w:val="center"/>
            <w:rPr>
              <w:rFonts w:hint="eastAsia"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238A6144">
          <w:pPr>
            <w:pStyle w:val="20"/>
            <w:ind w:firstLine="199" w:firstLineChars="55"/>
            <w:rPr>
              <w:rFonts w:hint="eastAsia" w:asciiTheme="minorHAnsi" w:hAnsiTheme="minorHAnsi" w:eastAsiaTheme="minorEastAsia" w:cstheme="minorBidi"/>
              <w:b w:val="0"/>
              <w:caps w:val="0"/>
              <w:sz w:val="22"/>
              <w:szCs w:val="24"/>
              <w14:ligatures w14:val="standardContextual"/>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"_Toc234510331" </w:instrText>
          </w:r>
          <w:r>
            <w:fldChar w:fldCharType="separate"/>
          </w:r>
          <w:r>
            <w:rPr>
              <w:rStyle w:val="37"/>
              <w:rFonts w:hint="eastAsia"/>
            </w:rPr>
            <w:t>第一章  招标公告</w:t>
          </w:r>
          <w:r>
            <w:rPr>
              <w:rFonts w:hint="eastAsia"/>
            </w:rPr>
            <w:tab/>
          </w:r>
          <w:r>
            <w:rPr>
              <w:rFonts w:hint="eastAsia"/>
            </w:rPr>
            <w:fldChar w:fldCharType="begin"/>
          </w:r>
          <w:r>
            <w:rPr>
              <w:rFonts w:hint="eastAsia"/>
            </w:rPr>
            <w:instrText xml:space="preserve"> </w:instrText>
          </w:r>
          <w:r>
            <w:instrText xml:space="preserve">PAGEREF _Toc234510331 \h</w:instrText>
          </w:r>
          <w:r>
            <w:rPr>
              <w:rFonts w:hint="eastAsia"/>
            </w:rPr>
            <w:instrText xml:space="preserve"> </w:instrText>
          </w:r>
          <w:r>
            <w:rPr>
              <w:rFonts w:hint="eastAsia"/>
            </w:rPr>
            <w:fldChar w:fldCharType="separate"/>
          </w:r>
          <w:r>
            <w:rPr>
              <w:rFonts w:hint="eastAsia"/>
            </w:rPr>
            <w:t>2</w:t>
          </w:r>
          <w:r>
            <w:rPr>
              <w:rFonts w:hint="eastAsia"/>
            </w:rPr>
            <w:fldChar w:fldCharType="end"/>
          </w:r>
          <w:r>
            <w:rPr>
              <w:rFonts w:hint="eastAsia"/>
            </w:rPr>
            <w:fldChar w:fldCharType="end"/>
          </w:r>
        </w:p>
        <w:p w14:paraId="0EC22E4B">
          <w:pPr>
            <w:pStyle w:val="20"/>
            <w:ind w:firstLineChars="71"/>
            <w:rPr>
              <w:rFonts w:hint="eastAsia" w:asciiTheme="minorHAnsi" w:hAnsiTheme="minorHAnsi" w:eastAsiaTheme="minorEastAsia" w:cstheme="minorBidi"/>
              <w:b w:val="0"/>
              <w:caps w:val="0"/>
              <w:sz w:val="22"/>
              <w:szCs w:val="24"/>
              <w14:ligatures w14:val="standardContextual"/>
            </w:rPr>
          </w:pPr>
          <w:r>
            <w:fldChar w:fldCharType="begin"/>
          </w:r>
          <w:r>
            <w:instrText xml:space="preserve"> HYPERLINK \l "_Toc234510332" </w:instrText>
          </w:r>
          <w:r>
            <w:fldChar w:fldCharType="separate"/>
          </w:r>
          <w:r>
            <w:rPr>
              <w:rStyle w:val="37"/>
              <w:rFonts w:hint="eastAsia"/>
            </w:rPr>
            <w:t>第二章  技术规范与评标</w:t>
          </w:r>
          <w:r>
            <w:rPr>
              <w:rFonts w:hint="eastAsia"/>
            </w:rPr>
            <w:tab/>
          </w:r>
          <w:r>
            <w:rPr>
              <w:rFonts w:hint="eastAsia"/>
            </w:rPr>
            <w:fldChar w:fldCharType="begin"/>
          </w:r>
          <w:r>
            <w:rPr>
              <w:rFonts w:hint="eastAsia"/>
            </w:rPr>
            <w:instrText xml:space="preserve"> </w:instrText>
          </w:r>
          <w:r>
            <w:instrText xml:space="preserve">PAGEREF _Toc234510332 \h</w:instrText>
          </w:r>
          <w:r>
            <w:rPr>
              <w:rFonts w:hint="eastAsia"/>
            </w:rPr>
            <w:instrText xml:space="preserve"> </w:instrText>
          </w:r>
          <w:r>
            <w:rPr>
              <w:rFonts w:hint="eastAsia"/>
            </w:rPr>
            <w:fldChar w:fldCharType="separate"/>
          </w:r>
          <w:r>
            <w:rPr>
              <w:rFonts w:hint="eastAsia"/>
            </w:rPr>
            <w:t>9</w:t>
          </w:r>
          <w:r>
            <w:rPr>
              <w:rFonts w:hint="eastAsia"/>
            </w:rPr>
            <w:fldChar w:fldCharType="end"/>
          </w:r>
          <w:r>
            <w:rPr>
              <w:rFonts w:hint="eastAsia"/>
            </w:rPr>
            <w:fldChar w:fldCharType="end"/>
          </w:r>
        </w:p>
        <w:p w14:paraId="4A76BCC0">
          <w:pPr>
            <w:pStyle w:val="20"/>
            <w:ind w:firstLineChars="71"/>
            <w:rPr>
              <w:rFonts w:hint="eastAsia" w:asciiTheme="minorHAnsi" w:hAnsiTheme="minorHAnsi" w:eastAsiaTheme="minorEastAsia" w:cstheme="minorBidi"/>
              <w:b w:val="0"/>
              <w:caps w:val="0"/>
              <w:sz w:val="22"/>
              <w:szCs w:val="24"/>
              <w14:ligatures w14:val="standardContextual"/>
            </w:rPr>
          </w:pPr>
          <w:r>
            <w:fldChar w:fldCharType="begin"/>
          </w:r>
          <w:r>
            <w:instrText xml:space="preserve"> HYPERLINK \l "_Toc234510333" </w:instrText>
          </w:r>
          <w:r>
            <w:fldChar w:fldCharType="separate"/>
          </w:r>
          <w:r>
            <w:rPr>
              <w:rStyle w:val="37"/>
              <w:rFonts w:hint="eastAsia"/>
            </w:rPr>
            <w:t>第三章  投标文件编制</w:t>
          </w:r>
          <w:r>
            <w:rPr>
              <w:rFonts w:hint="eastAsia"/>
            </w:rPr>
            <w:tab/>
          </w:r>
          <w:r>
            <w:rPr>
              <w:rFonts w:hint="eastAsia"/>
            </w:rPr>
            <w:fldChar w:fldCharType="begin"/>
          </w:r>
          <w:r>
            <w:rPr>
              <w:rFonts w:hint="eastAsia"/>
            </w:rPr>
            <w:instrText xml:space="preserve"> </w:instrText>
          </w:r>
          <w:r>
            <w:instrText xml:space="preserve">PAGEREF _Toc234510333 \h</w:instrText>
          </w:r>
          <w:r>
            <w:rPr>
              <w:rFonts w:hint="eastAsia"/>
            </w:rPr>
            <w:instrText xml:space="preserve"> </w:instrText>
          </w:r>
          <w:r>
            <w:rPr>
              <w:rFonts w:hint="eastAsia"/>
            </w:rPr>
            <w:fldChar w:fldCharType="separate"/>
          </w:r>
          <w:r>
            <w:rPr>
              <w:rFonts w:hint="eastAsia"/>
            </w:rPr>
            <w:t>13</w:t>
          </w:r>
          <w:r>
            <w:rPr>
              <w:rFonts w:hint="eastAsia"/>
            </w:rPr>
            <w:fldChar w:fldCharType="end"/>
          </w:r>
          <w:r>
            <w:rPr>
              <w:rFonts w:hint="eastAsia"/>
            </w:rPr>
            <w:fldChar w:fldCharType="end"/>
          </w:r>
        </w:p>
        <w:p w14:paraId="4833F2DB">
          <w:pPr>
            <w:pStyle w:val="20"/>
            <w:ind w:firstLineChars="71"/>
            <w:rPr>
              <w:rFonts w:hint="eastAsia" w:asciiTheme="minorHAnsi" w:hAnsiTheme="minorHAnsi" w:eastAsiaTheme="minorEastAsia" w:cstheme="minorBidi"/>
              <w:b w:val="0"/>
              <w:caps w:val="0"/>
              <w:sz w:val="22"/>
              <w:szCs w:val="24"/>
              <w14:ligatures w14:val="standardContextual"/>
            </w:rPr>
          </w:pPr>
          <w:r>
            <w:fldChar w:fldCharType="begin"/>
          </w:r>
          <w:r>
            <w:instrText xml:space="preserve"> HYPERLINK \l "_Toc234510334" </w:instrText>
          </w:r>
          <w:r>
            <w:fldChar w:fldCharType="separate"/>
          </w:r>
          <w:r>
            <w:rPr>
              <w:rStyle w:val="37"/>
              <w:rFonts w:hint="eastAsia"/>
            </w:rPr>
            <w:t>第四章  解释和说明</w:t>
          </w:r>
          <w:r>
            <w:rPr>
              <w:rFonts w:hint="eastAsia"/>
            </w:rPr>
            <w:tab/>
          </w:r>
          <w:r>
            <w:rPr>
              <w:rFonts w:hint="eastAsia"/>
            </w:rPr>
            <w:fldChar w:fldCharType="begin"/>
          </w:r>
          <w:r>
            <w:rPr>
              <w:rFonts w:hint="eastAsia"/>
            </w:rPr>
            <w:instrText xml:space="preserve"> </w:instrText>
          </w:r>
          <w:r>
            <w:instrText xml:space="preserve">PAGEREF _Toc234510334 \h</w:instrText>
          </w:r>
          <w:r>
            <w:rPr>
              <w:rFonts w:hint="eastAsia"/>
            </w:rPr>
            <w:instrText xml:space="preserve"> </w:instrText>
          </w:r>
          <w:r>
            <w:rPr>
              <w:rFonts w:hint="eastAsia"/>
            </w:rPr>
            <w:fldChar w:fldCharType="separate"/>
          </w:r>
          <w:r>
            <w:rPr>
              <w:rFonts w:hint="eastAsia"/>
            </w:rPr>
            <w:t>15</w:t>
          </w:r>
          <w:r>
            <w:rPr>
              <w:rFonts w:hint="eastAsia"/>
            </w:rPr>
            <w:fldChar w:fldCharType="end"/>
          </w:r>
          <w:r>
            <w:rPr>
              <w:rFonts w:hint="eastAsia"/>
            </w:rPr>
            <w:fldChar w:fldCharType="end"/>
          </w:r>
        </w:p>
        <w:p w14:paraId="0BF8A4FC">
          <w:pPr>
            <w:pStyle w:val="20"/>
            <w:ind w:firstLineChars="71"/>
            <w:rPr>
              <w:rFonts w:hint="eastAsia" w:asciiTheme="minorHAnsi" w:hAnsiTheme="minorHAnsi" w:eastAsiaTheme="minorEastAsia" w:cstheme="minorBidi"/>
              <w:b w:val="0"/>
              <w:caps w:val="0"/>
              <w:sz w:val="22"/>
              <w:szCs w:val="24"/>
              <w14:ligatures w14:val="standardContextual"/>
            </w:rPr>
          </w:pPr>
          <w:r>
            <w:fldChar w:fldCharType="begin"/>
          </w:r>
          <w:r>
            <w:instrText xml:space="preserve"> HYPERLINK \l "_Toc234510335" </w:instrText>
          </w:r>
          <w:r>
            <w:fldChar w:fldCharType="separate"/>
          </w:r>
          <w:r>
            <w:rPr>
              <w:rStyle w:val="37"/>
              <w:rFonts w:hint="eastAsia"/>
            </w:rPr>
            <w:t>第五章  投标文件附件</w:t>
          </w:r>
          <w:r>
            <w:rPr>
              <w:rFonts w:hint="eastAsia"/>
            </w:rPr>
            <w:tab/>
          </w:r>
          <w:r>
            <w:rPr>
              <w:rFonts w:hint="eastAsia"/>
            </w:rPr>
            <w:fldChar w:fldCharType="begin"/>
          </w:r>
          <w:r>
            <w:rPr>
              <w:rFonts w:hint="eastAsia"/>
            </w:rPr>
            <w:instrText xml:space="preserve"> </w:instrText>
          </w:r>
          <w:r>
            <w:instrText xml:space="preserve">PAGEREF _Toc234510335 \h</w:instrText>
          </w:r>
          <w:r>
            <w:rPr>
              <w:rFonts w:hint="eastAsia"/>
            </w:rPr>
            <w:instrText xml:space="preserve"> </w:instrText>
          </w:r>
          <w:r>
            <w:rPr>
              <w:rFonts w:hint="eastAsia"/>
            </w:rPr>
            <w:fldChar w:fldCharType="separate"/>
          </w:r>
          <w:r>
            <w:rPr>
              <w:rFonts w:hint="eastAsia"/>
            </w:rPr>
            <w:t>18</w:t>
          </w:r>
          <w:r>
            <w:rPr>
              <w:rFonts w:hint="eastAsia"/>
            </w:rPr>
            <w:fldChar w:fldCharType="end"/>
          </w:r>
          <w:r>
            <w:rPr>
              <w:rFonts w:hint="eastAsia"/>
            </w:rPr>
            <w:fldChar w:fldCharType="end"/>
          </w:r>
        </w:p>
        <w:p w14:paraId="5CDE20D3">
          <w:pPr>
            <w:pStyle w:val="20"/>
            <w:ind w:firstLine="562"/>
            <w:rPr>
              <w:rFonts w:hint="eastAsia"/>
            </w:rPr>
          </w:pPr>
          <w:r>
            <w:rPr>
              <w:rFonts w:hint="eastAsia" w:ascii="Calibri" w:hAnsi="Calibri"/>
              <w:bCs/>
              <w:kern w:val="44"/>
              <w:szCs w:val="44"/>
            </w:rPr>
            <w:fldChar w:fldCharType="end"/>
          </w:r>
        </w:p>
      </w:sdtContent>
    </w:sdt>
    <w:p w14:paraId="509E3138">
      <w:pPr>
        <w:pStyle w:val="2"/>
        <w:tabs>
          <w:tab w:val="left" w:pos="2940"/>
        </w:tabs>
        <w:spacing w:line="360" w:lineRule="auto"/>
        <w:ind w:firstLine="560"/>
      </w:pPr>
      <w:r>
        <w:tab/>
      </w:r>
    </w:p>
    <w:p w14:paraId="5FD300C4">
      <w:pPr>
        <w:pStyle w:val="2"/>
        <w:spacing w:line="360" w:lineRule="auto"/>
        <w:ind w:firstLine="560"/>
        <w:jc w:val="center"/>
      </w:pPr>
    </w:p>
    <w:p w14:paraId="3CD14DB9">
      <w:pPr>
        <w:pStyle w:val="2"/>
        <w:spacing w:line="360" w:lineRule="auto"/>
        <w:ind w:firstLine="560"/>
        <w:jc w:val="center"/>
        <w:sectPr>
          <w:pgSz w:w="11906" w:h="16838"/>
          <w:pgMar w:top="1701" w:right="1418" w:bottom="1134" w:left="1418" w:header="851" w:footer="992" w:gutter="0"/>
          <w:pgNumType w:fmt="numberInDash" w:start="1"/>
          <w:cols w:space="720" w:num="1"/>
          <w:titlePg/>
          <w:docGrid w:type="lines" w:linePitch="312" w:charSpace="0"/>
        </w:sectPr>
      </w:pPr>
    </w:p>
    <w:p w14:paraId="449F88F9">
      <w:pPr>
        <w:pStyle w:val="72"/>
      </w:pPr>
      <w:bookmarkStart w:id="0" w:name="_Toc47976595"/>
      <w:bookmarkStart w:id="1" w:name="_Toc234510331"/>
      <w:r>
        <w:rPr>
          <w:rFonts w:hint="eastAsia"/>
        </w:rPr>
        <w:t xml:space="preserve">第一章  </w:t>
      </w:r>
      <w:bookmarkEnd w:id="0"/>
      <w:r>
        <w:rPr>
          <w:rFonts w:hint="eastAsia"/>
        </w:rPr>
        <w:t>招标公告</w:t>
      </w:r>
      <w:bookmarkEnd w:id="1"/>
    </w:p>
    <w:p w14:paraId="37569F56">
      <w:pPr>
        <w:pStyle w:val="73"/>
        <w:spacing w:before="312" w:beforeLines="100" w:after="156" w:afterLines="50" w:line="480" w:lineRule="exact"/>
        <w:ind w:left="0"/>
      </w:pPr>
      <w:r>
        <w:rPr>
          <w:rFonts w:hint="eastAsia"/>
        </w:rPr>
        <w:t>投标须知</w:t>
      </w:r>
    </w:p>
    <w:p w14:paraId="112B68C8">
      <w:pPr>
        <w:pStyle w:val="77"/>
        <w:spacing w:line="240" w:lineRule="auto"/>
        <w:ind w:firstLine="0" w:firstLineChars="0"/>
        <w:rPr>
          <w:rFonts w:ascii="仿宋_GB2312"/>
          <w:szCs w:val="28"/>
        </w:rPr>
      </w:pPr>
      <w:r>
        <w:rPr>
          <w:rFonts w:ascii="仿宋_GB2312"/>
          <w:szCs w:val="28"/>
        </w:rPr>
        <w:t>1.</w:t>
      </w:r>
      <w:r>
        <w:rPr>
          <w:rFonts w:hint="eastAsia" w:ascii="仿宋_GB2312"/>
          <w:szCs w:val="28"/>
        </w:rPr>
        <w:t>1</w:t>
      </w:r>
      <w:r>
        <w:rPr>
          <w:rFonts w:hint="eastAsia" w:ascii="仿宋_GB2312"/>
          <w:b/>
          <w:bCs/>
          <w:szCs w:val="28"/>
        </w:rPr>
        <w:t>项目名称</w:t>
      </w:r>
      <w:r>
        <w:rPr>
          <w:rFonts w:hint="eastAsia" w:ascii="仿宋_GB2312"/>
          <w:szCs w:val="28"/>
        </w:rPr>
        <w:t>：2026年汉诺威车展车模与动画制作项目</w:t>
      </w:r>
    </w:p>
    <w:p w14:paraId="495F7F85">
      <w:pPr>
        <w:pStyle w:val="77"/>
        <w:spacing w:line="240" w:lineRule="auto"/>
        <w:ind w:firstLine="0" w:firstLineChars="0"/>
        <w:rPr>
          <w:rFonts w:ascii="仿宋_GB2312"/>
          <w:szCs w:val="28"/>
        </w:rPr>
      </w:pPr>
      <w:r>
        <w:rPr>
          <w:rFonts w:hint="eastAsia" w:ascii="仿宋_GB2312"/>
          <w:szCs w:val="28"/>
        </w:rPr>
        <w:t>1.2</w:t>
      </w:r>
      <w:r>
        <w:rPr>
          <w:rFonts w:hint="eastAsia" w:ascii="仿宋_GB2312"/>
          <w:b/>
          <w:bCs/>
          <w:szCs w:val="28"/>
        </w:rPr>
        <w:t>招标形式</w:t>
      </w:r>
      <w:r>
        <w:rPr>
          <w:rFonts w:hint="eastAsia" w:ascii="仿宋_GB2312"/>
          <w:szCs w:val="28"/>
        </w:rPr>
        <w:t>：</w:t>
      </w:r>
      <w:bookmarkStart w:id="2" w:name="_Toc47112482"/>
      <w:r>
        <w:rPr>
          <w:rFonts w:hint="eastAsia" w:ascii="仿宋_GB2312"/>
          <w:szCs w:val="28"/>
        </w:rPr>
        <w:t>公开招标</w:t>
      </w:r>
    </w:p>
    <w:p w14:paraId="6FABFA5D">
      <w:pPr>
        <w:pStyle w:val="77"/>
        <w:spacing w:line="240" w:lineRule="auto"/>
        <w:ind w:firstLine="0" w:firstLineChars="0"/>
        <w:rPr>
          <w:rFonts w:ascii="仿宋_GB2312"/>
          <w:szCs w:val="28"/>
        </w:rPr>
      </w:pPr>
      <w:r>
        <w:rPr>
          <w:rFonts w:hint="eastAsia" w:ascii="仿宋_GB2312"/>
          <w:b/>
          <w:bCs/>
          <w:szCs w:val="28"/>
        </w:rPr>
        <w:t>1.3评标方法</w:t>
      </w:r>
      <w:r>
        <w:rPr>
          <w:rFonts w:hint="eastAsia" w:ascii="仿宋_GB2312"/>
          <w:szCs w:val="28"/>
        </w:rPr>
        <w:t>：综合评分法（技术标40%+商务标60%）</w:t>
      </w:r>
    </w:p>
    <w:p w14:paraId="33B0B4F3">
      <w:pPr>
        <w:pStyle w:val="77"/>
        <w:spacing w:line="240" w:lineRule="auto"/>
        <w:ind w:firstLine="0" w:firstLineChars="0"/>
        <w:rPr>
          <w:rFonts w:ascii="仿宋_GB2312"/>
          <w:b/>
          <w:bCs/>
          <w:szCs w:val="28"/>
        </w:rPr>
      </w:pPr>
      <w:r>
        <w:rPr>
          <w:rFonts w:hint="eastAsia" w:ascii="仿宋_GB2312"/>
          <w:szCs w:val="28"/>
        </w:rPr>
        <w:t>1.4</w:t>
      </w:r>
      <w:r>
        <w:rPr>
          <w:rFonts w:hint="eastAsia" w:ascii="仿宋_GB2312"/>
          <w:b/>
          <w:bCs/>
          <w:szCs w:val="28"/>
        </w:rPr>
        <w:t>项目概况：</w:t>
      </w:r>
    </w:p>
    <w:p w14:paraId="1D1AAF29">
      <w:pPr>
        <w:pStyle w:val="77"/>
        <w:spacing w:line="240" w:lineRule="auto"/>
        <w:ind w:firstLine="560"/>
        <w:rPr>
          <w:rFonts w:ascii="仿宋_GB2312"/>
          <w:szCs w:val="28"/>
        </w:rPr>
      </w:pPr>
      <w:r>
        <w:rPr>
          <w:rFonts w:hint="eastAsia" w:ascii="仿宋_GB2312"/>
          <w:szCs w:val="28"/>
        </w:rPr>
        <w:t>本项目为中国重汽集团参加2026年9月德国汉诺威国际商用车博览会（IAA）所需的参展车型车模及对应专属展示动画视频制作的采购，具体包括压缩式垃圾车、AIV港口智能集卡、粉粒物料运输车、随车起重运输车及燃气轮机电源车、远程供排水抢险车、净水车、泡沫消防车、布管车共9款车型。通过高品质、高质感的车模与动画，全方位、立体化展示中国重汽集团专用车系列产品优势与智能化、高端化技术效果。</w:t>
      </w:r>
    </w:p>
    <w:p w14:paraId="23BE8C6A">
      <w:pPr>
        <w:pStyle w:val="77"/>
        <w:spacing w:line="240" w:lineRule="auto"/>
        <w:ind w:firstLine="0" w:firstLineChars="0"/>
        <w:rPr>
          <w:rFonts w:ascii="仿宋_GB2312"/>
          <w:szCs w:val="28"/>
        </w:rPr>
      </w:pPr>
      <w:r>
        <w:rPr>
          <w:rFonts w:hint="eastAsia" w:ascii="仿宋_GB2312"/>
          <w:szCs w:val="28"/>
        </w:rPr>
        <w:t>1.5</w:t>
      </w:r>
      <w:r>
        <w:rPr>
          <w:rFonts w:hint="eastAsia" w:ascii="仿宋_GB2312"/>
          <w:b/>
          <w:bCs/>
          <w:szCs w:val="28"/>
        </w:rPr>
        <w:t>报价</w:t>
      </w:r>
      <w:r>
        <w:rPr>
          <w:rFonts w:hint="eastAsia" w:ascii="仿宋_GB2312"/>
          <w:szCs w:val="28"/>
        </w:rPr>
        <w:t>：</w:t>
      </w:r>
    </w:p>
    <w:p w14:paraId="601D9426">
      <w:pPr>
        <w:pStyle w:val="77"/>
        <w:spacing w:line="240" w:lineRule="auto"/>
        <w:ind w:firstLine="560"/>
        <w:rPr>
          <w:rFonts w:ascii="仿宋_GB2312"/>
          <w:szCs w:val="28"/>
        </w:rPr>
      </w:pPr>
      <w:r>
        <w:rPr>
          <w:rFonts w:hint="eastAsia" w:ascii="仿宋_GB2312"/>
          <w:szCs w:val="28"/>
        </w:rPr>
        <w:t>报价应包含项目中所包含的所有费用，包含但不限于：设计、样品制作、材质选型及工艺方案、人员、物料以及工商、税务、利润及所有人工等全部费用，且报价需体现不含税金额、税率及价税合计金额。中标后按实际服务发生单价及数量据实结算。</w:t>
      </w:r>
    </w:p>
    <w:p w14:paraId="69C9673E">
      <w:pPr>
        <w:pStyle w:val="77"/>
        <w:spacing w:line="240" w:lineRule="auto"/>
        <w:ind w:firstLine="0" w:firstLineChars="0"/>
        <w:rPr>
          <w:rFonts w:ascii="仿宋_GB2312"/>
          <w:b/>
          <w:bCs/>
          <w:szCs w:val="28"/>
        </w:rPr>
      </w:pPr>
      <w:r>
        <w:rPr>
          <w:rFonts w:hint="eastAsia" w:ascii="仿宋_GB2312"/>
          <w:b/>
          <w:bCs/>
          <w:szCs w:val="28"/>
        </w:rPr>
        <w:t>1.6地点及时间：</w:t>
      </w:r>
    </w:p>
    <w:p w14:paraId="6E8AB5E0">
      <w:pPr>
        <w:pStyle w:val="77"/>
        <w:spacing w:line="240" w:lineRule="auto"/>
        <w:ind w:firstLine="560"/>
        <w:rPr>
          <w:rFonts w:ascii="仿宋_GB2312"/>
          <w:szCs w:val="28"/>
        </w:rPr>
      </w:pPr>
      <w:r>
        <w:rPr>
          <w:rFonts w:hint="eastAsia" w:ascii="仿宋_GB2312"/>
          <w:szCs w:val="28"/>
        </w:rPr>
        <w:t>地点：中国重汽科技大厦</w:t>
      </w:r>
    </w:p>
    <w:p w14:paraId="5A7031FB">
      <w:pPr>
        <w:pStyle w:val="77"/>
        <w:spacing w:line="240" w:lineRule="auto"/>
        <w:ind w:firstLine="560"/>
        <w:rPr>
          <w:rFonts w:hint="eastAsia" w:ascii="仿宋_GB2312" w:eastAsia="仿宋_GB2312"/>
          <w:szCs w:val="28"/>
          <w:u w:val="single"/>
          <w:lang w:eastAsia="zh-CN"/>
        </w:rPr>
      </w:pPr>
      <w:r>
        <w:rPr>
          <w:rFonts w:hint="eastAsia" w:ascii="仿宋_GB2312"/>
          <w:szCs w:val="28"/>
          <w:u w:val="single"/>
        </w:rPr>
        <w:t>应标截止时间（报名）：2026年7月1</w:t>
      </w:r>
      <w:r>
        <w:rPr>
          <w:rFonts w:hint="eastAsia" w:ascii="仿宋_GB2312"/>
          <w:szCs w:val="28"/>
          <w:u w:val="single"/>
          <w:lang w:val="en-US" w:eastAsia="zh-CN"/>
        </w:rPr>
        <w:t>7</w:t>
      </w:r>
      <w:r>
        <w:rPr>
          <w:rFonts w:hint="eastAsia" w:ascii="仿宋_GB2312"/>
          <w:szCs w:val="28"/>
          <w:u w:val="single"/>
        </w:rPr>
        <w:t>号</w:t>
      </w:r>
      <w:r>
        <w:rPr>
          <w:rFonts w:hint="eastAsia" w:ascii="仿宋_GB2312"/>
          <w:szCs w:val="28"/>
          <w:u w:val="single"/>
          <w:lang w:val="en-US" w:eastAsia="zh-CN"/>
        </w:rPr>
        <w:t>23</w:t>
      </w:r>
      <w:r>
        <w:rPr>
          <w:rFonts w:hint="eastAsia" w:ascii="仿宋_GB2312"/>
          <w:szCs w:val="28"/>
          <w:u w:val="single"/>
        </w:rPr>
        <w:t>点</w:t>
      </w:r>
      <w:r>
        <w:rPr>
          <w:rFonts w:hint="eastAsia" w:ascii="仿宋_GB2312"/>
          <w:szCs w:val="28"/>
          <w:u w:val="single"/>
          <w:lang w:eastAsia="zh-CN"/>
        </w:rPr>
        <w:t>（</w:t>
      </w:r>
      <w:r>
        <w:rPr>
          <w:rFonts w:hint="eastAsia" w:ascii="仿宋_GB2312"/>
          <w:szCs w:val="28"/>
          <w:u w:val="single"/>
          <w:lang w:val="en-US" w:eastAsia="zh-CN"/>
        </w:rPr>
        <w:t>二次挂网</w:t>
      </w:r>
      <w:r>
        <w:rPr>
          <w:rFonts w:hint="eastAsia" w:ascii="仿宋_GB2312"/>
          <w:szCs w:val="28"/>
          <w:u w:val="single"/>
          <w:lang w:eastAsia="zh-CN"/>
        </w:rPr>
        <w:t>）</w:t>
      </w:r>
    </w:p>
    <w:p w14:paraId="1D3A61B2">
      <w:pPr>
        <w:pStyle w:val="77"/>
        <w:spacing w:line="240" w:lineRule="auto"/>
        <w:ind w:firstLine="560"/>
        <w:rPr>
          <w:rFonts w:ascii="仿宋_GB2312"/>
          <w:szCs w:val="28"/>
          <w:u w:val="single"/>
        </w:rPr>
      </w:pPr>
      <w:r>
        <w:rPr>
          <w:rFonts w:hint="eastAsia" w:ascii="仿宋_GB2312"/>
          <w:szCs w:val="28"/>
          <w:u w:val="single"/>
        </w:rPr>
        <w:t>投标截止时间：2026年7月2</w:t>
      </w:r>
      <w:r>
        <w:rPr>
          <w:rFonts w:hint="eastAsia" w:ascii="仿宋_GB2312"/>
          <w:szCs w:val="28"/>
          <w:u w:val="single"/>
          <w:lang w:val="en-US" w:eastAsia="zh-CN"/>
        </w:rPr>
        <w:t>2</w:t>
      </w:r>
      <w:r>
        <w:rPr>
          <w:rFonts w:hint="eastAsia" w:ascii="仿宋_GB2312"/>
          <w:szCs w:val="28"/>
          <w:u w:val="single"/>
        </w:rPr>
        <w:t>号</w:t>
      </w:r>
      <w:r>
        <w:rPr>
          <w:rFonts w:hint="eastAsia" w:ascii="仿宋_GB2312"/>
          <w:szCs w:val="28"/>
          <w:u w:val="single"/>
          <w:lang w:val="en-US" w:eastAsia="zh-CN"/>
        </w:rPr>
        <w:t>23</w:t>
      </w:r>
      <w:r>
        <w:rPr>
          <w:rFonts w:hint="eastAsia" w:ascii="仿宋_GB2312"/>
          <w:szCs w:val="28"/>
          <w:u w:val="single"/>
        </w:rPr>
        <w:t>点</w:t>
      </w:r>
    </w:p>
    <w:p w14:paraId="63C2B8A3">
      <w:pPr>
        <w:pStyle w:val="77"/>
        <w:spacing w:line="240" w:lineRule="auto"/>
        <w:ind w:firstLine="560"/>
        <w:rPr>
          <w:rFonts w:ascii="仿宋_GB2312"/>
          <w:szCs w:val="28"/>
          <w:u w:val="single"/>
        </w:rPr>
      </w:pPr>
      <w:r>
        <w:rPr>
          <w:rFonts w:hint="eastAsia" w:ascii="仿宋_GB2312"/>
          <w:szCs w:val="28"/>
          <w:u w:val="single"/>
        </w:rPr>
        <w:t>开标时间：2026年7月2</w:t>
      </w:r>
      <w:r>
        <w:rPr>
          <w:rFonts w:hint="eastAsia" w:ascii="仿宋_GB2312"/>
          <w:szCs w:val="28"/>
          <w:u w:val="single"/>
          <w:lang w:val="en-US" w:eastAsia="zh-CN"/>
        </w:rPr>
        <w:t>3</w:t>
      </w:r>
      <w:r>
        <w:rPr>
          <w:rFonts w:hint="eastAsia" w:ascii="仿宋_GB2312"/>
          <w:szCs w:val="28"/>
          <w:u w:val="single"/>
        </w:rPr>
        <w:t>号9点（若有变化另行通知）</w:t>
      </w:r>
    </w:p>
    <w:p w14:paraId="4032304A">
      <w:pPr>
        <w:pStyle w:val="77"/>
        <w:spacing w:line="240" w:lineRule="auto"/>
        <w:ind w:firstLine="0" w:firstLineChars="0"/>
        <w:rPr>
          <w:rFonts w:ascii="仿宋_GB2312"/>
          <w:b/>
          <w:bCs/>
          <w:szCs w:val="28"/>
        </w:rPr>
      </w:pPr>
      <w:r>
        <w:rPr>
          <w:rFonts w:hint="eastAsia" w:ascii="仿宋_GB2312"/>
          <w:b/>
          <w:bCs/>
          <w:szCs w:val="28"/>
        </w:rPr>
        <w:t>1.7招标人信息：</w:t>
      </w:r>
    </w:p>
    <w:p w14:paraId="60735003">
      <w:pPr>
        <w:ind w:firstLine="560"/>
        <w:rPr>
          <w:rFonts w:hAnsi="Courier New"/>
          <w:szCs w:val="28"/>
        </w:rPr>
      </w:pPr>
      <w:r>
        <w:rPr>
          <w:rFonts w:hint="eastAsia" w:hAnsi="Courier New"/>
          <w:szCs w:val="28"/>
        </w:rPr>
        <w:t>招标人名称：中国重汽集团济南动力有限公司</w:t>
      </w:r>
    </w:p>
    <w:p w14:paraId="42D167B8">
      <w:pPr>
        <w:ind w:firstLine="560"/>
        <w:rPr>
          <w:rFonts w:hAnsi="Courier New"/>
          <w:szCs w:val="28"/>
        </w:rPr>
      </w:pPr>
      <w:r>
        <w:rPr>
          <w:rFonts w:hint="eastAsia" w:hAnsi="Courier New"/>
          <w:szCs w:val="28"/>
        </w:rPr>
        <w:t>招标人地址：</w:t>
      </w:r>
      <w:r>
        <w:rPr>
          <w:rFonts w:hint="eastAsia" w:hAnsi="宋体"/>
          <w:kern w:val="0"/>
        </w:rPr>
        <w:t>济南市高新区华奥路777号</w:t>
      </w:r>
    </w:p>
    <w:bookmarkEnd w:id="2"/>
    <w:p w14:paraId="7684D582">
      <w:pPr>
        <w:ind w:firstLine="560"/>
        <w:rPr>
          <w:rFonts w:hAnsi="Courier New"/>
          <w:szCs w:val="28"/>
        </w:rPr>
      </w:pPr>
      <w:bookmarkStart w:id="3" w:name="_Toc47976598"/>
      <w:r>
        <w:rPr>
          <w:rFonts w:hint="eastAsia" w:hAnsi="Courier New"/>
          <w:szCs w:val="28"/>
        </w:rPr>
        <w:t>联系人：牛晓东</w:t>
      </w:r>
    </w:p>
    <w:p w14:paraId="60FFC9FF">
      <w:pPr>
        <w:ind w:firstLine="560"/>
        <w:rPr>
          <w:rFonts w:hAnsi="Courier New"/>
          <w:szCs w:val="28"/>
        </w:rPr>
      </w:pPr>
      <w:r>
        <w:rPr>
          <w:rFonts w:hint="eastAsia" w:hAnsi="Courier New"/>
          <w:szCs w:val="28"/>
        </w:rPr>
        <w:t>电话：</w:t>
      </w:r>
      <w:r>
        <w:rPr>
          <w:rFonts w:hAnsi="Courier New"/>
          <w:szCs w:val="28"/>
        </w:rPr>
        <w:t>18615530708</w:t>
      </w:r>
    </w:p>
    <w:p w14:paraId="4FF51985">
      <w:pPr>
        <w:ind w:firstLine="560"/>
        <w:rPr>
          <w:rFonts w:hAnsi="Courier New"/>
          <w:szCs w:val="28"/>
        </w:rPr>
      </w:pPr>
      <w:r>
        <w:rPr>
          <w:rFonts w:hint="eastAsia" w:hAnsi="Courier New"/>
          <w:szCs w:val="28"/>
        </w:rPr>
        <w:t>邮箱：</w:t>
      </w:r>
      <w:r>
        <w:fldChar w:fldCharType="begin"/>
      </w:r>
      <w:r>
        <w:instrText xml:space="preserve"> HYPERLINK "mailto:niuxiaod@sinotruk.com" </w:instrText>
      </w:r>
      <w:r>
        <w:fldChar w:fldCharType="separate"/>
      </w:r>
      <w:r>
        <w:rPr>
          <w:rFonts w:hint="eastAsia"/>
          <w:szCs w:val="28"/>
        </w:rPr>
        <w:t>niuxiaod@sinotruk.com</w:t>
      </w:r>
      <w:r>
        <w:rPr>
          <w:rFonts w:hint="eastAsia"/>
          <w:szCs w:val="28"/>
        </w:rPr>
        <w:fldChar w:fldCharType="end"/>
      </w:r>
    </w:p>
    <w:p w14:paraId="08E0F403">
      <w:pPr>
        <w:pStyle w:val="77"/>
        <w:spacing w:line="240" w:lineRule="auto"/>
        <w:ind w:firstLine="0" w:firstLineChars="0"/>
        <w:rPr>
          <w:rFonts w:ascii="仿宋_GB2312"/>
          <w:b/>
          <w:bCs/>
          <w:szCs w:val="28"/>
        </w:rPr>
      </w:pPr>
      <w:r>
        <w:rPr>
          <w:rFonts w:hint="eastAsia" w:ascii="仿宋_GB2312"/>
          <w:b/>
          <w:bCs/>
          <w:szCs w:val="28"/>
        </w:rPr>
        <w:t>1.8保证金：</w:t>
      </w:r>
    </w:p>
    <w:p w14:paraId="38FDD1C2">
      <w:pPr>
        <w:pStyle w:val="2"/>
        <w:ind w:firstLine="560"/>
        <w:rPr>
          <w:rFonts w:hint="eastAsia" w:ascii="仿宋_GB2312" w:hAnsi="宋体"/>
          <w:kern w:val="0"/>
        </w:rPr>
      </w:pPr>
      <w:r>
        <w:rPr>
          <w:rFonts w:hint="eastAsia" w:ascii="仿宋_GB2312" w:hAnsi="宋体"/>
          <w:kern w:val="0"/>
        </w:rPr>
        <w:t>投标保证金的缴纳形式：提交银行投标保函或从银行基本账户转账</w:t>
      </w:r>
    </w:p>
    <w:p w14:paraId="7C64E1EE">
      <w:pPr>
        <w:pStyle w:val="2"/>
        <w:ind w:firstLine="560"/>
        <w:rPr>
          <w:rFonts w:hint="eastAsia" w:ascii="仿宋_GB2312" w:hAnsi="宋体"/>
          <w:kern w:val="0"/>
        </w:rPr>
      </w:pPr>
      <w:r>
        <w:rPr>
          <w:rFonts w:hint="eastAsia" w:ascii="仿宋_GB2312" w:hAnsi="宋体"/>
          <w:kern w:val="0"/>
        </w:rPr>
        <w:t>选择提交银行投标保函的拟投标人，应在开标时提交投标保函正本，作为《投标文件》的一部分，该投标保函应是不可撤销的“见索即付”保函，保函有效期应满足投标有效期要求，由招标人留存保函正本。</w:t>
      </w:r>
    </w:p>
    <w:p w14:paraId="453C5B3A">
      <w:pPr>
        <w:pStyle w:val="2"/>
        <w:ind w:firstLine="560"/>
        <w:rPr>
          <w:rFonts w:hint="eastAsia" w:ascii="仿宋_GB2312" w:hAnsi="宋体"/>
          <w:kern w:val="0"/>
        </w:rPr>
      </w:pPr>
      <w:r>
        <w:rPr>
          <w:rFonts w:hint="eastAsia" w:ascii="仿宋_GB2312" w:hAnsi="宋体"/>
          <w:kern w:val="0"/>
        </w:rPr>
        <w:t>选择从银行基本账户转账的拟投标人，须在规定的时间之前将投标保证金从其单位基本账户转出并到账，否则视为无效投标；未按规定提交保证金的拟投标人，其投标文件视为无效投标。拟投标人应充分考虑银行信息交换时间，由此带来的保证金不能按时到账的责任由拟投标人自行承担。</w:t>
      </w:r>
    </w:p>
    <w:p w14:paraId="37848BF9">
      <w:pPr>
        <w:pStyle w:val="2"/>
        <w:ind w:firstLine="562"/>
        <w:rPr>
          <w:rFonts w:hint="eastAsia" w:ascii="仿宋_GB2312" w:hAnsi="宋体"/>
          <w:b/>
          <w:bCs/>
          <w:kern w:val="0"/>
        </w:rPr>
      </w:pPr>
      <w:r>
        <w:rPr>
          <w:rFonts w:hint="eastAsia" w:ascii="仿宋_GB2312" w:hAnsi="宋体"/>
          <w:b/>
          <w:bCs/>
          <w:kern w:val="0"/>
        </w:rPr>
        <w:t>投标保证金的金额：人民币5000元</w:t>
      </w:r>
    </w:p>
    <w:p w14:paraId="72FAA95E">
      <w:pPr>
        <w:pStyle w:val="2"/>
        <w:ind w:firstLine="560"/>
        <w:rPr>
          <w:rFonts w:hint="eastAsia" w:ascii="仿宋_GB2312" w:hAnsi="宋体"/>
          <w:kern w:val="0"/>
        </w:rPr>
      </w:pPr>
      <w:r>
        <w:rPr>
          <w:rFonts w:hint="eastAsia" w:ascii="仿宋_GB2312" w:hAnsi="宋体"/>
          <w:kern w:val="0"/>
        </w:rPr>
        <w:t>户名：中国重汽集团国际有限公司</w:t>
      </w:r>
    </w:p>
    <w:p w14:paraId="15407A28">
      <w:pPr>
        <w:pStyle w:val="2"/>
        <w:ind w:firstLine="560"/>
        <w:rPr>
          <w:rFonts w:hint="eastAsia" w:ascii="仿宋_GB2312" w:hAnsi="宋体"/>
          <w:kern w:val="0"/>
        </w:rPr>
      </w:pPr>
      <w:r>
        <w:rPr>
          <w:rFonts w:hint="eastAsia" w:ascii="仿宋_GB2312" w:hAnsi="宋体"/>
          <w:kern w:val="0"/>
        </w:rPr>
        <w:t>开户行：兴业银行济南天桥区支行</w:t>
      </w:r>
    </w:p>
    <w:p w14:paraId="659AFF82">
      <w:pPr>
        <w:pStyle w:val="2"/>
        <w:ind w:firstLine="560"/>
        <w:rPr>
          <w:rFonts w:hint="eastAsia" w:ascii="仿宋_GB2312" w:hAnsi="宋体"/>
          <w:kern w:val="0"/>
        </w:rPr>
      </w:pPr>
      <w:r>
        <w:rPr>
          <w:rFonts w:hint="eastAsia" w:ascii="仿宋_GB2312" w:hAnsi="宋体"/>
          <w:kern w:val="0"/>
        </w:rPr>
        <w:t>账号：376070100100024875</w:t>
      </w:r>
    </w:p>
    <w:p w14:paraId="06491A29">
      <w:pPr>
        <w:pStyle w:val="2"/>
        <w:ind w:firstLine="560"/>
        <w:rPr>
          <w:rFonts w:hint="eastAsia" w:ascii="仿宋_GB2312" w:hAnsi="宋体"/>
          <w:kern w:val="0"/>
        </w:rPr>
      </w:pPr>
      <w:r>
        <w:rPr>
          <w:rFonts w:hint="eastAsia" w:ascii="仿宋_GB2312" w:hAnsi="宋体"/>
          <w:kern w:val="0"/>
        </w:rPr>
        <w:t>行号：309451006078</w:t>
      </w:r>
    </w:p>
    <w:p w14:paraId="3D7D5B01">
      <w:pPr>
        <w:pStyle w:val="2"/>
        <w:ind w:firstLine="560"/>
        <w:rPr>
          <w:rFonts w:hint="eastAsia" w:ascii="仿宋_GB2312" w:hAnsi="宋体"/>
          <w:kern w:val="0"/>
          <w:u w:val="single"/>
        </w:rPr>
      </w:pPr>
      <w:r>
        <w:rPr>
          <w:rFonts w:hint="eastAsia" w:ascii="仿宋_GB2312" w:hAnsi="宋体"/>
          <w:kern w:val="0"/>
          <w:u w:val="single"/>
        </w:rPr>
        <w:t>转账附言：公司简称+项目名称+投标保证金。</w:t>
      </w:r>
    </w:p>
    <w:p w14:paraId="0D19137A">
      <w:pPr>
        <w:pStyle w:val="2"/>
        <w:ind w:firstLine="560"/>
        <w:rPr>
          <w:rFonts w:hint="eastAsia" w:ascii="仿宋_GB2312" w:hAnsi="宋体"/>
          <w:kern w:val="0"/>
        </w:rPr>
      </w:pPr>
      <w:r>
        <w:rPr>
          <w:rFonts w:hint="eastAsia" w:ascii="仿宋_GB2312" w:hAnsi="宋体"/>
          <w:kern w:val="0"/>
        </w:rPr>
        <w:t>保证金缴纳截止时间：</w:t>
      </w:r>
      <w:r>
        <w:rPr>
          <w:rFonts w:hint="eastAsia" w:ascii="仿宋_GB2312" w:hAnsi="宋体"/>
          <w:kern w:val="0"/>
          <w:u w:val="single"/>
        </w:rPr>
        <w:t>同投标文件递交截止时间</w:t>
      </w:r>
    </w:p>
    <w:p w14:paraId="160CE832">
      <w:pPr>
        <w:pStyle w:val="2"/>
        <w:ind w:firstLine="560"/>
        <w:rPr>
          <w:rFonts w:hint="eastAsia" w:ascii="黑体" w:hAnsi="黑体" w:eastAsia="黑体"/>
          <w:kern w:val="0"/>
        </w:rPr>
      </w:pPr>
      <w:r>
        <w:rPr>
          <w:rFonts w:hint="eastAsia" w:ascii="黑体" w:hAnsi="黑体" w:eastAsia="黑体"/>
          <w:kern w:val="0"/>
        </w:rPr>
        <w:t>对于没有中标的投标人，投标保证金将于招标人内部完成中标人评审并确认最终中标人后一个付款周期予以原路返还（无息）；对于中标方，投标保证金将在签订合同后一个付款周期原路返还（无息）。</w:t>
      </w:r>
    </w:p>
    <w:p w14:paraId="08347479">
      <w:pPr>
        <w:pStyle w:val="77"/>
        <w:spacing w:line="240" w:lineRule="auto"/>
        <w:ind w:firstLine="0" w:firstLineChars="0"/>
        <w:rPr>
          <w:rFonts w:ascii="仿宋_GB2312"/>
          <w:b/>
          <w:bCs/>
          <w:szCs w:val="28"/>
        </w:rPr>
      </w:pPr>
      <w:r>
        <w:rPr>
          <w:rFonts w:hint="eastAsia" w:ascii="仿宋_GB2312"/>
          <w:b/>
          <w:bCs/>
          <w:szCs w:val="28"/>
        </w:rPr>
        <w:t>1.9发生以下情况时，有权没收保证金：</w:t>
      </w:r>
    </w:p>
    <w:p w14:paraId="5F65032C">
      <w:pPr>
        <w:pStyle w:val="2"/>
        <w:ind w:firstLine="560"/>
        <w:rPr>
          <w:rFonts w:hint="eastAsia" w:ascii="仿宋_GB2312" w:hAnsi="宋体"/>
          <w:kern w:val="0"/>
        </w:rPr>
      </w:pPr>
      <w:r>
        <w:rPr>
          <w:rFonts w:hint="eastAsia" w:ascii="仿宋_GB2312" w:hAnsi="宋体"/>
          <w:kern w:val="0"/>
        </w:rPr>
        <w:t>（1）供应商在提交响应文件截止时间后撤回响应文件的；</w:t>
      </w:r>
    </w:p>
    <w:p w14:paraId="4137982F">
      <w:pPr>
        <w:pStyle w:val="2"/>
        <w:ind w:firstLine="560"/>
        <w:rPr>
          <w:rFonts w:hint="eastAsia" w:ascii="仿宋_GB2312" w:hAnsi="宋体"/>
          <w:kern w:val="0"/>
        </w:rPr>
      </w:pPr>
      <w:r>
        <w:rPr>
          <w:rFonts w:hint="eastAsia" w:ascii="仿宋_GB2312" w:hAnsi="宋体"/>
          <w:kern w:val="0"/>
        </w:rPr>
        <w:t>（2）供应商在响应文件中提供虚假材料的；</w:t>
      </w:r>
    </w:p>
    <w:p w14:paraId="0CD61DD1">
      <w:pPr>
        <w:pStyle w:val="2"/>
        <w:ind w:firstLine="560"/>
        <w:rPr>
          <w:rFonts w:hint="eastAsia" w:ascii="仿宋_GB2312" w:hAnsi="宋体"/>
          <w:kern w:val="0"/>
        </w:rPr>
      </w:pPr>
      <w:r>
        <w:rPr>
          <w:rFonts w:hint="eastAsia" w:ascii="仿宋_GB2312" w:hAnsi="宋体"/>
          <w:kern w:val="0"/>
        </w:rPr>
        <w:t>（3）除因不可抗力或谈判文件、询价通知书认可的情形以外，成交供应商不与采购人签订合同的；</w:t>
      </w:r>
    </w:p>
    <w:p w14:paraId="0D428D22">
      <w:pPr>
        <w:pStyle w:val="2"/>
        <w:ind w:firstLine="560"/>
        <w:rPr>
          <w:rFonts w:hint="eastAsia" w:ascii="仿宋_GB2312" w:hAnsi="宋体"/>
          <w:kern w:val="0"/>
        </w:rPr>
      </w:pPr>
      <w:r>
        <w:rPr>
          <w:rFonts w:hint="eastAsia" w:ascii="仿宋_GB2312" w:hAnsi="宋体"/>
          <w:kern w:val="0"/>
        </w:rPr>
        <w:t>（4）供应商与采购人、其他供应商或者采购代理机构恶意串通、围标、陪标的；</w:t>
      </w:r>
    </w:p>
    <w:p w14:paraId="4D2CF94A">
      <w:pPr>
        <w:pStyle w:val="2"/>
        <w:ind w:firstLine="560"/>
        <w:rPr>
          <w:rFonts w:hint="eastAsia" w:ascii="仿宋_GB2312" w:hAnsi="宋体"/>
          <w:kern w:val="0"/>
        </w:rPr>
      </w:pPr>
      <w:r>
        <w:rPr>
          <w:rFonts w:hint="eastAsia" w:ascii="仿宋_GB2312" w:hAnsi="宋体"/>
          <w:kern w:val="0"/>
        </w:rPr>
        <w:t>（5）供应商有违约违规行为或被投诉、举报的，在调查处理期间，保证金暂不退还，待调查处理结束后按有关规定处理；</w:t>
      </w:r>
    </w:p>
    <w:p w14:paraId="51645E9A">
      <w:pPr>
        <w:pStyle w:val="2"/>
        <w:ind w:firstLine="560"/>
        <w:rPr>
          <w:rFonts w:hint="eastAsia" w:ascii="仿宋_GB2312" w:hAnsi="宋体"/>
          <w:kern w:val="0"/>
        </w:rPr>
      </w:pPr>
      <w:r>
        <w:rPr>
          <w:rFonts w:hint="eastAsia" w:ascii="仿宋_GB2312" w:hAnsi="宋体"/>
          <w:kern w:val="0"/>
        </w:rPr>
        <w:t>（6）截至开标前3天，投标人无正当理由、未以书面形式向招标人递交说明而在投标截止日不来投标的；</w:t>
      </w:r>
    </w:p>
    <w:p w14:paraId="128E282B">
      <w:pPr>
        <w:pStyle w:val="2"/>
        <w:ind w:firstLine="560"/>
        <w:rPr>
          <w:rFonts w:hint="eastAsia" w:ascii="仿宋_GB2312" w:hAnsi="宋体"/>
          <w:kern w:val="0"/>
        </w:rPr>
      </w:pPr>
      <w:r>
        <w:rPr>
          <w:rFonts w:hint="eastAsia" w:ascii="仿宋_GB2312" w:hAnsi="宋体"/>
          <w:kern w:val="0"/>
        </w:rPr>
        <w:t>（7）自中标通知书发出之日起30日内，中标人无正当理由不签订合同的；</w:t>
      </w:r>
    </w:p>
    <w:p w14:paraId="72A7B483">
      <w:pPr>
        <w:pStyle w:val="2"/>
        <w:ind w:firstLine="560"/>
        <w:rPr>
          <w:rFonts w:hint="eastAsia" w:ascii="仿宋_GB2312" w:hAnsi="宋体"/>
          <w:kern w:val="0"/>
        </w:rPr>
      </w:pPr>
      <w:r>
        <w:rPr>
          <w:rFonts w:hint="eastAsia" w:ascii="仿宋_GB2312" w:hAnsi="宋体"/>
          <w:kern w:val="0"/>
        </w:rPr>
        <w:t>（8）采购文件规定的其他情形。</w:t>
      </w:r>
    </w:p>
    <w:p w14:paraId="26C4FCF4">
      <w:pPr>
        <w:pStyle w:val="73"/>
        <w:spacing w:before="312" w:beforeLines="100" w:after="156" w:afterLines="50" w:line="480" w:lineRule="exact"/>
        <w:ind w:left="0"/>
      </w:pPr>
      <w:r>
        <w:rPr>
          <w:rFonts w:hint="eastAsia"/>
        </w:rPr>
        <w:t>招标文件的澄清与修正</w:t>
      </w:r>
    </w:p>
    <w:p w14:paraId="6E28DDC0">
      <w:pPr>
        <w:pStyle w:val="29"/>
        <w:ind w:firstLine="560"/>
        <w:rPr>
          <w:rFonts w:hint="eastAsia"/>
        </w:rPr>
      </w:pPr>
      <w:r>
        <w:rPr>
          <w:rFonts w:hint="eastAsia"/>
        </w:rPr>
        <w:t>1.在开标前，招标人不论由于自己的考虑或由于对投标人提问的澄清，都可以对招标文件用补充方式进行修正。</w:t>
      </w:r>
    </w:p>
    <w:p w14:paraId="30D00909">
      <w:pPr>
        <w:pStyle w:val="29"/>
        <w:ind w:firstLine="560"/>
        <w:rPr>
          <w:rFonts w:hint="eastAsia"/>
        </w:rPr>
      </w:pPr>
      <w:r>
        <w:rPr>
          <w:rFonts w:hint="eastAsia"/>
        </w:rPr>
        <w:t>2.招标人有权决定推迟投标的截止日期和开标日期，并将此变更正式通知所有投标人。</w:t>
      </w:r>
    </w:p>
    <w:p w14:paraId="37F76288">
      <w:pPr>
        <w:pStyle w:val="29"/>
        <w:ind w:firstLine="560"/>
        <w:rPr>
          <w:rFonts w:hint="eastAsia"/>
        </w:rPr>
      </w:pPr>
      <w:r>
        <w:rPr>
          <w:rFonts w:hint="eastAsia"/>
        </w:rPr>
        <w:t>3.澄清与修正的内容构成招标文件的组成部分，与招标文件具有相同的约束力。</w:t>
      </w:r>
    </w:p>
    <w:p w14:paraId="288BC117">
      <w:pPr>
        <w:pStyle w:val="73"/>
        <w:spacing w:before="312" w:beforeLines="100" w:after="156" w:afterLines="50" w:line="480" w:lineRule="exact"/>
        <w:ind w:left="0"/>
      </w:pPr>
      <w:r>
        <w:rPr>
          <w:rFonts w:hint="eastAsia"/>
        </w:rPr>
        <w:t>标的内容</w:t>
      </w:r>
    </w:p>
    <w:p w14:paraId="147B665A">
      <w:pPr>
        <w:pStyle w:val="29"/>
        <w:ind w:firstLine="560"/>
        <w:rPr>
          <w:rFonts w:hint="eastAsia"/>
        </w:rPr>
      </w:pPr>
      <w:r>
        <w:rPr>
          <w:rFonts w:hint="eastAsia"/>
        </w:rPr>
        <w:t>本项目共分为车模和动画制作两个分包，覆盖9款车型，具体规格材质等要求详见</w:t>
      </w:r>
      <w:r>
        <w:rPr>
          <w:rFonts w:hint="eastAsia"/>
          <w:u w:val="single"/>
        </w:rPr>
        <w:t>《附件：2026年汉诺威车展车模与动画制作招标项目技术要求》。</w:t>
      </w:r>
    </w:p>
    <w:p w14:paraId="5D1239C0">
      <w:pPr>
        <w:pStyle w:val="77"/>
        <w:spacing w:line="240" w:lineRule="auto"/>
        <w:ind w:firstLine="0" w:firstLineChars="0"/>
        <w:rPr>
          <w:rFonts w:ascii="仿宋_GB2312"/>
          <w:b/>
          <w:bCs/>
          <w:szCs w:val="28"/>
        </w:rPr>
      </w:pPr>
      <w:r>
        <w:rPr>
          <w:rFonts w:hint="eastAsia" w:ascii="仿宋_GB2312"/>
          <w:b/>
          <w:bCs/>
          <w:szCs w:val="28"/>
        </w:rPr>
        <w:t>3.1 A包车模</w:t>
      </w:r>
    </w:p>
    <w:p w14:paraId="1F3E574A">
      <w:pPr>
        <w:pStyle w:val="24"/>
        <w:ind w:firstLine="560"/>
        <w:rPr>
          <w:rFonts w:hint="eastAsia"/>
        </w:rPr>
      </w:pPr>
      <w:r>
        <w:rPr>
          <w:rFonts w:hint="eastAsia"/>
        </w:rPr>
        <w:t>包括但不限于：专用车整车三维图纸复刻、比例精准缩放、结构优化设计、样品制作、精细上色、LOGO标识复刻、细节装配、质检打磨、微调、成品包装、运输交付等全部工作，具体车型、数量以附件为主。</w:t>
      </w:r>
    </w:p>
    <w:p w14:paraId="35A771DF">
      <w:pPr>
        <w:pStyle w:val="24"/>
        <w:ind w:firstLine="562"/>
        <w:rPr>
          <w:rFonts w:hint="eastAsia"/>
          <w:b/>
          <w:bCs/>
        </w:rPr>
      </w:pPr>
      <w:r>
        <w:rPr>
          <w:rFonts w:hint="eastAsia"/>
          <w:b/>
          <w:bCs/>
        </w:rPr>
        <w:t>交付要求：</w:t>
      </w:r>
    </w:p>
    <w:p w14:paraId="73C8567E">
      <w:pPr>
        <w:pStyle w:val="24"/>
        <w:ind w:firstLine="560"/>
        <w:rPr>
          <w:rFonts w:hint="eastAsia"/>
        </w:rPr>
      </w:pPr>
      <w:r>
        <w:rPr>
          <w:rFonts w:hint="eastAsia"/>
        </w:rPr>
        <w:t>（1）2026年7月底完成整车三维模型及相关设计资料确认；</w:t>
      </w:r>
    </w:p>
    <w:p w14:paraId="67AB21D9">
      <w:pPr>
        <w:ind w:firstLine="560"/>
        <w:rPr>
          <w:rFonts w:hint="eastAsia"/>
        </w:rPr>
      </w:pPr>
      <w:r>
        <w:rPr>
          <w:rFonts w:hint="eastAsia"/>
        </w:rPr>
        <w:t>（2）2026年8月底完成整车车模的制作，并发起验收；</w:t>
      </w:r>
    </w:p>
    <w:p w14:paraId="2B3E6843">
      <w:pPr>
        <w:pStyle w:val="2"/>
        <w:ind w:firstLine="560"/>
      </w:pPr>
      <w:r>
        <w:rPr>
          <w:rFonts w:hint="eastAsia"/>
        </w:rPr>
        <w:t>（3）2026年9月4日完成成品包装及运输交付。</w:t>
      </w:r>
    </w:p>
    <w:p w14:paraId="1432916F">
      <w:pPr>
        <w:pStyle w:val="77"/>
        <w:spacing w:line="240" w:lineRule="auto"/>
        <w:ind w:firstLine="0" w:firstLineChars="0"/>
        <w:rPr>
          <w:rFonts w:ascii="仿宋_GB2312"/>
          <w:b/>
          <w:bCs/>
          <w:szCs w:val="28"/>
        </w:rPr>
      </w:pPr>
      <w:r>
        <w:rPr>
          <w:rFonts w:hint="eastAsia" w:ascii="仿宋_GB2312"/>
          <w:b/>
          <w:bCs/>
          <w:szCs w:val="28"/>
        </w:rPr>
        <w:t>3.2 B包动画</w:t>
      </w:r>
    </w:p>
    <w:p w14:paraId="7302008D">
      <w:pPr>
        <w:pStyle w:val="24"/>
        <w:ind w:firstLine="560"/>
        <w:rPr>
          <w:rFonts w:hint="eastAsia"/>
        </w:rPr>
      </w:pPr>
      <w:r>
        <w:rPr>
          <w:rFonts w:hint="eastAsia"/>
        </w:rPr>
        <w:t>包括不限于：确认脚本及素材、文案撰写、整车结构还原、作业动画演示、场景渲染、特效制作、后期剪辑、字幕配音、调色包装、成品输出、格式适配、素材交付、后期修改优化等全部工作。</w:t>
      </w:r>
    </w:p>
    <w:p w14:paraId="2EDC0807">
      <w:pPr>
        <w:ind w:firstLine="562"/>
        <w:rPr>
          <w:rFonts w:hint="eastAsia"/>
          <w:b/>
          <w:bCs/>
        </w:rPr>
      </w:pPr>
      <w:r>
        <w:rPr>
          <w:rFonts w:hint="eastAsia"/>
          <w:b/>
          <w:bCs/>
        </w:rPr>
        <w:t>交付要求：</w:t>
      </w:r>
    </w:p>
    <w:p w14:paraId="4A2CB01C">
      <w:pPr>
        <w:pStyle w:val="24"/>
        <w:ind w:firstLine="560"/>
        <w:rPr>
          <w:rFonts w:hint="eastAsia"/>
        </w:rPr>
      </w:pPr>
      <w:r>
        <w:rPr>
          <w:rFonts w:hint="eastAsia"/>
        </w:rPr>
        <w:t>（1）2026年7月底完成资料确认及文案；</w:t>
      </w:r>
    </w:p>
    <w:p w14:paraId="2F6D0B86">
      <w:pPr>
        <w:ind w:firstLine="560"/>
        <w:rPr>
          <w:rFonts w:hint="eastAsia"/>
        </w:rPr>
      </w:pPr>
      <w:r>
        <w:rPr>
          <w:rFonts w:hint="eastAsia"/>
        </w:rPr>
        <w:t>（2）2026年8月20日完成动画制作；</w:t>
      </w:r>
    </w:p>
    <w:p w14:paraId="055FD5FF">
      <w:pPr>
        <w:pStyle w:val="2"/>
        <w:ind w:firstLine="560"/>
      </w:pPr>
      <w:r>
        <w:rPr>
          <w:rFonts w:hint="eastAsia"/>
        </w:rPr>
        <w:t>（3）2026年9月4日完成动画制作验收交付。</w:t>
      </w:r>
    </w:p>
    <w:p w14:paraId="48A14199">
      <w:pPr>
        <w:pStyle w:val="73"/>
        <w:spacing w:before="312" w:beforeLines="100" w:after="156" w:afterLines="50" w:line="480" w:lineRule="exact"/>
        <w:ind w:left="0"/>
      </w:pPr>
      <w:r>
        <w:rPr>
          <w:rFonts w:hint="eastAsia"/>
        </w:rPr>
        <w:t>付款方式及节点</w:t>
      </w:r>
    </w:p>
    <w:p w14:paraId="6D5E59A1">
      <w:pPr>
        <w:pStyle w:val="2"/>
        <w:ind w:firstLine="560"/>
      </w:pPr>
      <w:r>
        <w:rPr>
          <w:rFonts w:hint="eastAsia"/>
        </w:rPr>
        <w:t>成品制作完成验收合格后，投标人开具合同要求的发票，招标人收到发票后2个月内，付款方式为半年期商业汇票（银行承兑汇票或商业承兑汇票）方式结算。</w:t>
      </w:r>
    </w:p>
    <w:p w14:paraId="57A16787">
      <w:pPr>
        <w:pStyle w:val="73"/>
        <w:spacing w:before="312" w:beforeLines="100" w:after="156" w:afterLines="50" w:line="480" w:lineRule="exact"/>
        <w:ind w:left="0"/>
      </w:pPr>
      <w:r>
        <w:rPr>
          <w:rFonts w:hint="eastAsia"/>
        </w:rPr>
        <w:t>合格的投标人</w:t>
      </w:r>
      <w:bookmarkEnd w:id="3"/>
    </w:p>
    <w:p w14:paraId="660D9190">
      <w:pPr>
        <w:tabs>
          <w:tab w:val="left" w:pos="5580"/>
        </w:tabs>
        <w:ind w:firstLine="560"/>
        <w:jc w:val="left"/>
        <w:rPr>
          <w:rFonts w:hint="eastAsia" w:hAnsi="宋体"/>
          <w:kern w:val="0"/>
        </w:rPr>
      </w:pPr>
      <w:r>
        <w:rPr>
          <w:rFonts w:hint="eastAsia" w:hAnsi="宋体"/>
          <w:kern w:val="0"/>
        </w:rPr>
        <w:t>5.1投标公司注册资本在100万元及以上。</w:t>
      </w:r>
    </w:p>
    <w:p w14:paraId="31963441">
      <w:pPr>
        <w:tabs>
          <w:tab w:val="left" w:pos="5580"/>
        </w:tabs>
        <w:ind w:firstLine="560"/>
        <w:jc w:val="left"/>
        <w:rPr>
          <w:rFonts w:hint="eastAsia" w:hAnsi="宋体"/>
          <w:kern w:val="0"/>
        </w:rPr>
      </w:pPr>
      <w:r>
        <w:rPr>
          <w:rFonts w:hint="eastAsia" w:hAnsi="宋体"/>
          <w:kern w:val="0"/>
        </w:rPr>
        <w:t>5.2投标人须遵守《中华人民共和国招标投标法》及其它有关的法律和法规；为中华人民共和国境内注册的独立法人机构，具有独立承担民事责任能力。</w:t>
      </w:r>
    </w:p>
    <w:p w14:paraId="6A5F6D83">
      <w:pPr>
        <w:tabs>
          <w:tab w:val="left" w:pos="5580"/>
        </w:tabs>
        <w:ind w:firstLine="560"/>
        <w:jc w:val="left"/>
        <w:rPr>
          <w:rFonts w:hint="eastAsia" w:hAnsi="宋体"/>
          <w:kern w:val="0"/>
        </w:rPr>
      </w:pPr>
      <w:r>
        <w:rPr>
          <w:rFonts w:hint="eastAsia" w:hAnsi="宋体"/>
          <w:kern w:val="0"/>
        </w:rPr>
        <w:t>5.3经营范围满足招标项目需求，车模制作项目要求投标人为车模设计、生产企业，具备车模定制生产代理能力的公司，营业执照经验范围须包含车模生产、加工或定制，具备良好的团队配置能力及项目落地监督能力；动画制作项目要求投标人具备动画制作能力，具备良好的团队配置能力及项目落地监督能力。</w:t>
      </w:r>
    </w:p>
    <w:p w14:paraId="69F93ADD">
      <w:pPr>
        <w:tabs>
          <w:tab w:val="left" w:pos="5580"/>
        </w:tabs>
        <w:ind w:firstLine="560"/>
        <w:jc w:val="left"/>
        <w:rPr>
          <w:rFonts w:hint="eastAsia" w:hAnsi="宋体"/>
          <w:kern w:val="0"/>
        </w:rPr>
      </w:pPr>
      <w:r>
        <w:rPr>
          <w:rFonts w:hint="eastAsia" w:hAnsi="宋体"/>
          <w:kern w:val="0"/>
        </w:rPr>
        <w:t>5.4具有良好的商业信誉，在国家企业信用信息公示系统中无行政处罚、列入经营异常名录和列入严重违法失信企业名单（黑名单）信息或上述信息已被移除。</w:t>
      </w:r>
    </w:p>
    <w:p w14:paraId="19542F4B">
      <w:pPr>
        <w:tabs>
          <w:tab w:val="left" w:pos="5580"/>
        </w:tabs>
        <w:ind w:firstLine="560"/>
        <w:jc w:val="left"/>
        <w:rPr>
          <w:rFonts w:hint="eastAsia" w:hAnsi="宋体"/>
          <w:kern w:val="0"/>
        </w:rPr>
      </w:pPr>
      <w:r>
        <w:rPr>
          <w:rFonts w:hint="eastAsia" w:hAnsi="宋体"/>
          <w:kern w:val="0"/>
        </w:rPr>
        <w:t>5.5投标人在近三年内在经营活动中无违法记录及重大违规情况。</w:t>
      </w:r>
    </w:p>
    <w:p w14:paraId="4DA6FF27">
      <w:pPr>
        <w:tabs>
          <w:tab w:val="left" w:pos="5580"/>
        </w:tabs>
        <w:ind w:firstLine="560"/>
        <w:jc w:val="left"/>
        <w:rPr>
          <w:rFonts w:hint="eastAsia" w:hAnsi="宋体"/>
          <w:kern w:val="0"/>
        </w:rPr>
      </w:pPr>
      <w:r>
        <w:rPr>
          <w:rFonts w:hint="eastAsia" w:hAnsi="宋体"/>
          <w:kern w:val="0"/>
        </w:rPr>
        <w:t>5.6具有健全的财务会计制度，财务状况和市场行为良好。没有处于被有权机关吊销营业执照、吊销资质、停业整顿、取消投标资格以及财产被接管、冻结或进入破产程序等。</w:t>
      </w:r>
    </w:p>
    <w:p w14:paraId="1A9749C5">
      <w:pPr>
        <w:tabs>
          <w:tab w:val="left" w:pos="5580"/>
        </w:tabs>
        <w:ind w:firstLine="560"/>
        <w:jc w:val="left"/>
        <w:rPr>
          <w:rFonts w:hint="eastAsia" w:hAnsi="宋体"/>
          <w:kern w:val="0"/>
        </w:rPr>
      </w:pPr>
      <w:r>
        <w:rPr>
          <w:rFonts w:hint="eastAsia" w:hAnsi="宋体"/>
          <w:kern w:val="0"/>
        </w:rPr>
        <w:t>5.7投标人没有被列入招标人处《黑名单》（《黑名单》指投标人与招标人在以往或正在进行的合作中，存在招标人认为的违反合同约定或违反法律法规等的失信行为）。</w:t>
      </w:r>
    </w:p>
    <w:p w14:paraId="38F5D2CC">
      <w:pPr>
        <w:tabs>
          <w:tab w:val="left" w:pos="5580"/>
        </w:tabs>
        <w:ind w:firstLine="560"/>
        <w:jc w:val="left"/>
        <w:rPr>
          <w:rFonts w:hint="eastAsia" w:hAnsi="宋体"/>
          <w:kern w:val="0"/>
        </w:rPr>
      </w:pPr>
      <w:r>
        <w:rPr>
          <w:rFonts w:hint="eastAsia" w:hAnsi="宋体"/>
          <w:kern w:val="0"/>
        </w:rPr>
        <w:t>5.8投标人须具有履行合同所必须的设备、财务、技术、服务等方面的资质和能力。</w:t>
      </w:r>
    </w:p>
    <w:p w14:paraId="49A4B9D8">
      <w:pPr>
        <w:tabs>
          <w:tab w:val="left" w:pos="5580"/>
        </w:tabs>
        <w:ind w:firstLine="560"/>
        <w:jc w:val="left"/>
        <w:rPr>
          <w:rFonts w:hint="eastAsia" w:hAnsi="宋体"/>
          <w:kern w:val="0"/>
        </w:rPr>
      </w:pPr>
      <w:r>
        <w:rPr>
          <w:rFonts w:hint="eastAsia" w:hAnsi="宋体"/>
          <w:kern w:val="0"/>
        </w:rPr>
        <w:t>5.9投标人须具有完全履行招标文件的所有要求的能力。</w:t>
      </w:r>
    </w:p>
    <w:p w14:paraId="4F7A7639">
      <w:pPr>
        <w:tabs>
          <w:tab w:val="left" w:pos="5580"/>
        </w:tabs>
        <w:ind w:firstLine="560"/>
        <w:jc w:val="left"/>
        <w:rPr>
          <w:rFonts w:hint="eastAsia" w:hAnsi="宋体"/>
          <w:kern w:val="0"/>
        </w:rPr>
      </w:pPr>
      <w:r>
        <w:rPr>
          <w:rFonts w:hint="eastAsia" w:hAnsi="宋体"/>
          <w:kern w:val="0"/>
        </w:rPr>
        <w:t>5.10投标人须认可招标人的工作指令，包括节、假日能正常开展工作的要求。</w:t>
      </w:r>
    </w:p>
    <w:p w14:paraId="281651FC">
      <w:pPr>
        <w:tabs>
          <w:tab w:val="left" w:pos="5580"/>
        </w:tabs>
        <w:ind w:firstLine="560"/>
        <w:jc w:val="left"/>
        <w:rPr>
          <w:rFonts w:hint="eastAsia" w:hAnsi="宋体"/>
          <w:kern w:val="0"/>
        </w:rPr>
      </w:pPr>
      <w:r>
        <w:rPr>
          <w:rFonts w:hint="eastAsia" w:hAnsi="宋体"/>
          <w:kern w:val="0"/>
        </w:rPr>
        <w:t>5.11投标人必须是最终投标、签订合作协议的单位，不得以任何理由将已中标项目以任何形式转包给其他单位。</w:t>
      </w:r>
    </w:p>
    <w:p w14:paraId="7B53EBE3">
      <w:pPr>
        <w:tabs>
          <w:tab w:val="left" w:pos="5580"/>
        </w:tabs>
        <w:ind w:firstLine="562"/>
        <w:jc w:val="left"/>
        <w:rPr>
          <w:rFonts w:hint="eastAsia" w:hAnsi="宋体"/>
          <w:b/>
          <w:bCs/>
          <w:kern w:val="0"/>
        </w:rPr>
      </w:pPr>
      <w:r>
        <w:rPr>
          <w:rFonts w:hint="eastAsia" w:hAnsi="宋体"/>
          <w:b/>
          <w:bCs/>
          <w:kern w:val="0"/>
        </w:rPr>
        <w:t>5.12资格审查方式：资格预审，合格制。投标人应编制资格预审文件，否则视为放弃投标，内容包括：</w:t>
      </w:r>
    </w:p>
    <w:p w14:paraId="5D8D5E45">
      <w:pPr>
        <w:tabs>
          <w:tab w:val="left" w:pos="5580"/>
        </w:tabs>
        <w:ind w:firstLine="560"/>
        <w:jc w:val="left"/>
        <w:rPr>
          <w:rFonts w:hint="eastAsia" w:hAnsi="宋体"/>
          <w:kern w:val="0"/>
        </w:rPr>
      </w:pPr>
      <w:r>
        <w:rPr>
          <w:rFonts w:hint="eastAsia" w:hAnsi="宋体"/>
          <w:kern w:val="0"/>
        </w:rPr>
        <w:t>（1）投标人须提供具有统一社会信用代码的三证合一的营业执照副本复印件（加盖单位公章）。</w:t>
      </w:r>
    </w:p>
    <w:p w14:paraId="1366722F">
      <w:pPr>
        <w:tabs>
          <w:tab w:val="left" w:pos="5580"/>
        </w:tabs>
        <w:ind w:firstLine="560"/>
        <w:jc w:val="left"/>
        <w:rPr>
          <w:rFonts w:hint="eastAsia" w:hAnsi="宋体"/>
          <w:kern w:val="0"/>
        </w:rPr>
      </w:pPr>
      <w:r>
        <w:rPr>
          <w:rFonts w:hint="eastAsia" w:hAnsi="宋体"/>
          <w:kern w:val="0"/>
        </w:rPr>
        <w:t>（2）投标人须提供法人授权委托书原件（在投标文件副本中可用复印件）、投标单位的法定代表人或授权代表的身份证原件及复印件（加盖公章），法定代表人投标的，出具法定代表人资格证明文件。</w:t>
      </w:r>
    </w:p>
    <w:p w14:paraId="5C3724E1">
      <w:pPr>
        <w:pStyle w:val="2"/>
        <w:ind w:firstLine="560"/>
      </w:pPr>
      <w:r>
        <w:rPr>
          <w:rFonts w:hint="eastAsia"/>
        </w:rPr>
        <w:t>（3）财务状况报告，依法缴纳税收相关材料复印件盖公章（财务状况报告：近三年审计报告，包括但不限于报告页、经审计的资产负债表、利润表、现金流量表及报表附注；或提供投标文件开启时间前6个月以内银行出具的资信证明（提供复印件加盖公章）；如公司规模小，无审计报告，可提供近三年财务报表，包括但不限于资产负债表、利润表、现金流量表；税收材料：税收完税凭证或税务部门出具的纳税证明）。有特殊情况请额外说明，经甲方审核后方可正常投标。</w:t>
      </w:r>
    </w:p>
    <w:p w14:paraId="4A8EA13B">
      <w:pPr>
        <w:pStyle w:val="2"/>
        <w:ind w:firstLine="560"/>
      </w:pPr>
      <w:r>
        <w:rPr>
          <w:rFonts w:hint="eastAsia"/>
        </w:rPr>
        <w:t>（4）无重大违法记录的书面声明原件（加盖公章）。</w:t>
      </w:r>
    </w:p>
    <w:p w14:paraId="5CCC37F0">
      <w:pPr>
        <w:pStyle w:val="2"/>
        <w:ind w:firstLine="560"/>
      </w:pPr>
      <w:r>
        <w:rPr>
          <w:rFonts w:hint="eastAsia"/>
        </w:rPr>
        <w:t>（5）信用承诺书（加盖公章）。</w:t>
      </w:r>
    </w:p>
    <w:p w14:paraId="218AD46C">
      <w:pPr>
        <w:tabs>
          <w:tab w:val="left" w:pos="5580"/>
        </w:tabs>
        <w:ind w:firstLine="560"/>
        <w:jc w:val="left"/>
        <w:rPr>
          <w:rFonts w:hint="eastAsia"/>
        </w:rPr>
      </w:pPr>
      <w:r>
        <w:rPr>
          <w:rFonts w:hint="eastAsia" w:hAnsi="宋体"/>
          <w:kern w:val="0"/>
        </w:rPr>
        <w:t>（7）</w:t>
      </w:r>
      <w:r>
        <w:rPr>
          <w:rFonts w:hint="eastAsia"/>
        </w:rPr>
        <w:t>企业基本信息，包括组织架构、员工人数、办公地址、联系方式。</w:t>
      </w:r>
    </w:p>
    <w:p w14:paraId="6603EBBA">
      <w:pPr>
        <w:pStyle w:val="2"/>
        <w:ind w:firstLine="560"/>
      </w:pPr>
      <w:r>
        <w:rPr>
          <w:rFonts w:hint="eastAsia"/>
        </w:rPr>
        <w:t>（8）类似项目业绩（应用于车模定制、动画定制）的合同原件扫描件。</w:t>
      </w:r>
    </w:p>
    <w:p w14:paraId="3F773D20">
      <w:pPr>
        <w:pStyle w:val="73"/>
        <w:spacing w:before="312" w:beforeLines="100" w:after="156" w:afterLines="50" w:line="480" w:lineRule="exact"/>
        <w:ind w:left="0"/>
      </w:pPr>
      <w:r>
        <w:rPr>
          <w:rFonts w:hint="eastAsia"/>
        </w:rPr>
        <w:t>报名与招标文件获取</w:t>
      </w:r>
    </w:p>
    <w:p w14:paraId="5C70C672">
      <w:pPr>
        <w:pStyle w:val="2"/>
        <w:ind w:firstLine="560"/>
        <w:rPr>
          <w:lang w:eastAsia="zh" w:bidi="ar"/>
        </w:rPr>
      </w:pPr>
      <w:r>
        <w:rPr>
          <w:rFonts w:hint="eastAsia"/>
          <w:lang w:eastAsia="zh" w:bidi="ar"/>
        </w:rPr>
        <w:t>凡有意参加投标者，根据招标人在中国重汽官网等公开媒体上发布的招标信息，在“中国重汽E采通”平台报名（网址：</w:t>
      </w:r>
      <w:r>
        <w:rPr>
          <w:lang w:eastAsia="zh" w:bidi="ar"/>
        </w:rPr>
        <w:t>https://ecaitong.sinotruk.com:8012/#/login</w:t>
      </w:r>
      <w:r>
        <w:rPr>
          <w:rFonts w:hint="eastAsia"/>
          <w:lang w:eastAsia="zh" w:bidi="ar"/>
        </w:rPr>
        <w:t>）。新用户注册前请务必仔细阅读系统中的供应商用户手册，根据手册提示进行操作。注册完毕审核通过后登录重汽E采通平台进入“供应商应标”，选择对应的项目，点击“应标”后按照平台要求上传资质文件（明细按照</w:t>
      </w:r>
      <w:r>
        <w:rPr>
          <w:rFonts w:hint="eastAsia"/>
          <w:lang w:bidi="ar"/>
        </w:rPr>
        <w:t>5.12中（1-5条）合并为一个PDF文件</w:t>
      </w:r>
      <w:r>
        <w:rPr>
          <w:rFonts w:hint="eastAsia"/>
          <w:lang w:eastAsia="zh" w:bidi="ar"/>
        </w:rPr>
        <w:t>）、企业简介、项目业绩等文件，资质审查通过即为报名成功；公示期间请尽快报名。</w:t>
      </w:r>
    </w:p>
    <w:p w14:paraId="6D79EABD">
      <w:pPr>
        <w:pStyle w:val="2"/>
        <w:ind w:firstLine="560"/>
        <w:rPr>
          <w:lang w:eastAsia="zh" w:bidi="ar"/>
        </w:rPr>
      </w:pPr>
      <w:r>
        <w:rPr>
          <w:rFonts w:hint="eastAsia"/>
          <w:lang w:eastAsia="zh" w:bidi="ar"/>
        </w:rPr>
        <w:t>E采通注册并审核通过后方能参与本项目应标及后续投标，审核通过后请电话告知招标方联系人。</w:t>
      </w:r>
    </w:p>
    <w:p w14:paraId="792F4101">
      <w:pPr>
        <w:pStyle w:val="2"/>
        <w:ind w:firstLine="560"/>
        <w:rPr>
          <w:lang w:eastAsia="zh" w:bidi="ar"/>
        </w:rPr>
      </w:pPr>
      <w:r>
        <w:rPr>
          <w:rFonts w:hint="eastAsia"/>
          <w:lang w:eastAsia="zh" w:bidi="ar"/>
        </w:rPr>
        <w:t>报名时提供的资料不合格的会在系统被驳回，请及时查阅并补齐资料，不能按时补充资料的视为自动放弃本次投标。</w:t>
      </w:r>
    </w:p>
    <w:p w14:paraId="24DDB661">
      <w:pPr>
        <w:pStyle w:val="2"/>
        <w:ind w:firstLine="560"/>
        <w:rPr>
          <w:lang w:bidi="ar"/>
        </w:rPr>
      </w:pPr>
      <w:r>
        <w:rPr>
          <w:rFonts w:hint="eastAsia"/>
          <w:lang w:eastAsia="zh" w:bidi="ar"/>
        </w:rPr>
        <w:t>请投标人确认中国重汽E采通系统中供应商信息完整、准确，因供应商信息不全或错误导致的报名不成功，由投标人自行承担。</w:t>
      </w:r>
    </w:p>
    <w:p w14:paraId="68AA7A2F">
      <w:pPr>
        <w:pStyle w:val="72"/>
      </w:pPr>
      <w:bookmarkStart w:id="4" w:name="_Toc234510332"/>
      <w:r>
        <w:rPr>
          <w:rFonts w:hint="eastAsia"/>
        </w:rPr>
        <w:t>第二章  技术规范与评标</w:t>
      </w:r>
      <w:bookmarkEnd w:id="4"/>
    </w:p>
    <w:p w14:paraId="6F1E39D5">
      <w:pPr>
        <w:pStyle w:val="73"/>
        <w:numPr>
          <w:ilvl w:val="0"/>
          <w:numId w:val="9"/>
        </w:numPr>
        <w:spacing w:before="312" w:beforeLines="100" w:after="156" w:afterLines="50" w:line="480" w:lineRule="exact"/>
      </w:pPr>
      <w:r>
        <w:rPr>
          <w:rFonts w:hint="eastAsia"/>
        </w:rPr>
        <w:t>评标方法</w:t>
      </w:r>
    </w:p>
    <w:p w14:paraId="759D9BA2">
      <w:pPr>
        <w:pStyle w:val="29"/>
        <w:ind w:firstLine="560"/>
        <w:rPr>
          <w:rFonts w:hint="eastAsia"/>
        </w:rPr>
      </w:pPr>
      <w:r>
        <w:rPr>
          <w:rFonts w:hint="eastAsia"/>
        </w:rPr>
        <w:t>1.1招标人将坚持“公开、公平、公正”原则，严格按照国家法律法规及公司规章制度要求，设立专家评审小组进行招标评审，投标厂家可兼投兼中，同包内容报价均需全覆盖。</w:t>
      </w:r>
    </w:p>
    <w:p w14:paraId="3A688E69">
      <w:pPr>
        <w:pStyle w:val="29"/>
        <w:ind w:firstLine="560"/>
        <w:rPr>
          <w:rFonts w:hint="eastAsia"/>
        </w:rPr>
      </w:pPr>
      <w:r>
        <w:rPr>
          <w:rFonts w:hint="eastAsia"/>
        </w:rPr>
        <w:t>1.2本次招标采用综合评分法评标，即在最大限度地满足招标文件实质性要求的前提下，按照评分标准中规定的评分因素和评分细则进行综合评价、评分。评标委员会各成员独立对每一份有效投标文件进行评价并对除报价以外的评分项目进行评分，报价得分由工作人员通过计算得出。</w:t>
      </w:r>
    </w:p>
    <w:p w14:paraId="582C3606">
      <w:pPr>
        <w:pStyle w:val="73"/>
        <w:numPr>
          <w:ilvl w:val="0"/>
          <w:numId w:val="0"/>
        </w:numPr>
        <w:spacing w:line="440" w:lineRule="exact"/>
        <w:ind w:firstLine="560" w:firstLineChars="200"/>
        <w:outlineLvl w:val="9"/>
        <w:rPr>
          <w:rFonts w:hint="eastAsia" w:ascii="仿宋_GB2312" w:hAnsi="仿宋_GB2312" w:eastAsia="仿宋_GB2312"/>
          <w:b w:val="0"/>
          <w:bCs w:val="0"/>
          <w:szCs w:val="22"/>
          <w:u w:val="single"/>
        </w:rPr>
      </w:pPr>
      <w:r>
        <w:rPr>
          <w:rFonts w:hint="eastAsia" w:ascii="仿宋_GB2312" w:hAnsi="仿宋_GB2312" w:eastAsia="仿宋_GB2312"/>
          <w:b w:val="0"/>
          <w:bCs w:val="0"/>
          <w:szCs w:val="22"/>
          <w:u w:val="single"/>
        </w:rPr>
        <w:t>投标人得分＝∑评委评价得分/评委人数*40%＋(投标报价最低价/供方投标价）×100*60%</w:t>
      </w:r>
    </w:p>
    <w:p w14:paraId="332162E4">
      <w:pPr>
        <w:pStyle w:val="73"/>
        <w:numPr>
          <w:ilvl w:val="0"/>
          <w:numId w:val="9"/>
        </w:numPr>
        <w:spacing w:before="312" w:beforeLines="100" w:after="156" w:afterLines="50" w:line="480" w:lineRule="exact"/>
      </w:pPr>
      <w:r>
        <w:rPr>
          <w:rFonts w:hint="eastAsia"/>
        </w:rPr>
        <w:t>评标流程</w:t>
      </w:r>
    </w:p>
    <w:p w14:paraId="22DB8F16">
      <w:pPr>
        <w:pStyle w:val="29"/>
        <w:ind w:firstLine="560"/>
        <w:rPr>
          <w:rFonts w:hint="eastAsia"/>
        </w:rPr>
      </w:pPr>
      <w:r>
        <w:rPr>
          <w:rFonts w:hint="eastAsia"/>
        </w:rPr>
        <w:t>2.1应标资格审查：在“中国重汽e采通”应标报名时，按照招标公告编制资料，上传完毕后，等待审核；</w:t>
      </w:r>
    </w:p>
    <w:p w14:paraId="5C0CF2B1">
      <w:pPr>
        <w:pStyle w:val="29"/>
        <w:ind w:firstLine="560"/>
        <w:rPr>
          <w:rFonts w:hint="eastAsia"/>
        </w:rPr>
      </w:pPr>
      <w:r>
        <w:rPr>
          <w:rFonts w:hint="eastAsia"/>
        </w:rPr>
        <w:t>2.2通过应标资格审查的单位进入投标环节，按照“SRM非生产供应商注册操作手册（附件9）、SRM系统供应商用户手册（附件10）”，在重汽e采通平台投递电子标书（包含资质标、技术标、商务标）；没有通过应标资质审查的单位不能进入投标环节；</w:t>
      </w:r>
    </w:p>
    <w:p w14:paraId="77C756E0">
      <w:pPr>
        <w:pStyle w:val="29"/>
        <w:ind w:firstLine="562"/>
        <w:rPr>
          <w:rFonts w:hint="eastAsia"/>
        </w:rPr>
      </w:pPr>
      <w:r>
        <w:rPr>
          <w:rFonts w:hint="eastAsia"/>
          <w:b/>
          <w:bCs/>
        </w:rPr>
        <w:t>2.3资质标评审</w:t>
      </w:r>
      <w:r>
        <w:rPr>
          <w:rFonts w:hint="eastAsia"/>
        </w:rPr>
        <w:t>：资质标审核通过的单位，可以进入公开唱标环节；</w:t>
      </w:r>
    </w:p>
    <w:p w14:paraId="355CC2C4">
      <w:pPr>
        <w:pStyle w:val="24"/>
        <w:ind w:firstLine="562"/>
        <w:rPr>
          <w:rFonts w:hint="eastAsia"/>
          <w:u w:val="single"/>
        </w:rPr>
      </w:pPr>
      <w:r>
        <w:rPr>
          <w:rFonts w:hint="eastAsia"/>
          <w:b/>
          <w:bCs/>
        </w:rPr>
        <w:t>2.4技术标评审：</w:t>
      </w:r>
      <w:r>
        <w:rPr>
          <w:rFonts w:hint="eastAsia"/>
        </w:rPr>
        <w:t>技术标评标专家组，</w:t>
      </w:r>
      <w:r>
        <w:rPr>
          <w:rFonts w:hint="eastAsia"/>
          <w:u w:val="single"/>
        </w:rPr>
        <w:t>通过重汽e采通，对各投标人的《投标文件（技术标）》进行审核，其中：</w:t>
      </w:r>
    </w:p>
    <w:p w14:paraId="42A8A88D">
      <w:pPr>
        <w:pStyle w:val="24"/>
        <w:ind w:firstLine="560"/>
        <w:rPr>
          <w:rFonts w:hint="eastAsia"/>
        </w:rPr>
      </w:pPr>
      <w:r>
        <w:rPr>
          <w:rFonts w:hint="eastAsia"/>
          <w:u w:val="single"/>
        </w:rPr>
        <w:t>车模项目结合投标方类似产品样品质量、履约能力、历史业绩和响应程度等方面进行综合评标；技术讲解以PPT形式展示车模设计和制作方案为主，配合类似产品样品展示。具体评分详见评分标准；</w:t>
      </w:r>
    </w:p>
    <w:p w14:paraId="5B5710C6">
      <w:pPr>
        <w:pStyle w:val="24"/>
        <w:ind w:firstLine="560"/>
        <w:rPr>
          <w:rFonts w:hint="eastAsia"/>
        </w:rPr>
      </w:pPr>
      <w:r>
        <w:rPr>
          <w:rFonts w:hint="eastAsia"/>
          <w:u w:val="single"/>
        </w:rPr>
        <w:t>动画项目结合投标方履约能力、历史业绩和响应程度等方面进行综合评标；技术讲解以介绍动画制作设计方案为主，配合类似产品动画展示。具体评分详见评分标准；</w:t>
      </w:r>
    </w:p>
    <w:p w14:paraId="362B56D2">
      <w:pPr>
        <w:pStyle w:val="24"/>
        <w:ind w:firstLine="560"/>
        <w:rPr>
          <w:rFonts w:hint="eastAsia"/>
          <w:u w:val="single"/>
        </w:rPr>
      </w:pPr>
      <w:r>
        <w:rPr>
          <w:rFonts w:hint="eastAsia"/>
          <w:u w:val="single"/>
        </w:rPr>
        <w:t>评审期间产生的技术澄清均由投标人在重汽e采通平台内完成提交；根据技术标评标结果决定入围商务标的名单，技术标低于70分的进行淘汰。技术评分结束后进入商务标评标。</w:t>
      </w:r>
    </w:p>
    <w:p w14:paraId="37AE766E">
      <w:pPr>
        <w:pStyle w:val="29"/>
        <w:ind w:firstLine="562"/>
        <w:rPr>
          <w:rFonts w:hint="eastAsia"/>
        </w:rPr>
      </w:pPr>
      <w:r>
        <w:rPr>
          <w:rFonts w:hint="eastAsia"/>
          <w:b/>
          <w:bCs/>
        </w:rPr>
        <w:t>2.5商务标评审</w:t>
      </w:r>
      <w:r>
        <w:rPr>
          <w:rFonts w:hint="eastAsia"/>
        </w:rPr>
        <w:t>：商务条款相应确认→价格澄清→商务标评审；</w:t>
      </w:r>
      <w:r>
        <w:rPr>
          <w:rFonts w:hint="eastAsia"/>
          <w:color w:val="000000" w:themeColor="text1"/>
          <w14:textFill>
            <w14:solidFill>
              <w14:schemeClr w14:val="tx1"/>
            </w14:solidFill>
          </w14:textFill>
        </w:rPr>
        <w:t>商务标评审采用多轮报价，除开标唱标为公开报价方式外，后续多轮澄清报价均为非公开的方式，在重汽e采通进行提报。商</w:t>
      </w:r>
      <w:r>
        <w:rPr>
          <w:rFonts w:hint="eastAsia"/>
        </w:rPr>
        <w:t>务标开标后，评审期间产生的商务价格澄清均由投标人在重汽e采通平台内限时完成提交，根据招标人需求与投标人进行多轮竞价谈判，按照评标模式推荐中标人，对未入围候选中标人不做任何解释。</w:t>
      </w:r>
    </w:p>
    <w:p w14:paraId="3B022005">
      <w:pPr>
        <w:pStyle w:val="73"/>
        <w:numPr>
          <w:ilvl w:val="0"/>
          <w:numId w:val="9"/>
        </w:numPr>
        <w:spacing w:before="312" w:beforeLines="100" w:after="156" w:afterLines="50" w:line="480" w:lineRule="exact"/>
      </w:pPr>
      <w:r>
        <w:rPr>
          <w:rFonts w:hint="eastAsia"/>
        </w:rPr>
        <w:t>中标人数量</w:t>
      </w:r>
    </w:p>
    <w:p w14:paraId="5B933349">
      <w:pPr>
        <w:pStyle w:val="29"/>
        <w:ind w:firstLine="560"/>
        <w:rPr>
          <w:rFonts w:hint="eastAsia"/>
        </w:rPr>
      </w:pPr>
      <w:r>
        <w:rPr>
          <w:rFonts w:hint="eastAsia"/>
        </w:rPr>
        <w:t>本项目“A包车模”中标人数量按照综合评标结果进行评定，可根据项目实际需求及评审排名，择优确定1中标单位，确保项目整体高标准交付。“B包动画”中标人数量按照综合评标结果进行评定，可根据项目实际需求及评审排名，择优确定1中标单位，确保项目整体高标准交付。</w:t>
      </w:r>
    </w:p>
    <w:p w14:paraId="39235EB2">
      <w:pPr>
        <w:pStyle w:val="73"/>
        <w:numPr>
          <w:ilvl w:val="0"/>
          <w:numId w:val="9"/>
        </w:numPr>
        <w:spacing w:before="312" w:beforeLines="100" w:after="156" w:afterLines="50" w:line="480" w:lineRule="exact"/>
      </w:pPr>
      <w:r>
        <w:rPr>
          <w:rFonts w:hint="eastAsia"/>
        </w:rPr>
        <w:t>技术标评分标准</w:t>
      </w:r>
    </w:p>
    <w:p w14:paraId="1CF4B114">
      <w:pPr>
        <w:pStyle w:val="29"/>
        <w:ind w:firstLine="560"/>
        <w:rPr>
          <w:rFonts w:hint="eastAsia"/>
        </w:rPr>
      </w:pPr>
      <w:r>
        <w:rPr>
          <w:rFonts w:hint="eastAsia"/>
        </w:rPr>
        <w:t>技术标评标以现场或视频述标形式开展，主要包括以下部分：</w:t>
      </w:r>
    </w:p>
    <w:p w14:paraId="7239FAA5">
      <w:pPr>
        <w:pStyle w:val="2"/>
        <w:numPr>
          <w:ilvl w:val="0"/>
          <w:numId w:val="10"/>
        </w:numPr>
        <w:ind w:firstLineChars="0"/>
      </w:pPr>
      <w:r>
        <w:rPr>
          <w:rFonts w:hint="eastAsia"/>
        </w:rPr>
        <w:t>企业介绍：介绍企业基本情况、类似业绩经验、团队人员配置等；</w:t>
      </w:r>
    </w:p>
    <w:p w14:paraId="3551767E">
      <w:pPr>
        <w:pStyle w:val="2"/>
        <w:numPr>
          <w:ilvl w:val="0"/>
          <w:numId w:val="10"/>
        </w:numPr>
        <w:ind w:firstLineChars="0"/>
        <w:rPr>
          <w:u w:val="single"/>
        </w:rPr>
      </w:pPr>
      <w:r>
        <w:rPr>
          <w:rFonts w:hint="eastAsia"/>
          <w:b/>
          <w:bCs/>
          <w:u w:val="single"/>
        </w:rPr>
        <w:t>项目方案及计划介绍</w:t>
      </w:r>
      <w:r>
        <w:rPr>
          <w:rFonts w:hint="eastAsia"/>
          <w:u w:val="single"/>
        </w:rPr>
        <w:t>：项目整体方案及对应技术（包括不限于材质、工艺、工具等）、项目计划分解、售后服务方案、应急处理机制等；</w:t>
      </w:r>
    </w:p>
    <w:p w14:paraId="113B7EA4">
      <w:pPr>
        <w:pStyle w:val="2"/>
        <w:numPr>
          <w:ilvl w:val="0"/>
          <w:numId w:val="10"/>
        </w:numPr>
        <w:ind w:firstLineChars="0"/>
      </w:pPr>
      <w:r>
        <w:rPr>
          <w:rFonts w:hint="eastAsia"/>
        </w:rPr>
        <w:t>类似产品样品/动画展示：介绍样品材质、工艺、结构、外观设计工艺或动画演示等；</w:t>
      </w:r>
    </w:p>
    <w:p w14:paraId="32761C44">
      <w:pPr>
        <w:pStyle w:val="2"/>
        <w:numPr>
          <w:ilvl w:val="0"/>
          <w:numId w:val="10"/>
        </w:numPr>
        <w:ind w:firstLineChars="0"/>
      </w:pPr>
      <w:r>
        <w:rPr>
          <w:rFonts w:hint="eastAsia"/>
        </w:rPr>
        <w:t>答疑：回答评标专家关于材质规格、定制周期、服务能力、质量保障等方面的问题。</w:t>
      </w:r>
    </w:p>
    <w:p w14:paraId="78272980">
      <w:pPr>
        <w:pStyle w:val="2"/>
        <w:ind w:firstLine="0" w:firstLineChars="0"/>
        <w:jc w:val="center"/>
        <w:rPr>
          <w:b/>
          <w:bCs/>
        </w:rPr>
      </w:pPr>
      <w:r>
        <w:rPr>
          <w:rFonts w:hint="eastAsia"/>
          <w:b/>
          <w:bCs/>
        </w:rPr>
        <w:t>A包 车模：技术标评分标准</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8"/>
        <w:gridCol w:w="2034"/>
        <w:gridCol w:w="5804"/>
      </w:tblGrid>
      <w:tr w14:paraId="1CD76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780" w:type="pct"/>
            <w:vAlign w:val="center"/>
          </w:tcPr>
          <w:p w14:paraId="11701AAC">
            <w:pPr>
              <w:ind w:firstLine="0" w:firstLineChars="0"/>
              <w:jc w:val="center"/>
              <w:rPr>
                <w:rFonts w:hint="eastAsia" w:cs="仿宋_GB2312"/>
                <w:b/>
                <w:bCs/>
                <w:sz w:val="24"/>
                <w:szCs w:val="24"/>
              </w:rPr>
            </w:pPr>
            <w:r>
              <w:rPr>
                <w:rFonts w:hint="eastAsia" w:cs="仿宋_GB2312"/>
                <w:b/>
                <w:bCs/>
                <w:sz w:val="24"/>
                <w:szCs w:val="24"/>
              </w:rPr>
              <w:t>类别</w:t>
            </w:r>
          </w:p>
        </w:tc>
        <w:tc>
          <w:tcPr>
            <w:tcW w:w="1095" w:type="pct"/>
            <w:vAlign w:val="center"/>
          </w:tcPr>
          <w:p w14:paraId="14BC060A">
            <w:pPr>
              <w:ind w:firstLine="0" w:firstLineChars="0"/>
              <w:jc w:val="center"/>
              <w:rPr>
                <w:rFonts w:hint="eastAsia" w:cs="仿宋_GB2312"/>
                <w:b/>
                <w:bCs/>
                <w:sz w:val="24"/>
                <w:szCs w:val="24"/>
              </w:rPr>
            </w:pPr>
            <w:r>
              <w:rPr>
                <w:rFonts w:hint="eastAsia" w:cs="仿宋_GB2312"/>
                <w:b/>
                <w:bCs/>
                <w:sz w:val="24"/>
                <w:szCs w:val="24"/>
              </w:rPr>
              <w:t>评分内容</w:t>
            </w:r>
          </w:p>
        </w:tc>
        <w:tc>
          <w:tcPr>
            <w:tcW w:w="3125" w:type="pct"/>
            <w:vAlign w:val="center"/>
          </w:tcPr>
          <w:p w14:paraId="0C406109">
            <w:pPr>
              <w:ind w:firstLine="0" w:firstLineChars="0"/>
              <w:jc w:val="center"/>
              <w:rPr>
                <w:rFonts w:hint="eastAsia" w:cs="仿宋_GB2312"/>
                <w:b/>
                <w:bCs/>
                <w:sz w:val="24"/>
                <w:szCs w:val="24"/>
              </w:rPr>
            </w:pPr>
            <w:r>
              <w:rPr>
                <w:rFonts w:hint="eastAsia" w:cs="仿宋_GB2312"/>
                <w:b/>
                <w:bCs/>
                <w:sz w:val="24"/>
                <w:szCs w:val="24"/>
              </w:rPr>
              <w:t>评分标准</w:t>
            </w:r>
          </w:p>
        </w:tc>
      </w:tr>
      <w:tr w14:paraId="48197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restart"/>
            <w:vAlign w:val="center"/>
          </w:tcPr>
          <w:p w14:paraId="0DB00DF9">
            <w:pPr>
              <w:ind w:firstLine="0" w:firstLineChars="0"/>
              <w:jc w:val="center"/>
              <w:rPr>
                <w:rFonts w:hint="eastAsia" w:cs="仿宋_GB2312"/>
                <w:sz w:val="24"/>
                <w:szCs w:val="24"/>
              </w:rPr>
            </w:pPr>
            <w:r>
              <w:rPr>
                <w:rFonts w:hint="eastAsia" w:cs="仿宋_GB2312"/>
                <w:sz w:val="24"/>
                <w:szCs w:val="24"/>
              </w:rPr>
              <w:t>技术标</w:t>
            </w:r>
          </w:p>
          <w:p w14:paraId="3614B0F2">
            <w:pPr>
              <w:ind w:firstLine="0" w:firstLineChars="0"/>
              <w:jc w:val="center"/>
              <w:rPr>
                <w:rFonts w:hint="eastAsia" w:cs="仿宋_GB2312"/>
                <w:sz w:val="24"/>
                <w:szCs w:val="24"/>
              </w:rPr>
            </w:pPr>
            <w:r>
              <w:rPr>
                <w:rFonts w:hint="eastAsia" w:cs="仿宋_GB2312"/>
                <w:sz w:val="24"/>
                <w:szCs w:val="24"/>
              </w:rPr>
              <w:t>（100分）</w:t>
            </w:r>
          </w:p>
        </w:tc>
        <w:tc>
          <w:tcPr>
            <w:tcW w:w="1095" w:type="pct"/>
            <w:vAlign w:val="center"/>
          </w:tcPr>
          <w:p w14:paraId="52D50330">
            <w:pPr>
              <w:ind w:firstLine="0" w:firstLineChars="0"/>
              <w:jc w:val="center"/>
              <w:rPr>
                <w:rFonts w:hint="eastAsia" w:cs="仿宋_GB2312"/>
                <w:sz w:val="24"/>
                <w:szCs w:val="24"/>
              </w:rPr>
            </w:pPr>
            <w:r>
              <w:rPr>
                <w:rFonts w:hint="eastAsia" w:cs="仿宋_GB2312"/>
                <w:sz w:val="24"/>
                <w:szCs w:val="24"/>
              </w:rPr>
              <w:t>技术响应</w:t>
            </w:r>
          </w:p>
          <w:p w14:paraId="50E82905">
            <w:pPr>
              <w:pStyle w:val="2"/>
              <w:ind w:firstLine="0" w:firstLineChars="0"/>
              <w:jc w:val="center"/>
              <w:rPr>
                <w:rFonts w:ascii="仿宋_GB2312"/>
                <w:sz w:val="24"/>
                <w:szCs w:val="24"/>
              </w:rPr>
            </w:pPr>
            <w:r>
              <w:rPr>
                <w:rFonts w:hint="eastAsia" w:ascii="仿宋_GB2312"/>
                <w:sz w:val="24"/>
                <w:szCs w:val="24"/>
              </w:rPr>
              <w:t>（40分）</w:t>
            </w:r>
          </w:p>
        </w:tc>
        <w:tc>
          <w:tcPr>
            <w:tcW w:w="3125" w:type="pct"/>
            <w:vAlign w:val="center"/>
          </w:tcPr>
          <w:p w14:paraId="757A83D3">
            <w:pPr>
              <w:ind w:firstLine="480"/>
              <w:jc w:val="left"/>
              <w:rPr>
                <w:rFonts w:hint="eastAsia" w:cs="仿宋_GB2312"/>
                <w:sz w:val="24"/>
                <w:szCs w:val="24"/>
              </w:rPr>
            </w:pPr>
            <w:r>
              <w:rPr>
                <w:rFonts w:hint="eastAsia" w:cs="仿宋_GB2312"/>
                <w:sz w:val="24"/>
                <w:szCs w:val="24"/>
              </w:rPr>
              <w:t>从以下维度评估技术响应，确认技术偏离：</w:t>
            </w:r>
          </w:p>
          <w:p w14:paraId="78201BC7">
            <w:pPr>
              <w:pStyle w:val="2"/>
              <w:ind w:firstLine="480"/>
              <w:jc w:val="left"/>
              <w:rPr>
                <w:sz w:val="24"/>
                <w:szCs w:val="18"/>
              </w:rPr>
            </w:pPr>
            <w:r>
              <w:rPr>
                <w:rFonts w:hint="eastAsia"/>
                <w:sz w:val="24"/>
                <w:szCs w:val="18"/>
              </w:rPr>
              <w:t>1）整体制作方案完整、思路清晰，贴合专用车特性，方案可行性强</w:t>
            </w:r>
          </w:p>
          <w:p w14:paraId="02D69151">
            <w:pPr>
              <w:pStyle w:val="2"/>
              <w:ind w:firstLine="480"/>
              <w:jc w:val="left"/>
              <w:rPr>
                <w:sz w:val="24"/>
                <w:szCs w:val="18"/>
              </w:rPr>
            </w:pPr>
            <w:r>
              <w:rPr>
                <w:rFonts w:hint="eastAsia"/>
                <w:sz w:val="24"/>
                <w:szCs w:val="18"/>
              </w:rPr>
              <w:t>2）材质选型、工艺标准、细节还原方案专业、精准，满足高精度展示需求</w:t>
            </w:r>
          </w:p>
          <w:p w14:paraId="7C9172D1">
            <w:pPr>
              <w:pStyle w:val="2"/>
              <w:ind w:firstLine="480"/>
              <w:jc w:val="left"/>
              <w:rPr>
                <w:sz w:val="24"/>
                <w:szCs w:val="18"/>
              </w:rPr>
            </w:pPr>
            <w:r>
              <w:rPr>
                <w:rFonts w:hint="eastAsia"/>
                <w:sz w:val="24"/>
                <w:szCs w:val="18"/>
              </w:rPr>
              <w:t>3）质量管控、质检整改、包装运输方案完善</w:t>
            </w:r>
          </w:p>
          <w:p w14:paraId="72EEA413">
            <w:pPr>
              <w:pStyle w:val="2"/>
              <w:ind w:firstLine="480"/>
              <w:jc w:val="left"/>
              <w:rPr>
                <w:rFonts w:hint="eastAsia" w:ascii="仿宋_GB2312" w:hAnsi="仿宋"/>
              </w:rPr>
            </w:pPr>
            <w:r>
              <w:rPr>
                <w:rFonts w:hint="eastAsia" w:ascii="仿宋_GB2312" w:hAnsi="仿宋"/>
                <w:sz w:val="24"/>
                <w:szCs w:val="18"/>
              </w:rPr>
              <w:t>经综合评定，技术规格齐全，基本无偏离，质量为“优”的，赋分36</w:t>
            </w:r>
            <w:r>
              <w:rPr>
                <w:rFonts w:hint="eastAsia" w:ascii="仿宋_GB2312" w:hAnsi="仿宋" w:cs="仿宋"/>
                <w:sz w:val="22"/>
                <w:szCs w:val="22"/>
                <w:lang w:eastAsia="zh" w:bidi="ar"/>
              </w:rPr>
              <w:t>～</w:t>
            </w:r>
            <w:r>
              <w:rPr>
                <w:rFonts w:hint="eastAsia" w:ascii="仿宋_GB2312" w:hAnsi="仿宋"/>
                <w:sz w:val="24"/>
                <w:szCs w:val="18"/>
              </w:rPr>
              <w:t>40分；技术规格无重大偏离，质量为“良”的，赋分31</w:t>
            </w:r>
            <w:r>
              <w:rPr>
                <w:rFonts w:hint="eastAsia" w:ascii="仿宋_GB2312" w:hAnsi="仿宋" w:cs="仿宋"/>
                <w:sz w:val="22"/>
                <w:szCs w:val="22"/>
                <w:lang w:eastAsia="zh" w:bidi="ar"/>
              </w:rPr>
              <w:t>～</w:t>
            </w:r>
            <w:r>
              <w:rPr>
                <w:rFonts w:hint="eastAsia" w:ascii="仿宋_GB2312" w:hAnsi="仿宋"/>
                <w:sz w:val="24"/>
                <w:szCs w:val="18"/>
              </w:rPr>
              <w:t>35分；质量为“一般”的，赋分21</w:t>
            </w:r>
            <w:r>
              <w:rPr>
                <w:rFonts w:hint="eastAsia" w:ascii="仿宋_GB2312" w:hAnsi="仿宋" w:cs="仿宋"/>
                <w:sz w:val="22"/>
                <w:szCs w:val="22"/>
                <w:lang w:eastAsia="zh" w:bidi="ar"/>
              </w:rPr>
              <w:t>～</w:t>
            </w:r>
            <w:r>
              <w:rPr>
                <w:rFonts w:hint="eastAsia" w:ascii="仿宋_GB2312" w:hAnsi="仿宋"/>
                <w:sz w:val="24"/>
                <w:szCs w:val="18"/>
              </w:rPr>
              <w:t>30分；20分及以下为不符合要求，严重技术偏离。</w:t>
            </w:r>
          </w:p>
        </w:tc>
      </w:tr>
      <w:tr w14:paraId="7D261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4" w:hRule="atLeast"/>
          <w:jc w:val="center"/>
        </w:trPr>
        <w:tc>
          <w:tcPr>
            <w:tcW w:w="780" w:type="pct"/>
            <w:vMerge w:val="continue"/>
            <w:vAlign w:val="center"/>
          </w:tcPr>
          <w:p w14:paraId="12F43120">
            <w:pPr>
              <w:ind w:firstLine="0" w:firstLineChars="0"/>
              <w:jc w:val="center"/>
              <w:rPr>
                <w:rFonts w:hint="eastAsia" w:cs="仿宋_GB2312"/>
                <w:sz w:val="24"/>
                <w:szCs w:val="24"/>
              </w:rPr>
            </w:pPr>
          </w:p>
        </w:tc>
        <w:tc>
          <w:tcPr>
            <w:tcW w:w="1095" w:type="pct"/>
            <w:vAlign w:val="center"/>
          </w:tcPr>
          <w:p w14:paraId="3D0D655A">
            <w:pPr>
              <w:ind w:firstLine="0" w:firstLineChars="0"/>
              <w:jc w:val="center"/>
              <w:rPr>
                <w:rFonts w:hint="eastAsia" w:cs="仿宋_GB2312"/>
                <w:sz w:val="24"/>
                <w:szCs w:val="24"/>
              </w:rPr>
            </w:pPr>
            <w:r>
              <w:rPr>
                <w:rFonts w:hint="eastAsia" w:cs="仿宋_GB2312"/>
                <w:sz w:val="24"/>
                <w:szCs w:val="24"/>
              </w:rPr>
              <w:t>工期保障</w:t>
            </w:r>
          </w:p>
          <w:p w14:paraId="45F60789">
            <w:pPr>
              <w:pStyle w:val="2"/>
              <w:ind w:firstLine="0" w:firstLineChars="0"/>
              <w:jc w:val="center"/>
              <w:rPr>
                <w:rFonts w:ascii="仿宋_GB2312"/>
                <w:sz w:val="24"/>
                <w:szCs w:val="24"/>
              </w:rPr>
            </w:pPr>
            <w:r>
              <w:rPr>
                <w:rFonts w:hint="eastAsia" w:ascii="仿宋_GB2312"/>
                <w:sz w:val="24"/>
                <w:szCs w:val="24"/>
              </w:rPr>
              <w:t>（30分）</w:t>
            </w:r>
          </w:p>
        </w:tc>
        <w:tc>
          <w:tcPr>
            <w:tcW w:w="3125" w:type="pct"/>
            <w:vAlign w:val="center"/>
          </w:tcPr>
          <w:p w14:paraId="0A8BE472">
            <w:pPr>
              <w:ind w:firstLine="480"/>
              <w:jc w:val="left"/>
              <w:rPr>
                <w:rFonts w:hint="eastAsia" w:cs="仿宋_GB2312"/>
                <w:sz w:val="24"/>
                <w:szCs w:val="24"/>
              </w:rPr>
            </w:pPr>
            <w:r>
              <w:rPr>
                <w:rFonts w:hint="eastAsia" w:cs="仿宋_GB2312"/>
                <w:sz w:val="24"/>
                <w:szCs w:val="24"/>
              </w:rPr>
              <w:t>从项目计划、企业生产及工艺能力、质量管控体系、应急应对措施等四个维度综合评定：</w:t>
            </w:r>
          </w:p>
          <w:p w14:paraId="33C79C71">
            <w:pPr>
              <w:pStyle w:val="2"/>
              <w:ind w:firstLine="480"/>
              <w:rPr>
                <w:sz w:val="24"/>
                <w:szCs w:val="24"/>
              </w:rPr>
            </w:pPr>
            <w:r>
              <w:rPr>
                <w:rFonts w:hint="eastAsia"/>
                <w:sz w:val="24"/>
                <w:szCs w:val="24"/>
              </w:rPr>
              <w:t>优秀（26</w:t>
            </w:r>
            <w:r>
              <w:rPr>
                <w:rFonts w:hint="eastAsia" w:ascii="仿宋_GB2312" w:hAnsi="仿宋" w:cs="仿宋"/>
                <w:sz w:val="24"/>
                <w:szCs w:val="24"/>
                <w:lang w:eastAsia="zh" w:bidi="ar"/>
              </w:rPr>
              <w:t>～</w:t>
            </w:r>
            <w:r>
              <w:rPr>
                <w:rFonts w:hint="eastAsia" w:ascii="仿宋_GB2312" w:hAnsi="仿宋" w:cs="仿宋"/>
                <w:sz w:val="24"/>
                <w:szCs w:val="24"/>
                <w:lang w:bidi="ar"/>
              </w:rPr>
              <w:t>30分</w:t>
            </w:r>
            <w:r>
              <w:rPr>
                <w:rFonts w:hint="eastAsia"/>
                <w:sz w:val="24"/>
                <w:szCs w:val="24"/>
              </w:rPr>
              <w:t>）：项目计划可行性强，制定完善的风险应对措施，具备同时承接多车型产品定制设计及生产能力，生产设备满足项目需求，具备样品快速打样机制，能有效保障项目工期节点落地。</w:t>
            </w:r>
          </w:p>
          <w:p w14:paraId="0BC96948">
            <w:pPr>
              <w:pStyle w:val="2"/>
              <w:ind w:firstLine="480"/>
              <w:rPr>
                <w:sz w:val="24"/>
                <w:szCs w:val="24"/>
              </w:rPr>
            </w:pPr>
            <w:r>
              <w:rPr>
                <w:rFonts w:hint="eastAsia"/>
                <w:sz w:val="24"/>
                <w:szCs w:val="24"/>
              </w:rPr>
              <w:t>良好（21</w:t>
            </w:r>
            <w:r>
              <w:rPr>
                <w:rFonts w:hint="eastAsia" w:ascii="仿宋_GB2312" w:hAnsi="仿宋" w:cs="仿宋"/>
                <w:sz w:val="24"/>
                <w:szCs w:val="24"/>
                <w:lang w:eastAsia="zh" w:bidi="ar"/>
              </w:rPr>
              <w:t>～</w:t>
            </w:r>
            <w:r>
              <w:rPr>
                <w:rFonts w:hint="eastAsia" w:ascii="仿宋_GB2312" w:hAnsi="仿宋" w:cs="仿宋"/>
                <w:sz w:val="24"/>
                <w:szCs w:val="24"/>
                <w:lang w:bidi="ar"/>
              </w:rPr>
              <w:t>25分</w:t>
            </w:r>
            <w:r>
              <w:rPr>
                <w:rFonts w:hint="eastAsia"/>
                <w:sz w:val="24"/>
                <w:szCs w:val="24"/>
              </w:rPr>
              <w:t>）：项目计划可行性强，制定相对完善的风险应对措施，基本具备同时承接多车型产品定制设计及生产能力，生产设备基本满足项目需求，相对具备样品快速打样机制，基本保障项目工期节点落地。</w:t>
            </w:r>
          </w:p>
          <w:p w14:paraId="48D8948C">
            <w:pPr>
              <w:pStyle w:val="2"/>
              <w:ind w:firstLine="480"/>
              <w:rPr>
                <w:sz w:val="24"/>
                <w:szCs w:val="24"/>
              </w:rPr>
            </w:pPr>
            <w:r>
              <w:rPr>
                <w:rFonts w:hint="eastAsia"/>
                <w:sz w:val="24"/>
                <w:szCs w:val="24"/>
              </w:rPr>
              <w:t>合格（11</w:t>
            </w:r>
            <w:r>
              <w:rPr>
                <w:rFonts w:hint="eastAsia" w:ascii="仿宋_GB2312" w:hAnsi="仿宋" w:cs="仿宋"/>
                <w:sz w:val="24"/>
                <w:szCs w:val="24"/>
                <w:lang w:eastAsia="zh" w:bidi="ar"/>
              </w:rPr>
              <w:t>～</w:t>
            </w:r>
            <w:r>
              <w:rPr>
                <w:rFonts w:hint="eastAsia" w:ascii="仿宋_GB2312" w:hAnsi="仿宋" w:cs="仿宋"/>
                <w:sz w:val="24"/>
                <w:szCs w:val="24"/>
                <w:lang w:bidi="ar"/>
              </w:rPr>
              <w:t>20分</w:t>
            </w:r>
            <w:r>
              <w:rPr>
                <w:rFonts w:hint="eastAsia"/>
                <w:sz w:val="24"/>
                <w:szCs w:val="24"/>
              </w:rPr>
              <w:t>）：项目计划详实，生产设备基本满足项目需求，风险应对措施一般，多车型并行能力一般。</w:t>
            </w:r>
          </w:p>
          <w:p w14:paraId="37C78AD6">
            <w:pPr>
              <w:pStyle w:val="2"/>
              <w:ind w:firstLine="480"/>
            </w:pPr>
            <w:r>
              <w:rPr>
                <w:rFonts w:hint="eastAsia"/>
                <w:sz w:val="24"/>
                <w:szCs w:val="24"/>
              </w:rPr>
              <w:t>不合格（≤</w:t>
            </w:r>
            <w:r>
              <w:rPr>
                <w:rFonts w:hint="eastAsia" w:ascii="仿宋_GB2312" w:hAnsi="仿宋" w:cs="仿宋"/>
                <w:sz w:val="24"/>
                <w:szCs w:val="24"/>
                <w:lang w:bidi="ar"/>
              </w:rPr>
              <w:t>10分</w:t>
            </w:r>
            <w:r>
              <w:rPr>
                <w:rFonts w:hint="eastAsia"/>
                <w:sz w:val="24"/>
                <w:szCs w:val="24"/>
              </w:rPr>
              <w:t>）：项目计划不可行，不满足落地要求，生产设备不满足项目需求。</w:t>
            </w:r>
          </w:p>
        </w:tc>
      </w:tr>
      <w:tr w14:paraId="4B9AF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continue"/>
            <w:vAlign w:val="center"/>
          </w:tcPr>
          <w:p w14:paraId="38F212A5">
            <w:pPr>
              <w:ind w:firstLine="0" w:firstLineChars="0"/>
              <w:jc w:val="center"/>
              <w:rPr>
                <w:rFonts w:hint="eastAsia" w:cs="仿宋_GB2312"/>
                <w:sz w:val="24"/>
                <w:szCs w:val="24"/>
              </w:rPr>
            </w:pPr>
          </w:p>
        </w:tc>
        <w:tc>
          <w:tcPr>
            <w:tcW w:w="1095" w:type="pct"/>
            <w:vAlign w:val="center"/>
          </w:tcPr>
          <w:p w14:paraId="39C21996">
            <w:pPr>
              <w:ind w:firstLine="0" w:firstLineChars="0"/>
              <w:jc w:val="center"/>
              <w:rPr>
                <w:rFonts w:hint="eastAsia" w:cs="仿宋_GB2312"/>
                <w:sz w:val="24"/>
                <w:szCs w:val="24"/>
              </w:rPr>
            </w:pPr>
            <w:r>
              <w:rPr>
                <w:rFonts w:hint="eastAsia" w:cs="仿宋_GB2312"/>
                <w:sz w:val="24"/>
                <w:szCs w:val="24"/>
              </w:rPr>
              <w:t>企业实力与业绩</w:t>
            </w:r>
          </w:p>
          <w:p w14:paraId="665C5A91">
            <w:pPr>
              <w:pStyle w:val="2"/>
              <w:ind w:firstLine="0" w:firstLineChars="0"/>
              <w:jc w:val="center"/>
              <w:rPr>
                <w:rFonts w:ascii="仿宋_GB2312"/>
                <w:sz w:val="24"/>
                <w:szCs w:val="24"/>
              </w:rPr>
            </w:pPr>
            <w:r>
              <w:rPr>
                <w:rFonts w:hint="eastAsia" w:ascii="仿宋_GB2312"/>
                <w:sz w:val="24"/>
                <w:szCs w:val="24"/>
              </w:rPr>
              <w:t>（20分）</w:t>
            </w:r>
          </w:p>
        </w:tc>
        <w:tc>
          <w:tcPr>
            <w:tcW w:w="3125" w:type="pct"/>
            <w:vAlign w:val="center"/>
          </w:tcPr>
          <w:p w14:paraId="000B6D08">
            <w:pPr>
              <w:ind w:firstLine="480"/>
              <w:jc w:val="left"/>
              <w:rPr>
                <w:rFonts w:hint="eastAsia" w:cs="仿宋_GB2312"/>
                <w:sz w:val="24"/>
                <w:szCs w:val="24"/>
              </w:rPr>
            </w:pPr>
            <w:r>
              <w:rPr>
                <w:rFonts w:hint="eastAsia" w:cs="仿宋_GB2312"/>
                <w:sz w:val="24"/>
                <w:szCs w:val="24"/>
              </w:rPr>
              <w:t>近三年复杂专用车、特种作业车高精度车模建模及制作同类业绩，每提供1项优质业绩得2分，最高10分；优先认可多车型制作、短周期履约项目业绩。</w:t>
            </w:r>
          </w:p>
          <w:p w14:paraId="51628527">
            <w:pPr>
              <w:ind w:firstLine="480"/>
              <w:jc w:val="left"/>
              <w:rPr>
                <w:rFonts w:hint="eastAsia" w:cs="仿宋_GB2312"/>
                <w:sz w:val="24"/>
                <w:szCs w:val="24"/>
              </w:rPr>
            </w:pPr>
            <w:r>
              <w:rPr>
                <w:rFonts w:hint="eastAsia" w:cs="仿宋_GB2312"/>
                <w:sz w:val="24"/>
                <w:szCs w:val="24"/>
              </w:rPr>
              <w:t>核心团队人员配置完善，具备三维工业建模、专用车结构复刻、复杂工艺调试，可快速完成前期技术资料对接和样品制作工作，根据表现进行打分（0-10分）</w:t>
            </w:r>
          </w:p>
        </w:tc>
      </w:tr>
      <w:tr w14:paraId="2777C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continue"/>
            <w:vAlign w:val="center"/>
          </w:tcPr>
          <w:p w14:paraId="1381D20A">
            <w:pPr>
              <w:ind w:firstLine="0" w:firstLineChars="0"/>
              <w:jc w:val="center"/>
              <w:rPr>
                <w:rFonts w:hint="eastAsia" w:cs="仿宋_GB2312"/>
                <w:sz w:val="24"/>
                <w:szCs w:val="24"/>
              </w:rPr>
            </w:pPr>
          </w:p>
        </w:tc>
        <w:tc>
          <w:tcPr>
            <w:tcW w:w="1095" w:type="pct"/>
            <w:vAlign w:val="center"/>
          </w:tcPr>
          <w:p w14:paraId="76639096">
            <w:pPr>
              <w:ind w:firstLine="0" w:firstLineChars="0"/>
              <w:jc w:val="center"/>
              <w:rPr>
                <w:rFonts w:hint="eastAsia" w:cs="仿宋_GB2312"/>
                <w:sz w:val="24"/>
                <w:szCs w:val="24"/>
              </w:rPr>
            </w:pPr>
            <w:r>
              <w:rPr>
                <w:rFonts w:hint="eastAsia" w:cs="仿宋_GB2312"/>
                <w:sz w:val="24"/>
                <w:szCs w:val="24"/>
              </w:rPr>
              <w:t>售后服务与响应</w:t>
            </w:r>
          </w:p>
          <w:p w14:paraId="64AECB38">
            <w:pPr>
              <w:pStyle w:val="2"/>
              <w:ind w:firstLine="0" w:firstLineChars="0"/>
              <w:jc w:val="center"/>
              <w:rPr>
                <w:rFonts w:ascii="仿宋_GB2312"/>
                <w:sz w:val="24"/>
                <w:szCs w:val="24"/>
              </w:rPr>
            </w:pPr>
            <w:r>
              <w:rPr>
                <w:rFonts w:hint="eastAsia" w:ascii="仿宋_GB2312"/>
                <w:sz w:val="24"/>
                <w:szCs w:val="24"/>
              </w:rPr>
              <w:t>（10分）</w:t>
            </w:r>
          </w:p>
        </w:tc>
        <w:tc>
          <w:tcPr>
            <w:tcW w:w="3125" w:type="pct"/>
            <w:shd w:val="clear" w:color="auto" w:fill="auto"/>
            <w:vAlign w:val="center"/>
          </w:tcPr>
          <w:p w14:paraId="20B6FF95">
            <w:pPr>
              <w:ind w:firstLine="480"/>
              <w:jc w:val="left"/>
              <w:rPr>
                <w:rFonts w:hint="eastAsia" w:cs="仿宋_GB2312"/>
                <w:sz w:val="24"/>
                <w:szCs w:val="24"/>
              </w:rPr>
            </w:pPr>
            <w:r>
              <w:rPr>
                <w:rFonts w:hint="eastAsia" w:cs="仿宋_GB2312"/>
                <w:sz w:val="24"/>
                <w:szCs w:val="24"/>
              </w:rPr>
              <w:t>根据售后服务体系、服务响应程度进行打分（0-10分）</w:t>
            </w:r>
          </w:p>
        </w:tc>
      </w:tr>
    </w:tbl>
    <w:tbl>
      <w:tblPr>
        <w:tblStyle w:val="30"/>
        <w:tblW w:w="5000"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 w:type="dxa"/>
          <w:bottom w:w="0" w:type="dxa"/>
          <w:right w:w="10" w:type="dxa"/>
        </w:tblCellMar>
      </w:tblPr>
      <w:tblGrid>
        <w:gridCol w:w="9090"/>
      </w:tblGrid>
      <w:tr w14:paraId="018FD08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384B4647">
            <w:pPr>
              <w:ind w:firstLine="480"/>
              <w:rPr>
                <w:rFonts w:hint="eastAsia" w:ascii="宋体"/>
                <w:sz w:val="24"/>
              </w:rPr>
            </w:pPr>
            <w:r>
              <w:rPr>
                <w:rFonts w:hint="eastAsia" w:ascii="宋体" w:hAnsi="宋体"/>
                <w:sz w:val="24"/>
                <w:szCs w:val="18"/>
              </w:rPr>
              <w:t>备注：</w:t>
            </w:r>
          </w:p>
          <w:p w14:paraId="3AD3EC02">
            <w:pPr>
              <w:ind w:firstLine="480"/>
              <w:rPr>
                <w:rFonts w:hint="eastAsia" w:ascii="宋体"/>
                <w:sz w:val="24"/>
                <w:szCs w:val="18"/>
              </w:rPr>
            </w:pPr>
            <w:r>
              <w:rPr>
                <w:rFonts w:hint="eastAsia" w:ascii="宋体" w:hAnsi="宋体"/>
                <w:sz w:val="24"/>
                <w:szCs w:val="18"/>
              </w:rPr>
              <w:t>1、通过初审者为有效投标。</w:t>
            </w:r>
          </w:p>
          <w:p w14:paraId="6F11D6E0">
            <w:pPr>
              <w:ind w:firstLine="480"/>
              <w:rPr>
                <w:rFonts w:hint="eastAsia" w:ascii="宋体"/>
                <w:b/>
                <w:bCs/>
                <w:color w:val="FF0000"/>
                <w:sz w:val="16"/>
                <w:szCs w:val="16"/>
              </w:rPr>
            </w:pPr>
            <w:r>
              <w:rPr>
                <w:rFonts w:hint="eastAsia" w:ascii="宋体" w:hAnsi="宋体"/>
                <w:sz w:val="24"/>
                <w:szCs w:val="18"/>
              </w:rPr>
              <w:t>2、</w:t>
            </w:r>
            <w:r>
              <w:rPr>
                <w:rFonts w:hint="eastAsia" w:ascii="??" w:hAnsi="??"/>
                <w:sz w:val="24"/>
                <w:szCs w:val="18"/>
              </w:rPr>
              <w:t>综合评价值相同的，依照业绩、技术、答疑、技术偏离及服务等内容的优先次序，根据分项评价值进行排名。</w:t>
            </w:r>
            <w:r>
              <w:rPr>
                <w:rFonts w:hint="eastAsia" w:ascii="宋体" w:hAnsi="宋体"/>
                <w:sz w:val="24"/>
                <w:szCs w:val="18"/>
              </w:rPr>
              <w:t>若上述排名皆相同的，则由全体评委成员无记名投票，得票高者排序在前。</w:t>
            </w:r>
          </w:p>
          <w:p w14:paraId="1A6D3A86">
            <w:pPr>
              <w:ind w:firstLine="480"/>
              <w:rPr>
                <w:rFonts w:hint="eastAsia" w:ascii="宋体" w:hAnsi="宋体"/>
                <w:sz w:val="24"/>
                <w:szCs w:val="18"/>
              </w:rPr>
            </w:pPr>
            <w:r>
              <w:rPr>
                <w:rFonts w:hint="eastAsia" w:ascii="宋体" w:hAnsi="宋体"/>
                <w:sz w:val="24"/>
                <w:szCs w:val="18"/>
              </w:rPr>
              <w:t>3、评委打分超过得分界限或未按本方法赋分时，该评委的打分按废票处理。</w:t>
            </w:r>
          </w:p>
          <w:p w14:paraId="6B6AF6ED">
            <w:pPr>
              <w:ind w:firstLine="480"/>
              <w:rPr>
                <w:rFonts w:hint="eastAsia" w:ascii="宋体" w:hAnsi="宋体"/>
              </w:rPr>
            </w:pPr>
            <w:r>
              <w:rPr>
                <w:rFonts w:hint="eastAsia" w:ascii="宋体" w:hAnsi="宋体"/>
                <w:sz w:val="24"/>
                <w:szCs w:val="18"/>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05403473">
      <w:pPr>
        <w:pStyle w:val="2"/>
        <w:spacing w:before="312" w:beforeLines="100"/>
        <w:ind w:firstLine="0" w:firstLineChars="0"/>
        <w:jc w:val="center"/>
        <w:rPr>
          <w:b/>
          <w:bCs/>
        </w:rPr>
      </w:pPr>
      <w:r>
        <w:rPr>
          <w:rFonts w:hint="eastAsia"/>
          <w:b/>
          <w:bCs/>
        </w:rPr>
        <w:t>B包 动画：技术标评分标准</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8"/>
        <w:gridCol w:w="2034"/>
        <w:gridCol w:w="5804"/>
      </w:tblGrid>
      <w:tr w14:paraId="7601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8" w:hRule="atLeast"/>
          <w:jc w:val="center"/>
        </w:trPr>
        <w:tc>
          <w:tcPr>
            <w:tcW w:w="780" w:type="pct"/>
            <w:vAlign w:val="center"/>
          </w:tcPr>
          <w:p w14:paraId="0B28CBFD">
            <w:pPr>
              <w:ind w:firstLine="0" w:firstLineChars="0"/>
              <w:jc w:val="center"/>
              <w:rPr>
                <w:rFonts w:hint="eastAsia" w:cs="仿宋_GB2312"/>
                <w:b/>
                <w:bCs/>
                <w:sz w:val="24"/>
                <w:szCs w:val="24"/>
              </w:rPr>
            </w:pPr>
            <w:r>
              <w:rPr>
                <w:rFonts w:hint="eastAsia" w:cs="仿宋_GB2312"/>
                <w:b/>
                <w:bCs/>
                <w:sz w:val="24"/>
                <w:szCs w:val="24"/>
              </w:rPr>
              <w:t>类别</w:t>
            </w:r>
          </w:p>
        </w:tc>
        <w:tc>
          <w:tcPr>
            <w:tcW w:w="1095" w:type="pct"/>
            <w:vAlign w:val="center"/>
          </w:tcPr>
          <w:p w14:paraId="37266E54">
            <w:pPr>
              <w:ind w:firstLine="0" w:firstLineChars="0"/>
              <w:jc w:val="center"/>
              <w:rPr>
                <w:rFonts w:hint="eastAsia" w:cs="仿宋_GB2312"/>
                <w:b/>
                <w:bCs/>
                <w:sz w:val="24"/>
                <w:szCs w:val="24"/>
              </w:rPr>
            </w:pPr>
            <w:r>
              <w:rPr>
                <w:rFonts w:hint="eastAsia" w:cs="仿宋_GB2312"/>
                <w:b/>
                <w:bCs/>
                <w:sz w:val="24"/>
                <w:szCs w:val="24"/>
              </w:rPr>
              <w:t>评分内容</w:t>
            </w:r>
          </w:p>
        </w:tc>
        <w:tc>
          <w:tcPr>
            <w:tcW w:w="3125" w:type="pct"/>
            <w:vAlign w:val="center"/>
          </w:tcPr>
          <w:p w14:paraId="586356AD">
            <w:pPr>
              <w:ind w:firstLine="0" w:firstLineChars="0"/>
              <w:jc w:val="center"/>
              <w:rPr>
                <w:rFonts w:hint="eastAsia" w:cs="仿宋_GB2312"/>
                <w:b/>
                <w:bCs/>
                <w:sz w:val="24"/>
                <w:szCs w:val="24"/>
              </w:rPr>
            </w:pPr>
            <w:r>
              <w:rPr>
                <w:rFonts w:hint="eastAsia" w:cs="仿宋_GB2312"/>
                <w:b/>
                <w:bCs/>
                <w:sz w:val="24"/>
                <w:szCs w:val="24"/>
              </w:rPr>
              <w:t>评分标准</w:t>
            </w:r>
          </w:p>
        </w:tc>
      </w:tr>
      <w:tr w14:paraId="28F31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restart"/>
            <w:vAlign w:val="center"/>
          </w:tcPr>
          <w:p w14:paraId="2048C3AC">
            <w:pPr>
              <w:ind w:firstLine="0" w:firstLineChars="0"/>
              <w:jc w:val="center"/>
              <w:rPr>
                <w:rFonts w:hint="eastAsia" w:cs="仿宋_GB2312"/>
                <w:sz w:val="24"/>
                <w:szCs w:val="24"/>
              </w:rPr>
            </w:pPr>
            <w:r>
              <w:rPr>
                <w:rFonts w:hint="eastAsia" w:cs="仿宋_GB2312"/>
                <w:sz w:val="24"/>
                <w:szCs w:val="24"/>
              </w:rPr>
              <w:t>技术标</w:t>
            </w:r>
          </w:p>
          <w:p w14:paraId="22875F80">
            <w:pPr>
              <w:ind w:firstLine="0" w:firstLineChars="0"/>
              <w:jc w:val="center"/>
              <w:rPr>
                <w:rFonts w:hint="eastAsia" w:cs="仿宋_GB2312"/>
                <w:sz w:val="24"/>
                <w:szCs w:val="24"/>
              </w:rPr>
            </w:pPr>
            <w:r>
              <w:rPr>
                <w:rFonts w:hint="eastAsia" w:cs="仿宋_GB2312"/>
                <w:sz w:val="24"/>
                <w:szCs w:val="24"/>
              </w:rPr>
              <w:t>（100分）</w:t>
            </w:r>
          </w:p>
        </w:tc>
        <w:tc>
          <w:tcPr>
            <w:tcW w:w="1095" w:type="pct"/>
            <w:vAlign w:val="center"/>
          </w:tcPr>
          <w:p w14:paraId="3E6765F3">
            <w:pPr>
              <w:ind w:firstLine="0" w:firstLineChars="0"/>
              <w:jc w:val="center"/>
              <w:rPr>
                <w:rFonts w:hint="eastAsia" w:cs="仿宋_GB2312"/>
                <w:sz w:val="24"/>
                <w:szCs w:val="24"/>
              </w:rPr>
            </w:pPr>
            <w:r>
              <w:rPr>
                <w:rFonts w:hint="eastAsia" w:cs="仿宋_GB2312"/>
                <w:sz w:val="24"/>
                <w:szCs w:val="24"/>
              </w:rPr>
              <w:t>技术响应</w:t>
            </w:r>
          </w:p>
          <w:p w14:paraId="1FBEFAD0">
            <w:pPr>
              <w:pStyle w:val="2"/>
              <w:ind w:firstLine="0" w:firstLineChars="0"/>
              <w:jc w:val="center"/>
              <w:rPr>
                <w:rFonts w:ascii="仿宋_GB2312"/>
                <w:sz w:val="24"/>
                <w:szCs w:val="24"/>
              </w:rPr>
            </w:pPr>
            <w:r>
              <w:rPr>
                <w:rFonts w:hint="eastAsia" w:ascii="仿宋_GB2312"/>
                <w:sz w:val="24"/>
                <w:szCs w:val="24"/>
              </w:rPr>
              <w:t>（50分）</w:t>
            </w:r>
          </w:p>
        </w:tc>
        <w:tc>
          <w:tcPr>
            <w:tcW w:w="3125" w:type="pct"/>
            <w:vAlign w:val="center"/>
          </w:tcPr>
          <w:p w14:paraId="7CA8C7BD">
            <w:pPr>
              <w:ind w:firstLine="480"/>
              <w:jc w:val="left"/>
              <w:rPr>
                <w:rFonts w:hint="eastAsia" w:cs="仿宋_GB2312"/>
                <w:sz w:val="24"/>
                <w:szCs w:val="24"/>
              </w:rPr>
            </w:pPr>
            <w:r>
              <w:rPr>
                <w:rFonts w:hint="eastAsia" w:cs="仿宋_GB2312"/>
                <w:sz w:val="24"/>
                <w:szCs w:val="24"/>
              </w:rPr>
              <w:t>从以下维度评估技术响应，确认技术响应偏离：</w:t>
            </w:r>
          </w:p>
          <w:p w14:paraId="7203971E">
            <w:pPr>
              <w:pStyle w:val="2"/>
              <w:ind w:firstLine="482"/>
              <w:jc w:val="left"/>
              <w:rPr>
                <w:sz w:val="24"/>
                <w:szCs w:val="18"/>
              </w:rPr>
            </w:pPr>
            <w:r>
              <w:rPr>
                <w:rFonts w:hint="eastAsia"/>
                <w:b/>
                <w:bCs/>
                <w:sz w:val="24"/>
                <w:szCs w:val="18"/>
              </w:rPr>
              <w:t>1）创意风格：</w:t>
            </w:r>
            <w:r>
              <w:rPr>
                <w:rFonts w:hint="eastAsia"/>
                <w:sz w:val="24"/>
                <w:szCs w:val="18"/>
              </w:rPr>
              <w:t>整体策划方案详实可行，创意风格贴合专用车展示场景，亮点突出符合中国重汽品牌定位，具有较好的吸引力、感染力、互动性和可操作性，对中国重汽在行业地位或形象提升有积极作用的，得15分；如有方案平淡缺乏创意等情况酌情扣分。本项最高得15分；</w:t>
            </w:r>
            <w:r>
              <w:rPr>
                <w:sz w:val="24"/>
                <w:szCs w:val="18"/>
              </w:rPr>
              <w:t xml:space="preserve"> </w:t>
            </w:r>
          </w:p>
          <w:p w14:paraId="0EC944AD">
            <w:pPr>
              <w:pStyle w:val="2"/>
              <w:ind w:firstLine="482"/>
              <w:jc w:val="left"/>
              <w:rPr>
                <w:sz w:val="24"/>
                <w:szCs w:val="18"/>
              </w:rPr>
            </w:pPr>
            <w:r>
              <w:rPr>
                <w:rFonts w:hint="eastAsia"/>
                <w:b/>
                <w:bCs/>
                <w:sz w:val="24"/>
                <w:szCs w:val="18"/>
              </w:rPr>
              <w:t>2）脚本内容：</w:t>
            </w:r>
            <w:r>
              <w:rPr>
                <w:rFonts w:hint="eastAsia"/>
                <w:sz w:val="24"/>
                <w:szCs w:val="18"/>
              </w:rPr>
              <w:t>脚本分镜、内容规划专业合理，逻辑清晰，得分10分，如有不符合逻辑等情况酌情扣分，本项最高得10分；</w:t>
            </w:r>
          </w:p>
          <w:p w14:paraId="5A5C4E2E">
            <w:pPr>
              <w:pStyle w:val="2"/>
              <w:ind w:firstLine="482"/>
              <w:jc w:val="left"/>
              <w:rPr>
                <w:sz w:val="24"/>
                <w:szCs w:val="18"/>
              </w:rPr>
            </w:pPr>
            <w:r>
              <w:rPr>
                <w:rFonts w:hint="eastAsia"/>
                <w:b/>
                <w:bCs/>
                <w:sz w:val="24"/>
                <w:szCs w:val="18"/>
              </w:rPr>
              <w:t>3）建模渲染：</w:t>
            </w:r>
            <w:r>
              <w:rPr>
                <w:rFonts w:hint="eastAsia"/>
                <w:sz w:val="24"/>
                <w:szCs w:val="18"/>
              </w:rPr>
              <w:t>三维建模、动态仿真、场景渲染、后期制作技术方案先进，得分15分，根据渲染效果、视频制作技术进行酌情扣分，本项最高得15分；</w:t>
            </w:r>
          </w:p>
          <w:p w14:paraId="2230106E">
            <w:pPr>
              <w:pStyle w:val="2"/>
              <w:ind w:firstLine="480"/>
              <w:jc w:val="left"/>
              <w:rPr>
                <w:sz w:val="24"/>
                <w:szCs w:val="18"/>
              </w:rPr>
            </w:pPr>
            <w:r>
              <w:rPr>
                <w:rFonts w:hint="eastAsia"/>
                <w:sz w:val="24"/>
                <w:szCs w:val="18"/>
              </w:rPr>
              <w:t>4）版权保障、素材交付、修改优化机制完善得10分，根据修改响应程度等进行酌情扣分，本项最高得10分。</w:t>
            </w:r>
          </w:p>
        </w:tc>
      </w:tr>
      <w:tr w14:paraId="395B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continue"/>
            <w:vAlign w:val="center"/>
          </w:tcPr>
          <w:p w14:paraId="11D30899">
            <w:pPr>
              <w:ind w:firstLine="0" w:firstLineChars="0"/>
              <w:jc w:val="center"/>
              <w:rPr>
                <w:rFonts w:hint="eastAsia" w:cs="仿宋_GB2312"/>
                <w:sz w:val="24"/>
                <w:szCs w:val="24"/>
              </w:rPr>
            </w:pPr>
          </w:p>
        </w:tc>
        <w:tc>
          <w:tcPr>
            <w:tcW w:w="1095" w:type="pct"/>
            <w:vAlign w:val="center"/>
          </w:tcPr>
          <w:p w14:paraId="67FD8F33">
            <w:pPr>
              <w:ind w:firstLine="0" w:firstLineChars="0"/>
              <w:jc w:val="center"/>
              <w:rPr>
                <w:rFonts w:hint="eastAsia" w:cs="仿宋_GB2312"/>
                <w:sz w:val="24"/>
                <w:szCs w:val="24"/>
              </w:rPr>
            </w:pPr>
            <w:r>
              <w:rPr>
                <w:rFonts w:hint="eastAsia" w:cs="仿宋_GB2312"/>
                <w:sz w:val="24"/>
                <w:szCs w:val="24"/>
              </w:rPr>
              <w:t>企业实力与业绩</w:t>
            </w:r>
          </w:p>
          <w:p w14:paraId="056B8B85">
            <w:pPr>
              <w:pStyle w:val="2"/>
              <w:ind w:firstLine="0" w:firstLineChars="0"/>
              <w:jc w:val="center"/>
              <w:rPr>
                <w:rFonts w:ascii="仿宋_GB2312"/>
                <w:sz w:val="24"/>
                <w:szCs w:val="24"/>
              </w:rPr>
            </w:pPr>
            <w:r>
              <w:rPr>
                <w:rFonts w:hint="eastAsia" w:ascii="仿宋_GB2312"/>
                <w:sz w:val="24"/>
                <w:szCs w:val="24"/>
              </w:rPr>
              <w:t>（30分）</w:t>
            </w:r>
          </w:p>
        </w:tc>
        <w:tc>
          <w:tcPr>
            <w:tcW w:w="3125" w:type="pct"/>
            <w:vAlign w:val="center"/>
          </w:tcPr>
          <w:p w14:paraId="09D427B0">
            <w:pPr>
              <w:ind w:firstLine="480"/>
              <w:jc w:val="left"/>
              <w:rPr>
                <w:rFonts w:hint="eastAsia" w:cs="仿宋_GB2312"/>
                <w:sz w:val="24"/>
                <w:szCs w:val="24"/>
              </w:rPr>
            </w:pPr>
            <w:r>
              <w:rPr>
                <w:rFonts w:hint="eastAsia" w:cs="仿宋_GB2312"/>
                <w:sz w:val="24"/>
                <w:szCs w:val="24"/>
              </w:rPr>
              <w:t>近三年工业设备、专用车动画展示制作同类业绩，每提供1项优质业绩得5分，最高20分；</w:t>
            </w:r>
          </w:p>
          <w:p w14:paraId="2B035186">
            <w:pPr>
              <w:ind w:firstLine="480"/>
              <w:jc w:val="left"/>
              <w:rPr>
                <w:rFonts w:hint="eastAsia" w:cs="仿宋_GB2312"/>
                <w:sz w:val="24"/>
                <w:szCs w:val="24"/>
              </w:rPr>
            </w:pPr>
            <w:r>
              <w:rPr>
                <w:rFonts w:hint="eastAsia" w:cs="仿宋_GB2312"/>
                <w:sz w:val="24"/>
                <w:szCs w:val="24"/>
              </w:rPr>
              <w:t>核心团队人员配置完善，专业经验丰富，制作设备、专业软件配置齐全，根据表现进行打分（0-10分）</w:t>
            </w:r>
          </w:p>
        </w:tc>
      </w:tr>
      <w:tr w14:paraId="6EDE1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780" w:type="pct"/>
            <w:vMerge w:val="continue"/>
            <w:vAlign w:val="center"/>
          </w:tcPr>
          <w:p w14:paraId="7BAE4A37">
            <w:pPr>
              <w:ind w:firstLine="0" w:firstLineChars="0"/>
              <w:jc w:val="center"/>
              <w:rPr>
                <w:rFonts w:hint="eastAsia" w:cs="仿宋_GB2312"/>
                <w:sz w:val="24"/>
                <w:szCs w:val="24"/>
              </w:rPr>
            </w:pPr>
          </w:p>
        </w:tc>
        <w:tc>
          <w:tcPr>
            <w:tcW w:w="1095" w:type="pct"/>
            <w:vAlign w:val="center"/>
          </w:tcPr>
          <w:p w14:paraId="68622760">
            <w:pPr>
              <w:ind w:firstLine="0" w:firstLineChars="0"/>
              <w:jc w:val="center"/>
              <w:rPr>
                <w:rFonts w:hint="eastAsia" w:cs="仿宋_GB2312"/>
                <w:sz w:val="24"/>
                <w:szCs w:val="24"/>
              </w:rPr>
            </w:pPr>
            <w:r>
              <w:rPr>
                <w:rFonts w:hint="eastAsia" w:cs="仿宋_GB2312"/>
                <w:sz w:val="24"/>
                <w:szCs w:val="24"/>
              </w:rPr>
              <w:t>售后服务与承诺</w:t>
            </w:r>
          </w:p>
          <w:p w14:paraId="188D7069">
            <w:pPr>
              <w:pStyle w:val="2"/>
              <w:ind w:firstLine="0" w:firstLineChars="0"/>
              <w:jc w:val="center"/>
              <w:rPr>
                <w:rFonts w:ascii="仿宋_GB2312"/>
                <w:sz w:val="24"/>
                <w:szCs w:val="24"/>
              </w:rPr>
            </w:pPr>
            <w:r>
              <w:rPr>
                <w:rFonts w:hint="eastAsia" w:ascii="仿宋_GB2312"/>
                <w:sz w:val="24"/>
                <w:szCs w:val="24"/>
              </w:rPr>
              <w:t>（20分）</w:t>
            </w:r>
          </w:p>
        </w:tc>
        <w:tc>
          <w:tcPr>
            <w:tcW w:w="3125" w:type="pct"/>
            <w:shd w:val="clear" w:color="auto" w:fill="auto"/>
            <w:vAlign w:val="center"/>
          </w:tcPr>
          <w:p w14:paraId="051E1A28">
            <w:pPr>
              <w:ind w:firstLine="480"/>
              <w:jc w:val="left"/>
              <w:rPr>
                <w:rFonts w:hint="eastAsia" w:cs="仿宋_GB2312"/>
                <w:sz w:val="24"/>
                <w:szCs w:val="24"/>
              </w:rPr>
            </w:pPr>
            <w:r>
              <w:rPr>
                <w:rFonts w:hint="eastAsia" w:cs="仿宋_GB2312"/>
                <w:sz w:val="24"/>
                <w:szCs w:val="24"/>
              </w:rPr>
              <w:t>包括免费修改周期、素材质保、版权兜底、应急服务、后期技术支持等维度进行打分（0-10分）</w:t>
            </w:r>
          </w:p>
        </w:tc>
      </w:tr>
      <w:tr w14:paraId="70328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jc w:val="center"/>
        </w:trPr>
        <w:tc>
          <w:tcPr>
            <w:tcW w:w="5000" w:type="pct"/>
            <w:gridSpan w:val="3"/>
            <w:vAlign w:val="center"/>
          </w:tcPr>
          <w:p w14:paraId="586091B2">
            <w:pPr>
              <w:ind w:firstLine="480"/>
              <w:rPr>
                <w:rFonts w:hint="eastAsia" w:ascii="宋体"/>
                <w:sz w:val="24"/>
              </w:rPr>
            </w:pPr>
            <w:r>
              <w:rPr>
                <w:rFonts w:hint="eastAsia" w:ascii="宋体" w:hAnsi="宋体"/>
                <w:sz w:val="24"/>
                <w:szCs w:val="18"/>
              </w:rPr>
              <w:t>备注：</w:t>
            </w:r>
          </w:p>
          <w:p w14:paraId="0BC232E8">
            <w:pPr>
              <w:ind w:firstLine="480"/>
              <w:rPr>
                <w:rFonts w:hint="eastAsia" w:ascii="宋体"/>
                <w:sz w:val="24"/>
                <w:szCs w:val="18"/>
              </w:rPr>
            </w:pPr>
            <w:r>
              <w:rPr>
                <w:rFonts w:hint="eastAsia" w:ascii="宋体" w:hAnsi="宋体"/>
                <w:sz w:val="24"/>
                <w:szCs w:val="18"/>
              </w:rPr>
              <w:t>1、通过初审者为有效投标。</w:t>
            </w:r>
          </w:p>
          <w:p w14:paraId="3427AE92">
            <w:pPr>
              <w:ind w:firstLine="480"/>
              <w:rPr>
                <w:rFonts w:hint="eastAsia" w:ascii="宋体"/>
                <w:b/>
                <w:bCs/>
                <w:color w:val="FF0000"/>
                <w:sz w:val="16"/>
                <w:szCs w:val="16"/>
              </w:rPr>
            </w:pPr>
            <w:r>
              <w:rPr>
                <w:rFonts w:hint="eastAsia" w:ascii="宋体" w:hAnsi="宋体"/>
                <w:sz w:val="24"/>
                <w:szCs w:val="18"/>
              </w:rPr>
              <w:t>2、</w:t>
            </w:r>
            <w:r>
              <w:rPr>
                <w:rFonts w:hint="eastAsia" w:ascii="??" w:hAnsi="??"/>
                <w:sz w:val="24"/>
                <w:szCs w:val="18"/>
              </w:rPr>
              <w:t>综合评价值相同的，依照业绩、技术、答疑、技术偏离及服务等内容的优先次序，根据分项评价值进行排名。</w:t>
            </w:r>
            <w:r>
              <w:rPr>
                <w:rFonts w:hint="eastAsia" w:ascii="宋体" w:hAnsi="宋体"/>
                <w:sz w:val="24"/>
                <w:szCs w:val="18"/>
              </w:rPr>
              <w:t>若上述排名皆相同的，则由全体评委成员无记名投票，得票高者排序在前。</w:t>
            </w:r>
          </w:p>
          <w:p w14:paraId="7160EB08">
            <w:pPr>
              <w:ind w:firstLine="480"/>
              <w:rPr>
                <w:rFonts w:hint="eastAsia" w:ascii="宋体" w:hAnsi="宋体"/>
                <w:sz w:val="24"/>
                <w:szCs w:val="18"/>
              </w:rPr>
            </w:pPr>
            <w:r>
              <w:rPr>
                <w:rFonts w:hint="eastAsia" w:ascii="宋体" w:hAnsi="宋体"/>
                <w:sz w:val="24"/>
                <w:szCs w:val="18"/>
              </w:rPr>
              <w:t>3、评委打分超过得分界限或未按本方法赋分时，该评委的打分按废票处理。</w:t>
            </w:r>
          </w:p>
          <w:p w14:paraId="2E258380">
            <w:pPr>
              <w:ind w:firstLine="480"/>
              <w:jc w:val="left"/>
              <w:rPr>
                <w:rFonts w:hint="eastAsia" w:cs="仿宋_GB2312"/>
                <w:sz w:val="24"/>
                <w:szCs w:val="24"/>
              </w:rPr>
            </w:pPr>
            <w:r>
              <w:rPr>
                <w:rFonts w:hint="eastAsia" w:ascii="宋体" w:hAnsi="宋体"/>
                <w:sz w:val="24"/>
                <w:szCs w:val="18"/>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5D74482D">
      <w:pPr>
        <w:pStyle w:val="72"/>
        <w:spacing w:before="312" w:beforeLines="100"/>
      </w:pPr>
      <w:bookmarkStart w:id="5" w:name="_Toc234510333"/>
      <w:r>
        <w:rPr>
          <w:rFonts w:hint="eastAsia"/>
        </w:rPr>
        <w:t>第三章  投标文件编制</w:t>
      </w:r>
      <w:bookmarkEnd w:id="5"/>
    </w:p>
    <w:p w14:paraId="5101DEC2">
      <w:pPr>
        <w:pStyle w:val="73"/>
        <w:numPr>
          <w:ilvl w:val="0"/>
          <w:numId w:val="11"/>
        </w:numPr>
        <w:spacing w:before="312" w:beforeLines="100" w:after="156" w:afterLines="50" w:line="480" w:lineRule="exact"/>
      </w:pPr>
      <w:r>
        <w:rPr>
          <w:rFonts w:hint="eastAsia"/>
        </w:rPr>
        <w:t>投标文件构成</w:t>
      </w:r>
    </w:p>
    <w:p w14:paraId="4FCB8E58">
      <w:pPr>
        <w:pStyle w:val="24"/>
        <w:ind w:firstLine="560"/>
        <w:rPr>
          <w:rFonts w:hint="eastAsia"/>
        </w:rPr>
      </w:pPr>
      <w:r>
        <w:rPr>
          <w:rFonts w:hint="eastAsia"/>
        </w:rPr>
        <w:t>本项目投标文件为盖章扫描电子版投标文件，均由《投标文件（资质标）》、</w:t>
      </w:r>
      <w:r>
        <w:t>《投标文件（技术标）》</w:t>
      </w:r>
      <w:r>
        <w:rPr>
          <w:rFonts w:hint="eastAsia"/>
        </w:rPr>
        <w:t>、《投标文件（商务标）》（开标一览表）文件组成，共计3个文件。</w:t>
      </w:r>
    </w:p>
    <w:p w14:paraId="4F20A5F4">
      <w:pPr>
        <w:ind w:firstLine="560"/>
        <w:rPr>
          <w:rFonts w:hint="eastAsia"/>
        </w:rPr>
      </w:pPr>
      <w:r>
        <w:rPr>
          <w:rFonts w:hint="eastAsia"/>
        </w:rPr>
        <w:t>法定代表人或投标人授权代表必须按招标文件的规定在投标文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328B4F44">
      <w:pPr>
        <w:pStyle w:val="29"/>
        <w:ind w:firstLine="562"/>
        <w:rPr>
          <w:rFonts w:hint="eastAsia"/>
        </w:rPr>
      </w:pPr>
      <w:r>
        <w:rPr>
          <w:rFonts w:hint="eastAsia"/>
          <w:b/>
          <w:bCs/>
        </w:rPr>
        <w:t>1.资质文件</w:t>
      </w:r>
    </w:p>
    <w:p w14:paraId="256CC470">
      <w:pPr>
        <w:pStyle w:val="29"/>
        <w:ind w:firstLine="560"/>
        <w:rPr>
          <w:rFonts w:hint="eastAsia"/>
        </w:rPr>
      </w:pPr>
      <w:r>
        <w:rPr>
          <w:rFonts w:hint="eastAsia"/>
        </w:rPr>
        <w:t>（1）营业执照及法定代表人身份证的复印件（须加盖本单位公章）</w:t>
      </w:r>
    </w:p>
    <w:p w14:paraId="58B8C345">
      <w:pPr>
        <w:pStyle w:val="29"/>
        <w:ind w:firstLine="560"/>
        <w:rPr>
          <w:rFonts w:hint="eastAsia"/>
        </w:rPr>
      </w:pPr>
      <w:r>
        <w:rPr>
          <w:rFonts w:hint="eastAsia"/>
        </w:rPr>
        <w:t>（2）公司组织架构、员工人数、办公地址、联系方式</w:t>
      </w:r>
    </w:p>
    <w:p w14:paraId="43280BF4">
      <w:pPr>
        <w:pStyle w:val="29"/>
        <w:ind w:firstLine="560"/>
        <w:rPr>
          <w:rFonts w:hint="eastAsia"/>
        </w:rPr>
      </w:pPr>
      <w:r>
        <w:rPr>
          <w:rFonts w:hint="eastAsia"/>
        </w:rPr>
        <w:t>（3）近三年无行政处罚及失信记录证明，证明从“国家企业信用信息公示系统”、“中国执行信息公开网”、“信用中国”、“天眼查”、“裁判文书网”等信息平台中截图或导出后打印件（任意选择其中一个或多个网站，可证明企业行政处罚及失信记录即可）；</w:t>
      </w:r>
    </w:p>
    <w:p w14:paraId="725F59F7">
      <w:pPr>
        <w:pStyle w:val="29"/>
        <w:ind w:firstLine="560"/>
        <w:rPr>
          <w:rFonts w:hint="eastAsia"/>
        </w:rPr>
      </w:pPr>
      <w:r>
        <w:rPr>
          <w:rFonts w:hint="eastAsia"/>
        </w:rPr>
        <w:t>（4）近半年人民银行企业信用报告（如第三项已完全证明企业信用情况并已按要求提供，该报告可不提供）</w:t>
      </w:r>
    </w:p>
    <w:p w14:paraId="4F0B6020">
      <w:pPr>
        <w:pStyle w:val="29"/>
        <w:ind w:firstLine="560"/>
        <w:rPr>
          <w:rFonts w:hint="eastAsia"/>
        </w:rPr>
      </w:pPr>
      <w:r>
        <w:rPr>
          <w:rFonts w:hint="eastAsia"/>
        </w:rPr>
        <w:t>（5）近三年经营情况（年度审计报告或年度财务报表，二选一提供）</w:t>
      </w:r>
    </w:p>
    <w:p w14:paraId="02738E29">
      <w:pPr>
        <w:pStyle w:val="29"/>
        <w:ind w:firstLine="560"/>
        <w:rPr>
          <w:rFonts w:hint="eastAsia"/>
        </w:rPr>
      </w:pPr>
      <w:r>
        <w:rPr>
          <w:rFonts w:hint="eastAsia"/>
        </w:rPr>
        <w:t>（6）近三年的企业完税证明</w:t>
      </w:r>
    </w:p>
    <w:p w14:paraId="262168E7">
      <w:pPr>
        <w:pStyle w:val="29"/>
        <w:ind w:firstLine="560"/>
        <w:rPr>
          <w:rFonts w:hint="eastAsia"/>
        </w:rPr>
      </w:pPr>
      <w:r>
        <w:rPr>
          <w:rFonts w:hint="eastAsia"/>
        </w:rPr>
        <w:t>（7）授权委托书及被授权代表人身份证复印件（法定代表人到参加投标的可不提供）（附件1）</w:t>
      </w:r>
    </w:p>
    <w:p w14:paraId="6AC22DA0">
      <w:pPr>
        <w:pStyle w:val="29"/>
        <w:ind w:firstLine="560"/>
        <w:rPr>
          <w:rFonts w:hint="eastAsia"/>
        </w:rPr>
      </w:pPr>
      <w:r>
        <w:rPr>
          <w:rFonts w:hint="eastAsia"/>
        </w:rPr>
        <w:t>投标人提交的“资质证明文件”应能证明其有资格参加投标及中标后有能力履行服务协议书的文件，并作为其投标文件的一部分。</w:t>
      </w:r>
    </w:p>
    <w:p w14:paraId="365D3D73">
      <w:pPr>
        <w:pStyle w:val="29"/>
        <w:ind w:firstLine="562"/>
        <w:rPr>
          <w:rFonts w:hint="eastAsia"/>
        </w:rPr>
      </w:pPr>
      <w:r>
        <w:rPr>
          <w:rFonts w:hint="eastAsia"/>
          <w:b/>
          <w:bCs/>
        </w:rPr>
        <w:t>2.技术标</w:t>
      </w:r>
    </w:p>
    <w:p w14:paraId="320B34F4">
      <w:pPr>
        <w:pStyle w:val="29"/>
        <w:ind w:firstLine="560"/>
        <w:rPr>
          <w:rFonts w:hint="eastAsia"/>
        </w:rPr>
      </w:pPr>
      <w:r>
        <w:rPr>
          <w:rFonts w:hint="eastAsia"/>
        </w:rPr>
        <w:t>（1）技术规格偏离表（附件3）；</w:t>
      </w:r>
    </w:p>
    <w:p w14:paraId="72FB35C0">
      <w:pPr>
        <w:pStyle w:val="29"/>
        <w:ind w:firstLine="560"/>
        <w:rPr>
          <w:rFonts w:hint="eastAsia"/>
        </w:rPr>
      </w:pPr>
      <w:r>
        <w:rPr>
          <w:rFonts w:hint="eastAsia"/>
        </w:rPr>
        <w:t>（2）项目整体方案及实施计划；</w:t>
      </w:r>
    </w:p>
    <w:p w14:paraId="2A4A0109">
      <w:pPr>
        <w:pStyle w:val="29"/>
        <w:ind w:firstLine="562"/>
        <w:rPr>
          <w:rFonts w:hint="eastAsia"/>
          <w:b/>
          <w:bCs/>
        </w:rPr>
      </w:pPr>
      <w:r>
        <w:rPr>
          <w:rFonts w:hint="eastAsia"/>
          <w:b/>
          <w:bCs/>
        </w:rPr>
        <w:t>3.商务标</w:t>
      </w:r>
    </w:p>
    <w:p w14:paraId="74167A87">
      <w:pPr>
        <w:pStyle w:val="29"/>
        <w:ind w:firstLine="560"/>
        <w:rPr>
          <w:rFonts w:hint="eastAsia"/>
        </w:rPr>
      </w:pPr>
      <w:r>
        <w:rPr>
          <w:rFonts w:hint="eastAsia"/>
        </w:rPr>
        <w:t>（1）开标一览表（附件4）；</w:t>
      </w:r>
    </w:p>
    <w:p w14:paraId="1D677918">
      <w:pPr>
        <w:pStyle w:val="24"/>
        <w:ind w:firstLine="560"/>
        <w:rPr>
          <w:rFonts w:hint="eastAsia"/>
        </w:rPr>
      </w:pPr>
      <w:r>
        <w:rPr>
          <w:rFonts w:hint="eastAsia"/>
        </w:rPr>
        <w:t>（2）投标函（附件5）；</w:t>
      </w:r>
    </w:p>
    <w:p w14:paraId="259D3E80">
      <w:pPr>
        <w:pStyle w:val="29"/>
        <w:ind w:firstLine="560"/>
        <w:rPr>
          <w:rFonts w:hint="eastAsia"/>
        </w:rPr>
      </w:pPr>
      <w:r>
        <w:rPr>
          <w:rFonts w:hint="eastAsia"/>
        </w:rPr>
        <w:t>（3）保密承诺函（附件2）；</w:t>
      </w:r>
    </w:p>
    <w:p w14:paraId="1C73717E">
      <w:pPr>
        <w:pStyle w:val="29"/>
        <w:ind w:firstLine="560"/>
        <w:rPr>
          <w:rFonts w:hint="eastAsia"/>
        </w:rPr>
      </w:pPr>
      <w:r>
        <w:rPr>
          <w:rFonts w:hint="eastAsia"/>
        </w:rPr>
        <w:t>（4）服务承诺函（附件6）；</w:t>
      </w:r>
    </w:p>
    <w:p w14:paraId="13D5C312">
      <w:pPr>
        <w:pStyle w:val="24"/>
        <w:ind w:firstLine="560"/>
        <w:rPr>
          <w:rFonts w:hint="eastAsia"/>
        </w:rPr>
      </w:pPr>
      <w:r>
        <w:rPr>
          <w:rFonts w:hint="eastAsia"/>
        </w:rPr>
        <w:t>（5）商务条款偏离表（附件7）；</w:t>
      </w:r>
    </w:p>
    <w:p w14:paraId="0AA94A48">
      <w:pPr>
        <w:pStyle w:val="24"/>
        <w:ind w:firstLine="560"/>
        <w:rPr>
          <w:rFonts w:hint="eastAsia"/>
        </w:rPr>
      </w:pPr>
      <w:r>
        <w:rPr>
          <w:rFonts w:hint="eastAsia"/>
        </w:rPr>
        <w:t>（6）分项报价表（附件8）。</w:t>
      </w:r>
    </w:p>
    <w:p w14:paraId="1B935D3D">
      <w:pPr>
        <w:pStyle w:val="73"/>
        <w:numPr>
          <w:ilvl w:val="0"/>
          <w:numId w:val="11"/>
        </w:numPr>
        <w:spacing w:before="312" w:beforeLines="100" w:after="156" w:afterLines="50" w:line="480" w:lineRule="exact"/>
      </w:pPr>
      <w:r>
        <w:rPr>
          <w:rFonts w:hint="eastAsia"/>
        </w:rPr>
        <w:t>投标过程</w:t>
      </w:r>
    </w:p>
    <w:p w14:paraId="7F6C9FA9">
      <w:pPr>
        <w:ind w:firstLine="560"/>
        <w:rPr>
          <w:rFonts w:hint="eastAsia" w:hAnsi="宋体"/>
          <w:kern w:val="0"/>
        </w:rPr>
      </w:pPr>
      <w:r>
        <w:rPr>
          <w:rFonts w:hint="eastAsia" w:hAnsi="宋体"/>
          <w:kern w:val="0"/>
        </w:rPr>
        <w:t>本次项目招标全部在中国重汽e采通系统中完成，投标方需按照中国重汽采购招标流程在中国重汽e采通系统重上传资质文件和投标文件，用“公司名称+文件名称”命名，并按照时间要求进行报价。</w:t>
      </w:r>
      <w:r>
        <w:rPr>
          <w:rFonts w:hint="eastAsia" w:hAnsi="宋体"/>
          <w:b/>
          <w:bCs/>
          <w:kern w:val="0"/>
        </w:rPr>
        <w:t>若逾期未在中国重汽e采通平台上传电子标书，即便递交了纸质版投标文件，一律视为无效投标。</w:t>
      </w:r>
    </w:p>
    <w:p w14:paraId="05360092">
      <w:pPr>
        <w:pStyle w:val="72"/>
      </w:pPr>
      <w:bookmarkStart w:id="6" w:name="_Toc234510334"/>
      <w:r>
        <w:rPr>
          <w:rFonts w:hint="eastAsia"/>
        </w:rPr>
        <w:t>第四章  解释和说明</w:t>
      </w:r>
      <w:bookmarkEnd w:id="6"/>
    </w:p>
    <w:p w14:paraId="03C0A35B">
      <w:pPr>
        <w:pStyle w:val="73"/>
        <w:numPr>
          <w:ilvl w:val="0"/>
          <w:numId w:val="12"/>
        </w:numPr>
        <w:spacing w:before="312" w:beforeLines="100" w:after="156" w:afterLines="50" w:line="480" w:lineRule="exact"/>
        <w:ind w:left="0" w:firstLine="0"/>
      </w:pPr>
      <w:r>
        <w:rPr>
          <w:rFonts w:hint="eastAsia"/>
        </w:rPr>
        <w:t>合同协议签订</w:t>
      </w:r>
    </w:p>
    <w:p w14:paraId="10478406">
      <w:pPr>
        <w:pStyle w:val="29"/>
        <w:ind w:firstLine="560"/>
        <w:rPr>
          <w:rFonts w:hint="eastAsia"/>
        </w:rPr>
      </w:pPr>
      <w:r>
        <w:rPr>
          <w:rFonts w:hint="eastAsia"/>
        </w:rPr>
        <w:t>1.招标人根据评标工作小组的评标结果确定中标人，在重汽e采通平台公布中标结果，并发送中标通知。</w:t>
      </w:r>
    </w:p>
    <w:p w14:paraId="22A082DE">
      <w:pPr>
        <w:pStyle w:val="29"/>
        <w:ind w:firstLine="560"/>
        <w:rPr>
          <w:rFonts w:hint="eastAsia"/>
        </w:rPr>
      </w:pPr>
      <w:r>
        <w:rPr>
          <w:rFonts w:hint="eastAsia"/>
        </w:rPr>
        <w:t>2.中标人应该在中标通知书规定的时间、地点与招标人签订采购合同，否则按照开标后撤回投标处理。</w:t>
      </w:r>
    </w:p>
    <w:p w14:paraId="02C94A54">
      <w:pPr>
        <w:pStyle w:val="29"/>
        <w:ind w:firstLine="560"/>
        <w:rPr>
          <w:rFonts w:hint="eastAsia"/>
        </w:rPr>
      </w:pPr>
      <w:r>
        <w:rPr>
          <w:rFonts w:hint="eastAsia"/>
        </w:rPr>
        <w:t>3.中标人应当按照合同约定的履约责任，在保证质量的前提下完成中标项目，不得将中标项目转包给他人，否则视为违约，招标人有权解除合同。</w:t>
      </w:r>
    </w:p>
    <w:p w14:paraId="7F353D85">
      <w:pPr>
        <w:pStyle w:val="29"/>
        <w:ind w:firstLine="560"/>
        <w:rPr>
          <w:rFonts w:hint="eastAsia"/>
        </w:rPr>
      </w:pPr>
      <w:r>
        <w:rPr>
          <w:rFonts w:hint="eastAsia"/>
        </w:rPr>
        <w:t>4.招标人有权指定招标人的关联单位作为合同签订人，与中标人签署相关合同，且具体权利义务以中标人与招标人的关联公司最终签署的合同为准。</w:t>
      </w:r>
    </w:p>
    <w:p w14:paraId="388622B0">
      <w:pPr>
        <w:pStyle w:val="29"/>
        <w:ind w:firstLine="560"/>
        <w:rPr>
          <w:rFonts w:hint="eastAsia"/>
          <w:bCs/>
        </w:rPr>
      </w:pPr>
      <w:r>
        <w:rPr>
          <w:rFonts w:hint="eastAsia"/>
          <w:bCs/>
        </w:rPr>
        <w:t>5.中标人由于履行义务的能力或信用有严重缺陷，招标人有权取消其中标资格，招标人将从中标候选单位中依序重新确定中标人，或重新组织招标；</w:t>
      </w:r>
    </w:p>
    <w:p w14:paraId="0CED7ECD">
      <w:pPr>
        <w:pStyle w:val="29"/>
        <w:ind w:firstLine="562"/>
        <w:rPr>
          <w:rFonts w:hint="eastAsia"/>
          <w:b/>
        </w:rPr>
      </w:pPr>
      <w:r>
        <w:rPr>
          <w:rFonts w:hint="eastAsia"/>
          <w:b/>
        </w:rPr>
        <w:t>6.合同以双方最终签署的版本为准。</w:t>
      </w:r>
    </w:p>
    <w:p w14:paraId="0E262F2E">
      <w:pPr>
        <w:pStyle w:val="73"/>
        <w:spacing w:before="312" w:beforeLines="100" w:after="156" w:afterLines="50" w:line="480" w:lineRule="exact"/>
        <w:ind w:left="0"/>
      </w:pPr>
      <w:r>
        <w:rPr>
          <w:rFonts w:hint="eastAsia"/>
        </w:rPr>
        <w:t>废标及终止招标</w:t>
      </w:r>
    </w:p>
    <w:p w14:paraId="69ECADBB">
      <w:pPr>
        <w:pStyle w:val="29"/>
        <w:ind w:firstLine="562"/>
        <w:rPr>
          <w:rFonts w:hint="eastAsia" w:ascii="黑体" w:hAnsi="黑体" w:eastAsia="黑体"/>
          <w:b/>
          <w:bCs/>
        </w:rPr>
      </w:pPr>
      <w:r>
        <w:rPr>
          <w:rFonts w:hint="eastAsia" w:ascii="黑体" w:hAnsi="黑体" w:eastAsia="黑体"/>
          <w:b/>
          <w:bCs/>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7D1DDB7">
      <w:pPr>
        <w:pStyle w:val="29"/>
        <w:ind w:firstLine="560"/>
        <w:rPr>
          <w:rFonts w:hint="eastAsia"/>
        </w:rPr>
      </w:pPr>
      <w:r>
        <w:rPr>
          <w:rFonts w:hint="eastAsia"/>
        </w:rPr>
        <w:t>1.投标人提供的有关资格、资质证明文件不合格、不真实或提供虚假投标材料；</w:t>
      </w:r>
    </w:p>
    <w:p w14:paraId="093375D9">
      <w:pPr>
        <w:pStyle w:val="29"/>
        <w:ind w:firstLine="560"/>
        <w:rPr>
          <w:rFonts w:hint="eastAsia"/>
        </w:rPr>
      </w:pPr>
      <w:r>
        <w:rPr>
          <w:rFonts w:hint="eastAsia"/>
        </w:rPr>
        <w:t>2.投标人在报价有效期内撤回投标；</w:t>
      </w:r>
    </w:p>
    <w:p w14:paraId="163CBA6F">
      <w:pPr>
        <w:pStyle w:val="29"/>
        <w:ind w:firstLine="560"/>
        <w:rPr>
          <w:rFonts w:hint="eastAsia"/>
        </w:rPr>
      </w:pPr>
      <w:r>
        <w:rPr>
          <w:rFonts w:hint="eastAsia"/>
        </w:rPr>
        <w:t>3.在整个评标过程中，投标人有企图影响评标结果公正性的任何活动；</w:t>
      </w:r>
    </w:p>
    <w:p w14:paraId="32C8FB6F">
      <w:pPr>
        <w:pStyle w:val="29"/>
        <w:ind w:firstLine="560"/>
        <w:rPr>
          <w:rFonts w:hint="eastAsia"/>
        </w:rPr>
      </w:pPr>
      <w:r>
        <w:rPr>
          <w:rFonts w:hint="eastAsia"/>
        </w:rPr>
        <w:t>4.投标人以任何方式诋毁其他投标人；</w:t>
      </w:r>
    </w:p>
    <w:p w14:paraId="63629342">
      <w:pPr>
        <w:pStyle w:val="29"/>
        <w:ind w:firstLine="560"/>
        <w:rPr>
          <w:rFonts w:hint="eastAsia"/>
        </w:rPr>
      </w:pPr>
      <w:r>
        <w:rPr>
          <w:rFonts w:hint="eastAsia"/>
        </w:rPr>
        <w:t>5.投标人串通投标；</w:t>
      </w:r>
    </w:p>
    <w:p w14:paraId="57B8452F">
      <w:pPr>
        <w:pStyle w:val="24"/>
        <w:ind w:firstLine="560"/>
        <w:rPr>
          <w:rFonts w:hint="eastAsia"/>
        </w:rPr>
      </w:pPr>
      <w:r>
        <w:rPr>
          <w:rFonts w:hint="eastAsia"/>
        </w:rPr>
        <w:t>6.投标人被举报、检举，并经招标人查实无误的；</w:t>
      </w:r>
    </w:p>
    <w:p w14:paraId="5342FFBA">
      <w:pPr>
        <w:pStyle w:val="29"/>
        <w:ind w:firstLine="560"/>
        <w:rPr>
          <w:rFonts w:hint="eastAsia"/>
        </w:rPr>
      </w:pPr>
      <w:r>
        <w:rPr>
          <w:rFonts w:hint="eastAsia"/>
        </w:rPr>
        <w:t>7.以他人名义投标或者以其他方式弄虚作假，骗取中标的；</w:t>
      </w:r>
    </w:p>
    <w:p w14:paraId="4C5972BD">
      <w:pPr>
        <w:pStyle w:val="29"/>
        <w:ind w:firstLine="560"/>
        <w:rPr>
          <w:rFonts w:hint="eastAsia"/>
        </w:rPr>
      </w:pPr>
      <w:r>
        <w:rPr>
          <w:rFonts w:hint="eastAsia"/>
        </w:rPr>
        <w:t>8.投标人负责人为同一人或者存在控股、管理关系的不同单位；</w:t>
      </w:r>
    </w:p>
    <w:p w14:paraId="1E939348">
      <w:pPr>
        <w:pStyle w:val="24"/>
        <w:ind w:firstLine="560"/>
        <w:rPr>
          <w:rFonts w:hint="eastAsia"/>
        </w:rPr>
      </w:pPr>
      <w:r>
        <w:rPr>
          <w:rFonts w:hint="eastAsia"/>
        </w:rPr>
        <w:t>9.不同投标人的投标文件异常一致或者投标报价呈规律性差异的；</w:t>
      </w:r>
    </w:p>
    <w:p w14:paraId="1E85E3BC">
      <w:pPr>
        <w:pStyle w:val="24"/>
        <w:ind w:firstLine="560"/>
        <w:rPr>
          <w:rFonts w:hint="eastAsia"/>
        </w:rPr>
      </w:pPr>
      <w:r>
        <w:rPr>
          <w:rFonts w:hint="eastAsia"/>
        </w:rPr>
        <w:t>10.投标人报价均超过最高限价的；</w:t>
      </w:r>
    </w:p>
    <w:p w14:paraId="117E6E14">
      <w:pPr>
        <w:pStyle w:val="24"/>
        <w:ind w:firstLine="560"/>
        <w:rPr>
          <w:rFonts w:hint="eastAsia"/>
        </w:rPr>
      </w:pPr>
      <w:r>
        <w:rPr>
          <w:rFonts w:hint="eastAsia"/>
        </w:rPr>
        <w:t>11.未按要求填报商务报价资料，对招标开展造成较大影响；</w:t>
      </w:r>
    </w:p>
    <w:p w14:paraId="3A51B362">
      <w:pPr>
        <w:pStyle w:val="24"/>
        <w:ind w:firstLine="560"/>
        <w:rPr>
          <w:rFonts w:hint="eastAsia"/>
        </w:rPr>
      </w:pPr>
      <w:r>
        <w:rPr>
          <w:rFonts w:hint="eastAsia"/>
        </w:rPr>
        <w:t>12.未按照招标人规定的时间内在中国重汽e采通完成投标的；</w:t>
      </w:r>
    </w:p>
    <w:p w14:paraId="6B5B8054">
      <w:pPr>
        <w:pStyle w:val="24"/>
        <w:ind w:firstLine="560"/>
        <w:rPr>
          <w:rFonts w:hint="eastAsia"/>
        </w:rPr>
      </w:pPr>
      <w:r>
        <w:rPr>
          <w:rFonts w:hint="eastAsia"/>
        </w:rPr>
        <w:t>13.法律、法规规定的其他情况。</w:t>
      </w:r>
    </w:p>
    <w:p w14:paraId="30570C87">
      <w:pPr>
        <w:pStyle w:val="29"/>
        <w:ind w:firstLine="562"/>
        <w:rPr>
          <w:rFonts w:hint="eastAsia" w:ascii="黑体" w:hAnsi="黑体" w:eastAsia="黑体"/>
          <w:b/>
          <w:bCs/>
        </w:rPr>
      </w:pPr>
      <w:r>
        <w:rPr>
          <w:rFonts w:hint="eastAsia" w:ascii="黑体" w:hAnsi="黑体" w:eastAsia="黑体"/>
          <w:b/>
          <w:bCs/>
        </w:rPr>
        <w:t>出现下列情形之一，招标人有权否决所有投标人的投标，并终止招标。</w:t>
      </w:r>
    </w:p>
    <w:p w14:paraId="1688742F">
      <w:pPr>
        <w:pStyle w:val="29"/>
        <w:ind w:firstLine="560"/>
        <w:rPr>
          <w:rFonts w:hint="eastAsia"/>
        </w:rPr>
      </w:pPr>
      <w:r>
        <w:rPr>
          <w:rFonts w:hint="eastAsia"/>
        </w:rPr>
        <w:t>1.出现影响采购公正的违法、违规行为的；</w:t>
      </w:r>
    </w:p>
    <w:p w14:paraId="0BDDDA16">
      <w:pPr>
        <w:pStyle w:val="29"/>
        <w:ind w:firstLine="560"/>
        <w:rPr>
          <w:rFonts w:hint="eastAsia"/>
        </w:rPr>
      </w:pPr>
      <w:r>
        <w:rPr>
          <w:rFonts w:hint="eastAsia"/>
        </w:rPr>
        <w:t>2.评标委员会经评审，认为所有投标都不符合招标文件要求的；</w:t>
      </w:r>
    </w:p>
    <w:p w14:paraId="59043B82">
      <w:pPr>
        <w:pStyle w:val="29"/>
        <w:ind w:firstLine="560"/>
        <w:rPr>
          <w:rFonts w:hint="eastAsia"/>
        </w:rPr>
      </w:pPr>
      <w:r>
        <w:rPr>
          <w:rFonts w:hint="eastAsia"/>
        </w:rPr>
        <w:t>3.因重大变故，采购任务取消的；</w:t>
      </w:r>
    </w:p>
    <w:p w14:paraId="126BC8F0">
      <w:pPr>
        <w:pStyle w:val="29"/>
        <w:ind w:firstLine="560"/>
        <w:rPr>
          <w:rFonts w:hint="eastAsia"/>
        </w:rPr>
      </w:pPr>
      <w:r>
        <w:rPr>
          <w:rFonts w:hint="eastAsia"/>
        </w:rPr>
        <w:t>4.招标人认为其他应终止招标的情形。</w:t>
      </w:r>
    </w:p>
    <w:p w14:paraId="4C086971">
      <w:pPr>
        <w:pStyle w:val="29"/>
        <w:ind w:firstLine="562"/>
        <w:rPr>
          <w:rFonts w:hint="eastAsia" w:ascii="黑体" w:hAnsi="黑体" w:eastAsia="黑体"/>
          <w:b/>
          <w:bCs/>
        </w:rPr>
      </w:pPr>
      <w:r>
        <w:rPr>
          <w:rFonts w:hint="eastAsia" w:ascii="黑体" w:hAnsi="黑体" w:eastAsia="黑体"/>
          <w:b/>
          <w:bCs/>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9C1EE1D">
      <w:pPr>
        <w:pStyle w:val="73"/>
        <w:numPr>
          <w:ilvl w:val="0"/>
          <w:numId w:val="12"/>
        </w:numPr>
        <w:spacing w:before="312" w:beforeLines="100" w:after="156" w:afterLines="50" w:line="480" w:lineRule="exact"/>
        <w:ind w:left="0" w:firstLine="0"/>
      </w:pPr>
      <w:r>
        <w:rPr>
          <w:rFonts w:hint="eastAsia"/>
        </w:rPr>
        <w:t>本次招标最终解释权归中国重汽集团济南动力有限公司。</w:t>
      </w:r>
      <w:r>
        <w:rPr>
          <w:rFonts w:hint="eastAsia"/>
        </w:rPr>
        <w:br w:type="page"/>
      </w:r>
    </w:p>
    <w:p w14:paraId="1FD8B51D">
      <w:pPr>
        <w:pStyle w:val="72"/>
      </w:pPr>
      <w:bookmarkStart w:id="7" w:name="_Toc234510335"/>
      <w:r>
        <w:rPr>
          <w:rFonts w:hint="eastAsia"/>
        </w:rPr>
        <w:t>第五章  投标文件附件</w:t>
      </w:r>
      <w:bookmarkEnd w:id="7"/>
    </w:p>
    <w:p w14:paraId="57A8E6A3">
      <w:pPr>
        <w:pStyle w:val="73"/>
        <w:numPr>
          <w:ilvl w:val="0"/>
          <w:numId w:val="0"/>
        </w:numPr>
        <w:rPr>
          <w:rFonts w:hint="eastAsia" w:ascii="宋体" w:hAnsi="宋体" w:eastAsia="宋体" w:cs="宋体"/>
          <w:sz w:val="32"/>
          <w:szCs w:val="32"/>
          <w:highlight w:val="yellow"/>
        </w:rPr>
      </w:pPr>
      <w:r>
        <w:rPr>
          <w:rFonts w:hint="eastAsia" w:ascii="宋体" w:hAnsi="宋体" w:eastAsia="宋体" w:cs="宋体"/>
          <w:sz w:val="32"/>
          <w:szCs w:val="32"/>
        </w:rPr>
        <w:t>附件1 法定代表人授权委托书</w:t>
      </w:r>
    </w:p>
    <w:p w14:paraId="05A4D189">
      <w:pPr>
        <w:spacing w:line="360" w:lineRule="auto"/>
        <w:ind w:firstLine="0" w:firstLineChars="0"/>
        <w:jc w:val="center"/>
        <w:rPr>
          <w:rFonts w:hint="eastAsia" w:ascii="宋体" w:hAnsi="宋体" w:cs="宋体"/>
          <w:b/>
          <w:bCs/>
          <w:color w:val="000000"/>
          <w:sz w:val="32"/>
          <w:szCs w:val="32"/>
        </w:rPr>
      </w:pPr>
      <w:r>
        <w:rPr>
          <w:rFonts w:hint="eastAsia" w:ascii="宋体" w:hAnsi="宋体" w:cs="宋体"/>
          <w:b/>
          <w:bCs/>
          <w:color w:val="000000"/>
          <w:sz w:val="32"/>
          <w:szCs w:val="32"/>
        </w:rPr>
        <w:t>法定代表人授权委托书</w:t>
      </w:r>
    </w:p>
    <w:p w14:paraId="1F0731D7">
      <w:pPr>
        <w:spacing w:line="360" w:lineRule="auto"/>
        <w:ind w:firstLine="480"/>
        <w:rPr>
          <w:rFonts w:hint="eastAsia"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XXXX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20FBA01">
      <w:pPr>
        <w:spacing w:line="360" w:lineRule="auto"/>
        <w:ind w:firstLine="480"/>
        <w:rPr>
          <w:rFonts w:hint="eastAsia" w:ascii="宋体" w:hAnsi="宋体"/>
          <w:color w:val="000000"/>
          <w:sz w:val="24"/>
          <w:szCs w:val="24"/>
        </w:rPr>
      </w:pPr>
      <w:r>
        <w:rPr>
          <w:rFonts w:hint="eastAsia" w:ascii="宋体" w:hAnsi="宋体"/>
          <w:color w:val="000000"/>
          <w:sz w:val="24"/>
          <w:szCs w:val="24"/>
        </w:rPr>
        <w:t>全权代表无转委权。特此委托。</w:t>
      </w:r>
    </w:p>
    <w:tbl>
      <w:tblPr>
        <w:tblStyle w:val="30"/>
        <w:tblW w:w="5000"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9286"/>
      </w:tblGrid>
      <w:tr w14:paraId="362C123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5000" w:type="pct"/>
            <w:tcBorders>
              <w:top w:val="single" w:color="auto" w:sz="4" w:space="0"/>
              <w:bottom w:val="single" w:color="auto" w:sz="4" w:space="0"/>
            </w:tcBorders>
            <w:vAlign w:val="center"/>
          </w:tcPr>
          <w:p w14:paraId="605F9B58">
            <w:pPr>
              <w:adjustRightInd w:val="0"/>
              <w:snapToGrid w:val="0"/>
              <w:spacing w:before="93" w:beforeLines="30" w:line="312" w:lineRule="auto"/>
              <w:ind w:firstLine="0" w:firstLineChars="0"/>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4ED756DC">
            <w:pPr>
              <w:adjustRightInd w:val="0"/>
              <w:snapToGrid w:val="0"/>
              <w:spacing w:before="93" w:beforeLines="30" w:line="312" w:lineRule="auto"/>
              <w:ind w:firstLine="0" w:firstLineChars="0"/>
              <w:jc w:val="center"/>
              <w:rPr>
                <w:rFonts w:ascii="宋体" w:hAnsi="Calibri"/>
                <w:sz w:val="24"/>
              </w:rPr>
            </w:pPr>
            <w:r>
              <w:rPr>
                <w:rFonts w:hint="eastAsia" w:ascii="宋体" w:hAnsi="宋体"/>
                <w:sz w:val="24"/>
              </w:rPr>
              <w:t>附授权代理人身份证明复印件（正反面）</w:t>
            </w:r>
          </w:p>
        </w:tc>
      </w:tr>
    </w:tbl>
    <w:p w14:paraId="53C4593E">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2EA08A5F">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5FE93919">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11406514">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6E726071">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34EAC763">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2DEFF004">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8D79521">
      <w:pPr>
        <w:spacing w:line="460" w:lineRule="exact"/>
        <w:ind w:firstLine="5520" w:firstLineChars="2300"/>
        <w:rPr>
          <w:rFonts w:ascii="宋体" w:hAnsi="Calibri"/>
          <w:sz w:val="24"/>
          <w:u w:val="single"/>
        </w:rPr>
      </w:pPr>
    </w:p>
    <w:p w14:paraId="3180FE5D">
      <w:pPr>
        <w:ind w:firstLine="562"/>
        <w:rPr>
          <w:rFonts w:ascii="Calibri" w:hAnsi="Calibri" w:eastAsia="黑体"/>
          <w:b/>
          <w:bCs/>
          <w:color w:val="000000"/>
        </w:rPr>
      </w:pPr>
    </w:p>
    <w:p w14:paraId="3CAAF46D">
      <w:pPr>
        <w:pStyle w:val="2"/>
        <w:ind w:firstLine="562"/>
        <w:rPr>
          <w:rFonts w:ascii="Calibri" w:hAnsi="Calibri" w:eastAsia="黑体"/>
          <w:b/>
          <w:bCs/>
          <w:color w:val="000000"/>
        </w:rPr>
        <w:sectPr>
          <w:pgSz w:w="11906" w:h="16838"/>
          <w:pgMar w:top="1588" w:right="1418" w:bottom="1134" w:left="1418" w:header="851" w:footer="992" w:gutter="0"/>
          <w:cols w:space="720" w:num="1"/>
          <w:titlePg/>
          <w:docGrid w:type="lines" w:linePitch="312" w:charSpace="0"/>
        </w:sectPr>
      </w:pPr>
    </w:p>
    <w:p w14:paraId="056FCDBF">
      <w:pPr>
        <w:pStyle w:val="73"/>
        <w:numPr>
          <w:ilvl w:val="0"/>
          <w:numId w:val="0"/>
        </w:numPr>
        <w:rPr>
          <w:rFonts w:hint="eastAsia" w:ascii="宋体" w:hAnsi="宋体" w:eastAsia="宋体" w:cs="宋体"/>
          <w:sz w:val="32"/>
          <w:szCs w:val="32"/>
        </w:rPr>
      </w:pPr>
      <w:r>
        <w:rPr>
          <w:rFonts w:hint="eastAsia" w:ascii="宋体" w:hAnsi="宋体" w:eastAsia="宋体" w:cs="宋体"/>
          <w:sz w:val="32"/>
          <w:szCs w:val="32"/>
        </w:rPr>
        <w:t>附件2 保密承诺函</w:t>
      </w:r>
    </w:p>
    <w:p w14:paraId="2D34CB31">
      <w:pPr>
        <w:spacing w:line="360" w:lineRule="auto"/>
        <w:ind w:firstLine="643"/>
        <w:jc w:val="center"/>
        <w:rPr>
          <w:rFonts w:hint="eastAsia" w:ascii="宋体" w:hAnsi="宋体" w:cs="宋体"/>
          <w:b/>
          <w:bCs/>
          <w:color w:val="000000"/>
          <w:sz w:val="32"/>
          <w:szCs w:val="32"/>
        </w:rPr>
      </w:pPr>
      <w:r>
        <w:rPr>
          <w:rFonts w:hint="eastAsia" w:ascii="宋体" w:hAnsi="宋体" w:cs="宋体"/>
          <w:b/>
          <w:bCs/>
          <w:color w:val="000000"/>
          <w:sz w:val="32"/>
          <w:szCs w:val="32"/>
        </w:rPr>
        <w:t>保密承诺函</w:t>
      </w:r>
    </w:p>
    <w:p w14:paraId="5D63D01F">
      <w:pPr>
        <w:spacing w:line="240" w:lineRule="exact"/>
        <w:ind w:firstLine="723"/>
        <w:jc w:val="center"/>
        <w:rPr>
          <w:rFonts w:ascii="宋体" w:hAnsi="Calibri"/>
          <w:b/>
          <w:bCs/>
          <w:sz w:val="36"/>
        </w:rPr>
      </w:pPr>
    </w:p>
    <w:p w14:paraId="59340D60">
      <w:pPr>
        <w:spacing w:line="360" w:lineRule="auto"/>
        <w:ind w:firstLine="0" w:firstLineChars="0"/>
        <w:rPr>
          <w:rFonts w:hint="eastAsia" w:ascii="宋体" w:hAnsi="宋体" w:cs="宋体"/>
          <w:b/>
          <w:bCs/>
          <w:sz w:val="24"/>
          <w:szCs w:val="24"/>
          <w:u w:val="single"/>
        </w:rPr>
      </w:pPr>
      <w:r>
        <w:rPr>
          <w:rFonts w:hint="eastAsia" w:ascii="宋体" w:hAnsi="宋体"/>
          <w:sz w:val="24"/>
        </w:rPr>
        <w:t>项目名称：</w:t>
      </w:r>
      <w:r>
        <w:rPr>
          <w:rFonts w:hint="eastAsia" w:ascii="宋体" w:hAnsi="宋体"/>
          <w:color w:val="000000"/>
          <w:sz w:val="24"/>
          <w:szCs w:val="24"/>
        </w:rPr>
        <w:t>2026年汉诺威车展车模与动画制作项目</w:t>
      </w:r>
    </w:p>
    <w:p w14:paraId="3CF20D18">
      <w:pPr>
        <w:spacing w:line="360" w:lineRule="auto"/>
        <w:ind w:firstLine="0" w:firstLineChars="0"/>
        <w:rPr>
          <w:rFonts w:ascii="宋体" w:hAnsi="Calibri"/>
          <w:b/>
          <w:bCs/>
          <w:sz w:val="24"/>
        </w:rPr>
      </w:pPr>
      <w:r>
        <w:rPr>
          <w:rFonts w:hint="eastAsia" w:ascii="宋体" w:hAnsi="宋体"/>
          <w:b/>
          <w:bCs/>
          <w:sz w:val="24"/>
        </w:rPr>
        <w:t>XXXXX：</w:t>
      </w:r>
    </w:p>
    <w:p w14:paraId="2CED16CE">
      <w:pPr>
        <w:spacing w:line="360" w:lineRule="auto"/>
        <w:ind w:firstLine="0" w:firstLineChars="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1E90A272">
      <w:pPr>
        <w:spacing w:line="360" w:lineRule="auto"/>
        <w:ind w:firstLine="0" w:firstLineChars="0"/>
        <w:rPr>
          <w:rFonts w:hint="eastAsia"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2DB4BF70">
      <w:pPr>
        <w:spacing w:line="360" w:lineRule="auto"/>
        <w:ind w:firstLine="0" w:firstLineChars="0"/>
        <w:rPr>
          <w:rFonts w:hint="eastAsia" w:ascii="宋体" w:hAnsi="宋体"/>
          <w:sz w:val="24"/>
          <w:u w:val="single"/>
        </w:rPr>
      </w:pPr>
      <w:r>
        <w:rPr>
          <w:rFonts w:ascii="宋体" w:hAnsi="宋体"/>
          <w:sz w:val="24"/>
          <w:u w:val="single"/>
        </w:rPr>
        <w:t xml:space="preserve">                                                                       </w:t>
      </w:r>
    </w:p>
    <w:p w14:paraId="0A21053B">
      <w:pPr>
        <w:spacing w:line="360" w:lineRule="auto"/>
        <w:ind w:firstLine="0" w:firstLineChars="0"/>
        <w:rPr>
          <w:rFonts w:hint="eastAsia" w:ascii="宋体" w:hAnsi="宋体"/>
          <w:sz w:val="24"/>
          <w:u w:val="single"/>
        </w:rPr>
      </w:pPr>
      <w:r>
        <w:rPr>
          <w:rFonts w:ascii="宋体" w:hAnsi="宋体"/>
          <w:sz w:val="24"/>
          <w:u w:val="single"/>
        </w:rPr>
        <w:t xml:space="preserve">                                                                       </w:t>
      </w:r>
    </w:p>
    <w:p w14:paraId="2FD25E3C">
      <w:pPr>
        <w:spacing w:line="360" w:lineRule="auto"/>
        <w:ind w:firstLine="0" w:firstLineChars="0"/>
        <w:rPr>
          <w:rFonts w:hint="eastAsia" w:ascii="宋体" w:hAnsi="宋体"/>
          <w:sz w:val="24"/>
          <w:u w:val="single"/>
        </w:rPr>
      </w:pPr>
      <w:r>
        <w:rPr>
          <w:rFonts w:ascii="宋体" w:hAnsi="宋体"/>
          <w:sz w:val="24"/>
          <w:u w:val="single"/>
        </w:rPr>
        <w:t xml:space="preserve">                                                                       </w:t>
      </w:r>
    </w:p>
    <w:p w14:paraId="3475E74F">
      <w:pPr>
        <w:spacing w:line="360" w:lineRule="auto"/>
        <w:ind w:firstLine="0" w:firstLineChars="0"/>
        <w:rPr>
          <w:rFonts w:hint="eastAsia" w:ascii="宋体" w:hAnsi="宋体"/>
          <w:sz w:val="24"/>
          <w:u w:val="single"/>
        </w:rPr>
      </w:pPr>
      <w:r>
        <w:rPr>
          <w:rFonts w:ascii="宋体" w:hAnsi="宋体"/>
          <w:sz w:val="24"/>
          <w:u w:val="single"/>
        </w:rPr>
        <w:t xml:space="preserve">                                                                       </w:t>
      </w:r>
    </w:p>
    <w:p w14:paraId="2A378E6D">
      <w:pPr>
        <w:spacing w:line="360" w:lineRule="auto"/>
        <w:ind w:firstLine="0" w:firstLineChars="0"/>
        <w:rPr>
          <w:rFonts w:hint="eastAsia" w:ascii="宋体" w:hAnsi="宋体"/>
          <w:sz w:val="24"/>
          <w:u w:val="single"/>
        </w:rPr>
      </w:pPr>
      <w:r>
        <w:rPr>
          <w:rFonts w:ascii="宋体" w:hAnsi="宋体"/>
          <w:sz w:val="24"/>
          <w:u w:val="single"/>
        </w:rPr>
        <w:t xml:space="preserve">                                                                       </w:t>
      </w:r>
    </w:p>
    <w:p w14:paraId="305FC570">
      <w:pPr>
        <w:spacing w:line="360" w:lineRule="auto"/>
        <w:ind w:firstLine="0" w:firstLineChars="0"/>
        <w:rPr>
          <w:rFonts w:hint="eastAsia" w:ascii="宋体" w:hAnsi="宋体"/>
          <w:sz w:val="24"/>
          <w:u w:val="single"/>
        </w:rPr>
      </w:pPr>
    </w:p>
    <w:p w14:paraId="65262B5B">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投标人：（盖章）</w:t>
      </w:r>
    </w:p>
    <w:p w14:paraId="045A41D1">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法定代表人（委托代理人）：（签字）</w:t>
      </w:r>
    </w:p>
    <w:p w14:paraId="159B96CA">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0CF48F24">
      <w:pPr>
        <w:ind w:firstLine="640"/>
        <w:rPr>
          <w:rFonts w:hint="eastAsia" w:ascii="宋体" w:hAnsi="宋体" w:cs="宋体"/>
          <w:sz w:val="32"/>
          <w:szCs w:val="32"/>
        </w:rPr>
      </w:pPr>
      <w:r>
        <w:rPr>
          <w:rFonts w:hint="eastAsia" w:ascii="宋体" w:hAnsi="宋体" w:cs="宋体"/>
          <w:sz w:val="32"/>
          <w:szCs w:val="32"/>
        </w:rPr>
        <w:br w:type="page"/>
      </w:r>
    </w:p>
    <w:p w14:paraId="1D23FDB2">
      <w:pPr>
        <w:pStyle w:val="73"/>
        <w:numPr>
          <w:ilvl w:val="0"/>
          <w:numId w:val="0"/>
        </w:numPr>
        <w:rPr>
          <w:rFonts w:hint="eastAsia" w:ascii="宋体" w:hAnsi="宋体" w:eastAsia="宋体" w:cs="宋体"/>
          <w:sz w:val="32"/>
          <w:szCs w:val="32"/>
        </w:rPr>
      </w:pPr>
      <w:r>
        <w:rPr>
          <w:rFonts w:ascii="宋体" w:hAnsi="宋体" w:eastAsia="宋体" w:cs="宋体"/>
          <w:sz w:val="32"/>
          <w:szCs w:val="32"/>
        </w:rPr>
        <w:t>附件</w:t>
      </w:r>
      <w:r>
        <w:rPr>
          <w:rFonts w:hint="eastAsia" w:ascii="宋体" w:hAnsi="宋体" w:eastAsia="宋体" w:cs="宋体"/>
          <w:sz w:val="32"/>
          <w:szCs w:val="32"/>
        </w:rPr>
        <w:t>3</w:t>
      </w:r>
      <w:r>
        <w:rPr>
          <w:rFonts w:ascii="宋体" w:hAnsi="宋体" w:eastAsia="宋体" w:cs="宋体"/>
          <w:sz w:val="32"/>
          <w:szCs w:val="32"/>
        </w:rPr>
        <w:t xml:space="preserve"> 技术规格偏离表</w:t>
      </w:r>
    </w:p>
    <w:p w14:paraId="08C85030">
      <w:pPr>
        <w:spacing w:line="360" w:lineRule="auto"/>
        <w:ind w:firstLine="0" w:firstLineChars="0"/>
        <w:rPr>
          <w:rFonts w:hint="eastAsia"/>
          <w:color w:val="000000"/>
          <w:sz w:val="24"/>
          <w:szCs w:val="24"/>
        </w:rPr>
      </w:pPr>
      <w:r>
        <w:rPr>
          <w:color w:val="000000"/>
          <w:sz w:val="24"/>
          <w:szCs w:val="24"/>
        </w:rPr>
        <w:t>项目名称：</w:t>
      </w:r>
      <w:r>
        <w:rPr>
          <w:rFonts w:hint="eastAsia" w:ascii="宋体" w:hAnsi="宋体"/>
          <w:color w:val="000000"/>
          <w:sz w:val="24"/>
          <w:szCs w:val="24"/>
        </w:rPr>
        <w:t>2026年汉诺威车展车模与动画制作项目</w:t>
      </w:r>
      <w:r>
        <w:rPr>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230"/>
        <w:gridCol w:w="2633"/>
        <w:gridCol w:w="1608"/>
      </w:tblGrid>
      <w:tr w14:paraId="0482A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7B8EF99">
            <w:pPr>
              <w:ind w:firstLine="0" w:firstLineChars="0"/>
              <w:rPr>
                <w:rFonts w:hint="eastAsia"/>
                <w:b/>
              </w:rPr>
            </w:pPr>
            <w:r>
              <w:rPr>
                <w:b/>
              </w:rPr>
              <w:t>序号</w:t>
            </w:r>
          </w:p>
        </w:tc>
        <w:tc>
          <w:tcPr>
            <w:tcW w:w="3230" w:type="dxa"/>
            <w:vAlign w:val="center"/>
          </w:tcPr>
          <w:p w14:paraId="5CCC6FDC">
            <w:pPr>
              <w:ind w:firstLine="0" w:firstLineChars="0"/>
              <w:rPr>
                <w:rFonts w:hint="eastAsia"/>
                <w:b/>
              </w:rPr>
            </w:pPr>
            <w:r>
              <w:rPr>
                <w:b/>
              </w:rPr>
              <w:t>招标要求</w:t>
            </w:r>
          </w:p>
        </w:tc>
        <w:tc>
          <w:tcPr>
            <w:tcW w:w="2633" w:type="dxa"/>
            <w:vAlign w:val="center"/>
          </w:tcPr>
          <w:p w14:paraId="29EC3C5D">
            <w:pPr>
              <w:ind w:firstLine="0" w:firstLineChars="0"/>
              <w:rPr>
                <w:rFonts w:hint="eastAsia"/>
                <w:b/>
              </w:rPr>
            </w:pPr>
            <w:r>
              <w:rPr>
                <w:b/>
              </w:rPr>
              <w:t>响应规格</w:t>
            </w:r>
          </w:p>
        </w:tc>
        <w:tc>
          <w:tcPr>
            <w:tcW w:w="1608" w:type="dxa"/>
            <w:vAlign w:val="center"/>
          </w:tcPr>
          <w:p w14:paraId="66D495C6">
            <w:pPr>
              <w:ind w:firstLine="0" w:firstLineChars="0"/>
              <w:rPr>
                <w:rFonts w:hint="eastAsia"/>
                <w:b/>
              </w:rPr>
            </w:pPr>
            <w:r>
              <w:rPr>
                <w:b/>
              </w:rPr>
              <w:t>是否偏离</w:t>
            </w:r>
          </w:p>
        </w:tc>
      </w:tr>
      <w:tr w14:paraId="22712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421FB48">
            <w:pPr>
              <w:ind w:firstLine="0" w:firstLineChars="0"/>
              <w:rPr>
                <w:rFonts w:hint="eastAsia"/>
                <w:b/>
                <w:sz w:val="24"/>
              </w:rPr>
            </w:pPr>
          </w:p>
        </w:tc>
        <w:tc>
          <w:tcPr>
            <w:tcW w:w="3230" w:type="dxa"/>
          </w:tcPr>
          <w:p w14:paraId="46B1C821">
            <w:pPr>
              <w:ind w:firstLine="0" w:firstLineChars="0"/>
              <w:rPr>
                <w:rFonts w:hint="eastAsia"/>
                <w:b/>
                <w:sz w:val="24"/>
              </w:rPr>
            </w:pPr>
          </w:p>
        </w:tc>
        <w:tc>
          <w:tcPr>
            <w:tcW w:w="2633" w:type="dxa"/>
          </w:tcPr>
          <w:p w14:paraId="2D578510">
            <w:pPr>
              <w:ind w:firstLine="0" w:firstLineChars="0"/>
              <w:rPr>
                <w:rFonts w:hint="eastAsia"/>
                <w:b/>
                <w:sz w:val="24"/>
              </w:rPr>
            </w:pPr>
          </w:p>
        </w:tc>
        <w:tc>
          <w:tcPr>
            <w:tcW w:w="1608" w:type="dxa"/>
          </w:tcPr>
          <w:p w14:paraId="11987FF2">
            <w:pPr>
              <w:ind w:firstLine="0" w:firstLineChars="0"/>
              <w:rPr>
                <w:rFonts w:hint="eastAsia"/>
                <w:b/>
                <w:sz w:val="24"/>
              </w:rPr>
            </w:pPr>
          </w:p>
        </w:tc>
      </w:tr>
      <w:tr w14:paraId="5CF07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9AC2D60">
            <w:pPr>
              <w:ind w:firstLine="0" w:firstLineChars="0"/>
              <w:rPr>
                <w:rFonts w:hint="eastAsia"/>
                <w:b/>
                <w:sz w:val="24"/>
              </w:rPr>
            </w:pPr>
          </w:p>
        </w:tc>
        <w:tc>
          <w:tcPr>
            <w:tcW w:w="3230" w:type="dxa"/>
          </w:tcPr>
          <w:p w14:paraId="0D55A9A6">
            <w:pPr>
              <w:ind w:firstLine="0" w:firstLineChars="0"/>
              <w:rPr>
                <w:rFonts w:hint="eastAsia"/>
                <w:b/>
                <w:sz w:val="24"/>
              </w:rPr>
            </w:pPr>
          </w:p>
        </w:tc>
        <w:tc>
          <w:tcPr>
            <w:tcW w:w="2633" w:type="dxa"/>
          </w:tcPr>
          <w:p w14:paraId="2A59FCC1">
            <w:pPr>
              <w:ind w:firstLine="0" w:firstLineChars="0"/>
              <w:rPr>
                <w:rFonts w:hint="eastAsia"/>
                <w:b/>
                <w:sz w:val="24"/>
              </w:rPr>
            </w:pPr>
          </w:p>
        </w:tc>
        <w:tc>
          <w:tcPr>
            <w:tcW w:w="1608" w:type="dxa"/>
          </w:tcPr>
          <w:p w14:paraId="59423B79">
            <w:pPr>
              <w:ind w:firstLine="0" w:firstLineChars="0"/>
              <w:rPr>
                <w:rFonts w:hint="eastAsia"/>
                <w:b/>
                <w:sz w:val="24"/>
              </w:rPr>
            </w:pPr>
          </w:p>
        </w:tc>
      </w:tr>
      <w:tr w14:paraId="0D563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FEFF242">
            <w:pPr>
              <w:ind w:firstLine="0" w:firstLineChars="0"/>
              <w:rPr>
                <w:rFonts w:hint="eastAsia"/>
                <w:b/>
                <w:sz w:val="24"/>
              </w:rPr>
            </w:pPr>
          </w:p>
        </w:tc>
        <w:tc>
          <w:tcPr>
            <w:tcW w:w="3230" w:type="dxa"/>
          </w:tcPr>
          <w:p w14:paraId="032D788A">
            <w:pPr>
              <w:ind w:firstLine="0" w:firstLineChars="0"/>
              <w:rPr>
                <w:rFonts w:hint="eastAsia"/>
                <w:b/>
                <w:sz w:val="24"/>
              </w:rPr>
            </w:pPr>
          </w:p>
        </w:tc>
        <w:tc>
          <w:tcPr>
            <w:tcW w:w="2633" w:type="dxa"/>
          </w:tcPr>
          <w:p w14:paraId="02760035">
            <w:pPr>
              <w:ind w:firstLine="0" w:firstLineChars="0"/>
              <w:rPr>
                <w:rFonts w:hint="eastAsia"/>
                <w:b/>
                <w:sz w:val="24"/>
              </w:rPr>
            </w:pPr>
          </w:p>
        </w:tc>
        <w:tc>
          <w:tcPr>
            <w:tcW w:w="1608" w:type="dxa"/>
          </w:tcPr>
          <w:p w14:paraId="03F29BF8">
            <w:pPr>
              <w:ind w:firstLine="0" w:firstLineChars="0"/>
              <w:rPr>
                <w:rFonts w:hint="eastAsia"/>
                <w:b/>
                <w:sz w:val="24"/>
              </w:rPr>
            </w:pPr>
          </w:p>
        </w:tc>
      </w:tr>
      <w:tr w14:paraId="3C35A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EBED7CC">
            <w:pPr>
              <w:ind w:firstLine="0" w:firstLineChars="0"/>
              <w:rPr>
                <w:rFonts w:hint="eastAsia"/>
                <w:b/>
                <w:sz w:val="24"/>
              </w:rPr>
            </w:pPr>
          </w:p>
        </w:tc>
        <w:tc>
          <w:tcPr>
            <w:tcW w:w="3230" w:type="dxa"/>
          </w:tcPr>
          <w:p w14:paraId="3A697959">
            <w:pPr>
              <w:ind w:firstLine="0" w:firstLineChars="0"/>
              <w:rPr>
                <w:rFonts w:hint="eastAsia"/>
                <w:b/>
                <w:sz w:val="24"/>
              </w:rPr>
            </w:pPr>
          </w:p>
        </w:tc>
        <w:tc>
          <w:tcPr>
            <w:tcW w:w="2633" w:type="dxa"/>
          </w:tcPr>
          <w:p w14:paraId="7B613162">
            <w:pPr>
              <w:ind w:firstLine="0" w:firstLineChars="0"/>
              <w:rPr>
                <w:rFonts w:hint="eastAsia"/>
                <w:b/>
                <w:sz w:val="24"/>
              </w:rPr>
            </w:pPr>
          </w:p>
        </w:tc>
        <w:tc>
          <w:tcPr>
            <w:tcW w:w="1608" w:type="dxa"/>
          </w:tcPr>
          <w:p w14:paraId="5AB06593">
            <w:pPr>
              <w:ind w:firstLine="0" w:firstLineChars="0"/>
              <w:rPr>
                <w:rFonts w:hint="eastAsia"/>
                <w:b/>
                <w:sz w:val="24"/>
              </w:rPr>
            </w:pPr>
          </w:p>
        </w:tc>
      </w:tr>
      <w:tr w14:paraId="170B7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0FB4661">
            <w:pPr>
              <w:ind w:firstLine="0" w:firstLineChars="0"/>
              <w:rPr>
                <w:rFonts w:hint="eastAsia"/>
                <w:b/>
                <w:sz w:val="24"/>
              </w:rPr>
            </w:pPr>
          </w:p>
        </w:tc>
        <w:tc>
          <w:tcPr>
            <w:tcW w:w="3230" w:type="dxa"/>
          </w:tcPr>
          <w:p w14:paraId="72C7E6A7">
            <w:pPr>
              <w:ind w:firstLine="0" w:firstLineChars="0"/>
              <w:rPr>
                <w:rFonts w:hint="eastAsia"/>
                <w:b/>
                <w:sz w:val="24"/>
              </w:rPr>
            </w:pPr>
          </w:p>
        </w:tc>
        <w:tc>
          <w:tcPr>
            <w:tcW w:w="2633" w:type="dxa"/>
          </w:tcPr>
          <w:p w14:paraId="79E898C3">
            <w:pPr>
              <w:ind w:firstLine="0" w:firstLineChars="0"/>
              <w:rPr>
                <w:rFonts w:hint="eastAsia"/>
                <w:b/>
                <w:sz w:val="24"/>
              </w:rPr>
            </w:pPr>
          </w:p>
        </w:tc>
        <w:tc>
          <w:tcPr>
            <w:tcW w:w="1608" w:type="dxa"/>
          </w:tcPr>
          <w:p w14:paraId="6B397A08">
            <w:pPr>
              <w:ind w:firstLine="0" w:firstLineChars="0"/>
              <w:rPr>
                <w:rFonts w:hint="eastAsia"/>
                <w:b/>
                <w:sz w:val="24"/>
              </w:rPr>
            </w:pPr>
          </w:p>
        </w:tc>
      </w:tr>
      <w:tr w14:paraId="4FC30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D9CF056">
            <w:pPr>
              <w:ind w:firstLine="0" w:firstLineChars="0"/>
              <w:rPr>
                <w:rFonts w:hint="eastAsia"/>
                <w:b/>
                <w:sz w:val="24"/>
              </w:rPr>
            </w:pPr>
          </w:p>
        </w:tc>
        <w:tc>
          <w:tcPr>
            <w:tcW w:w="3230" w:type="dxa"/>
          </w:tcPr>
          <w:p w14:paraId="78BCEAE8">
            <w:pPr>
              <w:ind w:firstLine="0" w:firstLineChars="0"/>
              <w:rPr>
                <w:rFonts w:hint="eastAsia"/>
                <w:b/>
                <w:sz w:val="24"/>
              </w:rPr>
            </w:pPr>
          </w:p>
        </w:tc>
        <w:tc>
          <w:tcPr>
            <w:tcW w:w="2633" w:type="dxa"/>
          </w:tcPr>
          <w:p w14:paraId="028CB40E">
            <w:pPr>
              <w:ind w:firstLine="0" w:firstLineChars="0"/>
              <w:rPr>
                <w:rFonts w:hint="eastAsia"/>
                <w:b/>
                <w:sz w:val="24"/>
              </w:rPr>
            </w:pPr>
          </w:p>
        </w:tc>
        <w:tc>
          <w:tcPr>
            <w:tcW w:w="1608" w:type="dxa"/>
          </w:tcPr>
          <w:p w14:paraId="6AE4349B">
            <w:pPr>
              <w:ind w:firstLine="0" w:firstLineChars="0"/>
              <w:rPr>
                <w:rFonts w:hint="eastAsia"/>
                <w:b/>
                <w:sz w:val="24"/>
              </w:rPr>
            </w:pPr>
          </w:p>
        </w:tc>
      </w:tr>
      <w:tr w14:paraId="6E446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236B1D">
            <w:pPr>
              <w:ind w:firstLine="0" w:firstLineChars="0"/>
              <w:rPr>
                <w:rFonts w:hint="eastAsia"/>
                <w:b/>
                <w:sz w:val="24"/>
              </w:rPr>
            </w:pPr>
          </w:p>
        </w:tc>
        <w:tc>
          <w:tcPr>
            <w:tcW w:w="3230" w:type="dxa"/>
          </w:tcPr>
          <w:p w14:paraId="2ED0F188">
            <w:pPr>
              <w:ind w:firstLine="0" w:firstLineChars="0"/>
              <w:rPr>
                <w:rFonts w:hint="eastAsia"/>
                <w:b/>
                <w:sz w:val="24"/>
              </w:rPr>
            </w:pPr>
          </w:p>
        </w:tc>
        <w:tc>
          <w:tcPr>
            <w:tcW w:w="2633" w:type="dxa"/>
          </w:tcPr>
          <w:p w14:paraId="20CEB883">
            <w:pPr>
              <w:ind w:firstLine="0" w:firstLineChars="0"/>
              <w:rPr>
                <w:rFonts w:hint="eastAsia"/>
                <w:b/>
                <w:sz w:val="24"/>
              </w:rPr>
            </w:pPr>
          </w:p>
        </w:tc>
        <w:tc>
          <w:tcPr>
            <w:tcW w:w="1608" w:type="dxa"/>
          </w:tcPr>
          <w:p w14:paraId="358945B8">
            <w:pPr>
              <w:ind w:firstLine="0" w:firstLineChars="0"/>
              <w:rPr>
                <w:rFonts w:hint="eastAsia"/>
                <w:b/>
                <w:sz w:val="24"/>
              </w:rPr>
            </w:pPr>
          </w:p>
        </w:tc>
      </w:tr>
      <w:tr w14:paraId="04EED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1FB9240">
            <w:pPr>
              <w:ind w:firstLine="0" w:firstLineChars="0"/>
              <w:rPr>
                <w:rFonts w:hint="eastAsia"/>
                <w:b/>
                <w:sz w:val="24"/>
              </w:rPr>
            </w:pPr>
          </w:p>
        </w:tc>
        <w:tc>
          <w:tcPr>
            <w:tcW w:w="3230" w:type="dxa"/>
          </w:tcPr>
          <w:p w14:paraId="3B2677CB">
            <w:pPr>
              <w:ind w:firstLine="0" w:firstLineChars="0"/>
              <w:rPr>
                <w:rFonts w:hint="eastAsia"/>
                <w:b/>
                <w:sz w:val="24"/>
              </w:rPr>
            </w:pPr>
          </w:p>
        </w:tc>
        <w:tc>
          <w:tcPr>
            <w:tcW w:w="2633" w:type="dxa"/>
          </w:tcPr>
          <w:p w14:paraId="4DCE78B8">
            <w:pPr>
              <w:ind w:firstLine="0" w:firstLineChars="0"/>
              <w:rPr>
                <w:rFonts w:hint="eastAsia"/>
                <w:b/>
                <w:sz w:val="24"/>
              </w:rPr>
            </w:pPr>
          </w:p>
        </w:tc>
        <w:tc>
          <w:tcPr>
            <w:tcW w:w="1608" w:type="dxa"/>
          </w:tcPr>
          <w:p w14:paraId="04F9F9BF">
            <w:pPr>
              <w:ind w:firstLine="0" w:firstLineChars="0"/>
              <w:rPr>
                <w:rFonts w:hint="eastAsia"/>
                <w:b/>
                <w:sz w:val="24"/>
              </w:rPr>
            </w:pPr>
          </w:p>
        </w:tc>
      </w:tr>
      <w:tr w14:paraId="7D23F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00093D">
            <w:pPr>
              <w:ind w:firstLine="0" w:firstLineChars="0"/>
              <w:rPr>
                <w:rFonts w:hint="eastAsia"/>
                <w:b/>
                <w:sz w:val="24"/>
              </w:rPr>
            </w:pPr>
          </w:p>
        </w:tc>
        <w:tc>
          <w:tcPr>
            <w:tcW w:w="3230" w:type="dxa"/>
          </w:tcPr>
          <w:p w14:paraId="716F4D69">
            <w:pPr>
              <w:ind w:firstLine="0" w:firstLineChars="0"/>
              <w:rPr>
                <w:rFonts w:hint="eastAsia"/>
                <w:b/>
                <w:sz w:val="24"/>
              </w:rPr>
            </w:pPr>
          </w:p>
        </w:tc>
        <w:tc>
          <w:tcPr>
            <w:tcW w:w="2633" w:type="dxa"/>
          </w:tcPr>
          <w:p w14:paraId="55F9B6B2">
            <w:pPr>
              <w:ind w:firstLine="0" w:firstLineChars="0"/>
              <w:rPr>
                <w:rFonts w:hint="eastAsia"/>
                <w:b/>
                <w:sz w:val="24"/>
              </w:rPr>
            </w:pPr>
          </w:p>
        </w:tc>
        <w:tc>
          <w:tcPr>
            <w:tcW w:w="1608" w:type="dxa"/>
          </w:tcPr>
          <w:p w14:paraId="67E2A6C0">
            <w:pPr>
              <w:ind w:firstLine="0" w:firstLineChars="0"/>
              <w:rPr>
                <w:rFonts w:hint="eastAsia"/>
                <w:b/>
                <w:sz w:val="24"/>
              </w:rPr>
            </w:pPr>
          </w:p>
        </w:tc>
      </w:tr>
      <w:tr w14:paraId="29637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7BA5BE0">
            <w:pPr>
              <w:ind w:firstLine="0" w:firstLineChars="0"/>
              <w:rPr>
                <w:rFonts w:hint="eastAsia"/>
                <w:b/>
                <w:sz w:val="24"/>
              </w:rPr>
            </w:pPr>
          </w:p>
        </w:tc>
        <w:tc>
          <w:tcPr>
            <w:tcW w:w="3230" w:type="dxa"/>
          </w:tcPr>
          <w:p w14:paraId="7363A046">
            <w:pPr>
              <w:ind w:firstLine="0" w:firstLineChars="0"/>
              <w:rPr>
                <w:rFonts w:hint="eastAsia"/>
                <w:b/>
                <w:sz w:val="24"/>
              </w:rPr>
            </w:pPr>
          </w:p>
        </w:tc>
        <w:tc>
          <w:tcPr>
            <w:tcW w:w="2633" w:type="dxa"/>
          </w:tcPr>
          <w:p w14:paraId="50089FF4">
            <w:pPr>
              <w:ind w:firstLine="0" w:firstLineChars="0"/>
              <w:rPr>
                <w:rFonts w:hint="eastAsia"/>
                <w:b/>
                <w:sz w:val="24"/>
              </w:rPr>
            </w:pPr>
          </w:p>
        </w:tc>
        <w:tc>
          <w:tcPr>
            <w:tcW w:w="1608" w:type="dxa"/>
          </w:tcPr>
          <w:p w14:paraId="75ED3DA9">
            <w:pPr>
              <w:ind w:firstLine="0" w:firstLineChars="0"/>
              <w:rPr>
                <w:rFonts w:hint="eastAsia"/>
                <w:b/>
                <w:sz w:val="24"/>
              </w:rPr>
            </w:pPr>
          </w:p>
        </w:tc>
      </w:tr>
      <w:tr w14:paraId="709E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8CF69FB">
            <w:pPr>
              <w:ind w:firstLine="0" w:firstLineChars="0"/>
              <w:rPr>
                <w:rFonts w:hint="eastAsia"/>
                <w:b/>
                <w:sz w:val="24"/>
              </w:rPr>
            </w:pPr>
          </w:p>
        </w:tc>
        <w:tc>
          <w:tcPr>
            <w:tcW w:w="3230" w:type="dxa"/>
          </w:tcPr>
          <w:p w14:paraId="7821A28A">
            <w:pPr>
              <w:ind w:firstLine="0" w:firstLineChars="0"/>
              <w:rPr>
                <w:rFonts w:hint="eastAsia"/>
                <w:b/>
                <w:sz w:val="24"/>
              </w:rPr>
            </w:pPr>
          </w:p>
        </w:tc>
        <w:tc>
          <w:tcPr>
            <w:tcW w:w="2633" w:type="dxa"/>
          </w:tcPr>
          <w:p w14:paraId="3D65789A">
            <w:pPr>
              <w:ind w:firstLine="0" w:firstLineChars="0"/>
              <w:rPr>
                <w:rFonts w:hint="eastAsia"/>
                <w:b/>
                <w:sz w:val="24"/>
              </w:rPr>
            </w:pPr>
          </w:p>
        </w:tc>
        <w:tc>
          <w:tcPr>
            <w:tcW w:w="1608" w:type="dxa"/>
          </w:tcPr>
          <w:p w14:paraId="78D07825">
            <w:pPr>
              <w:ind w:firstLine="0" w:firstLineChars="0"/>
              <w:rPr>
                <w:rFonts w:hint="eastAsia"/>
                <w:b/>
                <w:sz w:val="24"/>
              </w:rPr>
            </w:pPr>
          </w:p>
        </w:tc>
      </w:tr>
      <w:tr w14:paraId="03256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C3AB496">
            <w:pPr>
              <w:ind w:firstLine="0" w:firstLineChars="0"/>
              <w:rPr>
                <w:rFonts w:hint="eastAsia"/>
                <w:b/>
                <w:sz w:val="24"/>
              </w:rPr>
            </w:pPr>
          </w:p>
        </w:tc>
        <w:tc>
          <w:tcPr>
            <w:tcW w:w="3230" w:type="dxa"/>
          </w:tcPr>
          <w:p w14:paraId="732EDBB2">
            <w:pPr>
              <w:ind w:firstLine="0" w:firstLineChars="0"/>
              <w:rPr>
                <w:rFonts w:hint="eastAsia"/>
                <w:b/>
                <w:sz w:val="24"/>
              </w:rPr>
            </w:pPr>
          </w:p>
        </w:tc>
        <w:tc>
          <w:tcPr>
            <w:tcW w:w="2633" w:type="dxa"/>
          </w:tcPr>
          <w:p w14:paraId="67AF2995">
            <w:pPr>
              <w:ind w:firstLine="0" w:firstLineChars="0"/>
              <w:rPr>
                <w:rFonts w:hint="eastAsia"/>
                <w:b/>
                <w:sz w:val="24"/>
              </w:rPr>
            </w:pPr>
          </w:p>
        </w:tc>
        <w:tc>
          <w:tcPr>
            <w:tcW w:w="1608" w:type="dxa"/>
          </w:tcPr>
          <w:p w14:paraId="45DB24F3">
            <w:pPr>
              <w:ind w:firstLine="0" w:firstLineChars="0"/>
              <w:rPr>
                <w:rFonts w:hint="eastAsia"/>
                <w:b/>
                <w:sz w:val="24"/>
              </w:rPr>
            </w:pPr>
          </w:p>
        </w:tc>
      </w:tr>
      <w:tr w14:paraId="1A5E8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CE2CF5A">
            <w:pPr>
              <w:ind w:firstLine="0" w:firstLineChars="0"/>
              <w:rPr>
                <w:rFonts w:hint="eastAsia"/>
                <w:b/>
                <w:sz w:val="24"/>
              </w:rPr>
            </w:pPr>
          </w:p>
        </w:tc>
        <w:tc>
          <w:tcPr>
            <w:tcW w:w="3230" w:type="dxa"/>
          </w:tcPr>
          <w:p w14:paraId="34398B1C">
            <w:pPr>
              <w:ind w:firstLine="0" w:firstLineChars="0"/>
              <w:rPr>
                <w:rFonts w:hint="eastAsia"/>
                <w:b/>
                <w:sz w:val="24"/>
              </w:rPr>
            </w:pPr>
          </w:p>
        </w:tc>
        <w:tc>
          <w:tcPr>
            <w:tcW w:w="2633" w:type="dxa"/>
          </w:tcPr>
          <w:p w14:paraId="1E9A92BB">
            <w:pPr>
              <w:ind w:firstLine="0" w:firstLineChars="0"/>
              <w:rPr>
                <w:rFonts w:hint="eastAsia"/>
                <w:b/>
                <w:sz w:val="24"/>
              </w:rPr>
            </w:pPr>
          </w:p>
        </w:tc>
        <w:tc>
          <w:tcPr>
            <w:tcW w:w="1608" w:type="dxa"/>
          </w:tcPr>
          <w:p w14:paraId="2AFBD671">
            <w:pPr>
              <w:ind w:firstLine="0" w:firstLineChars="0"/>
              <w:rPr>
                <w:rFonts w:hint="eastAsia"/>
                <w:b/>
                <w:sz w:val="24"/>
              </w:rPr>
            </w:pPr>
          </w:p>
        </w:tc>
      </w:tr>
      <w:tr w14:paraId="3D521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6F98F8B">
            <w:pPr>
              <w:ind w:firstLine="0" w:firstLineChars="0"/>
              <w:rPr>
                <w:rFonts w:hint="eastAsia"/>
                <w:b/>
                <w:sz w:val="24"/>
              </w:rPr>
            </w:pPr>
          </w:p>
        </w:tc>
        <w:tc>
          <w:tcPr>
            <w:tcW w:w="3230" w:type="dxa"/>
          </w:tcPr>
          <w:p w14:paraId="1F04A828">
            <w:pPr>
              <w:ind w:firstLine="0" w:firstLineChars="0"/>
              <w:rPr>
                <w:rFonts w:hint="eastAsia"/>
                <w:b/>
                <w:sz w:val="24"/>
              </w:rPr>
            </w:pPr>
          </w:p>
        </w:tc>
        <w:tc>
          <w:tcPr>
            <w:tcW w:w="2633" w:type="dxa"/>
          </w:tcPr>
          <w:p w14:paraId="10B3C626">
            <w:pPr>
              <w:ind w:firstLine="0" w:firstLineChars="0"/>
              <w:rPr>
                <w:rFonts w:hint="eastAsia"/>
                <w:b/>
                <w:sz w:val="24"/>
              </w:rPr>
            </w:pPr>
          </w:p>
        </w:tc>
        <w:tc>
          <w:tcPr>
            <w:tcW w:w="1608" w:type="dxa"/>
          </w:tcPr>
          <w:p w14:paraId="5BC55B72">
            <w:pPr>
              <w:ind w:firstLine="0" w:firstLineChars="0"/>
              <w:rPr>
                <w:rFonts w:hint="eastAsia"/>
                <w:b/>
                <w:sz w:val="24"/>
              </w:rPr>
            </w:pPr>
          </w:p>
        </w:tc>
      </w:tr>
    </w:tbl>
    <w:p w14:paraId="10F22E7E">
      <w:pPr>
        <w:spacing w:line="660" w:lineRule="exact"/>
        <w:ind w:firstLine="0" w:firstLineChars="0"/>
        <w:rPr>
          <w:rFonts w:hint="eastAsia"/>
          <w:sz w:val="24"/>
        </w:rPr>
      </w:pPr>
      <w:r>
        <w:rPr>
          <w:sz w:val="24"/>
        </w:rPr>
        <w:t>投标人：（盖章）</w:t>
      </w:r>
    </w:p>
    <w:p w14:paraId="35EE421C">
      <w:pPr>
        <w:ind w:firstLine="0" w:firstLineChars="0"/>
        <w:rPr>
          <w:rFonts w:hint="eastAsia" w:ascii="宋体" w:hAnsi="宋体" w:cs="宋体"/>
          <w:sz w:val="32"/>
          <w:szCs w:val="32"/>
        </w:rPr>
      </w:pPr>
      <w:r>
        <w:rPr>
          <w:sz w:val="24"/>
        </w:rPr>
        <w:t>法定代表人（委托代理人）：（签字）</w:t>
      </w:r>
      <w:r>
        <w:rPr>
          <w:rFonts w:hint="eastAsia" w:ascii="宋体" w:hAnsi="宋体" w:cs="宋体"/>
          <w:sz w:val="32"/>
          <w:szCs w:val="32"/>
        </w:rPr>
        <w:br w:type="page"/>
      </w:r>
    </w:p>
    <w:p w14:paraId="106AF7B4">
      <w:pPr>
        <w:pStyle w:val="73"/>
        <w:numPr>
          <w:ilvl w:val="0"/>
          <w:numId w:val="0"/>
        </w:numPr>
        <w:rPr>
          <w:rFonts w:hint="eastAsia" w:ascii="宋体" w:hAnsi="宋体" w:eastAsia="宋体" w:cs="宋体"/>
          <w:sz w:val="32"/>
          <w:szCs w:val="32"/>
        </w:rPr>
      </w:pPr>
      <w:r>
        <w:rPr>
          <w:rFonts w:hint="eastAsia" w:ascii="宋体" w:hAnsi="宋体" w:eastAsia="宋体" w:cs="宋体"/>
          <w:sz w:val="32"/>
          <w:szCs w:val="32"/>
        </w:rPr>
        <w:t>附件4 开标一览表</w:t>
      </w:r>
    </w:p>
    <w:p w14:paraId="72AD6B76">
      <w:pPr>
        <w:spacing w:line="360" w:lineRule="auto"/>
        <w:ind w:firstLine="643"/>
        <w:jc w:val="center"/>
        <w:rPr>
          <w:rFonts w:hint="eastAsia" w:ascii="宋体" w:hAnsi="宋体" w:cs="宋体"/>
          <w:b/>
          <w:bCs/>
          <w:color w:val="000000"/>
          <w:sz w:val="32"/>
          <w:szCs w:val="32"/>
        </w:rPr>
      </w:pPr>
      <w:r>
        <w:rPr>
          <w:rFonts w:hint="eastAsia" w:ascii="宋体" w:hAnsi="宋体" w:cs="宋体"/>
          <w:b/>
          <w:bCs/>
          <w:color w:val="000000"/>
          <w:sz w:val="32"/>
          <w:szCs w:val="32"/>
        </w:rPr>
        <w:t>开标一览表</w:t>
      </w:r>
    </w:p>
    <w:p w14:paraId="02007B1E">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项目名称：2026年汉诺威车展车模与动画制作项目</w:t>
      </w:r>
      <w:r>
        <w:rPr>
          <w:rFonts w:ascii="宋体" w:hAnsi="宋体"/>
          <w:color w:val="000000"/>
          <w:sz w:val="24"/>
          <w:szCs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972"/>
        <w:gridCol w:w="656"/>
        <w:gridCol w:w="2641"/>
        <w:gridCol w:w="885"/>
        <w:gridCol w:w="1871"/>
        <w:gridCol w:w="1605"/>
      </w:tblGrid>
      <w:tr w14:paraId="6C04A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677FDB14">
            <w:pPr>
              <w:ind w:firstLine="0" w:firstLineChars="0"/>
              <w:jc w:val="center"/>
              <w:rPr>
                <w:rFonts w:hint="eastAsia"/>
                <w:b/>
              </w:rPr>
            </w:pPr>
            <w:r>
              <w:rPr>
                <w:rFonts w:hint="eastAsia"/>
                <w:b/>
              </w:rPr>
              <w:t>序号</w:t>
            </w:r>
          </w:p>
        </w:tc>
        <w:tc>
          <w:tcPr>
            <w:tcW w:w="0" w:type="auto"/>
            <w:vAlign w:val="center"/>
          </w:tcPr>
          <w:p w14:paraId="2F047C6A">
            <w:pPr>
              <w:ind w:firstLine="0" w:firstLineChars="0"/>
              <w:jc w:val="center"/>
              <w:rPr>
                <w:rFonts w:hint="eastAsia"/>
                <w:b/>
              </w:rPr>
            </w:pPr>
            <w:r>
              <w:rPr>
                <w:rFonts w:hint="eastAsia"/>
                <w:b/>
              </w:rPr>
              <w:t>服务名称</w:t>
            </w:r>
          </w:p>
        </w:tc>
        <w:tc>
          <w:tcPr>
            <w:tcW w:w="0" w:type="auto"/>
            <w:vAlign w:val="center"/>
          </w:tcPr>
          <w:p w14:paraId="5A25B96F">
            <w:pPr>
              <w:ind w:firstLine="0" w:firstLineChars="0"/>
              <w:jc w:val="center"/>
              <w:rPr>
                <w:rFonts w:hint="eastAsia"/>
                <w:b/>
              </w:rPr>
            </w:pPr>
            <w:r>
              <w:rPr>
                <w:rFonts w:hint="eastAsia"/>
                <w:b/>
              </w:rPr>
              <w:t>数量</w:t>
            </w:r>
          </w:p>
        </w:tc>
        <w:tc>
          <w:tcPr>
            <w:tcW w:w="0" w:type="auto"/>
            <w:vAlign w:val="center"/>
          </w:tcPr>
          <w:p w14:paraId="7447C9BD">
            <w:pPr>
              <w:ind w:firstLine="0" w:firstLineChars="0"/>
              <w:jc w:val="center"/>
              <w:rPr>
                <w:rFonts w:hint="eastAsia"/>
                <w:b/>
              </w:rPr>
            </w:pPr>
            <w:r>
              <w:rPr>
                <w:rFonts w:hint="eastAsia"/>
                <w:b/>
              </w:rPr>
              <w:t>投标总价</w:t>
            </w:r>
            <w:r>
              <w:rPr>
                <w:rFonts w:hint="eastAsia" w:ascii="等线" w:hAnsi="等线" w:eastAsia="等线"/>
                <w:b/>
              </w:rPr>
              <w:t>（元）</w:t>
            </w:r>
          </w:p>
        </w:tc>
        <w:tc>
          <w:tcPr>
            <w:tcW w:w="885" w:type="dxa"/>
            <w:vAlign w:val="center"/>
          </w:tcPr>
          <w:p w14:paraId="01133F84">
            <w:pPr>
              <w:ind w:firstLine="0" w:firstLineChars="0"/>
              <w:jc w:val="center"/>
              <w:rPr>
                <w:rFonts w:hint="eastAsia"/>
                <w:b/>
              </w:rPr>
            </w:pPr>
            <w:r>
              <w:rPr>
                <w:rFonts w:hint="eastAsia"/>
                <w:b/>
              </w:rPr>
              <w:t>质保期</w:t>
            </w:r>
          </w:p>
        </w:tc>
        <w:tc>
          <w:tcPr>
            <w:tcW w:w="1871" w:type="dxa"/>
            <w:vAlign w:val="center"/>
          </w:tcPr>
          <w:p w14:paraId="5A785523">
            <w:pPr>
              <w:ind w:firstLine="0" w:firstLineChars="0"/>
              <w:jc w:val="center"/>
              <w:rPr>
                <w:rFonts w:hint="eastAsia"/>
                <w:b/>
              </w:rPr>
            </w:pPr>
            <w:r>
              <w:rPr>
                <w:rFonts w:hint="eastAsia"/>
                <w:b/>
              </w:rPr>
              <w:t>付款方式及比例如何响应</w:t>
            </w:r>
          </w:p>
        </w:tc>
        <w:tc>
          <w:tcPr>
            <w:tcW w:w="0" w:type="auto"/>
            <w:vAlign w:val="center"/>
          </w:tcPr>
          <w:p w14:paraId="556703AB">
            <w:pPr>
              <w:ind w:firstLine="0" w:firstLineChars="0"/>
              <w:jc w:val="center"/>
              <w:rPr>
                <w:rFonts w:hint="eastAsia" w:ascii="等线" w:hAnsi="等线" w:eastAsia="等线"/>
                <w:b/>
              </w:rPr>
            </w:pPr>
            <w:r>
              <w:rPr>
                <w:rFonts w:hint="eastAsia"/>
                <w:b/>
              </w:rPr>
              <w:t>商务条款是否偏离</w:t>
            </w:r>
          </w:p>
        </w:tc>
      </w:tr>
      <w:tr w14:paraId="23ED2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14:paraId="09B7F6D3">
            <w:pPr>
              <w:ind w:firstLine="0" w:firstLineChars="0"/>
              <w:jc w:val="center"/>
              <w:rPr>
                <w:rFonts w:hint="eastAsia"/>
                <w:b/>
                <w:sz w:val="24"/>
                <w:szCs w:val="18"/>
              </w:rPr>
            </w:pPr>
          </w:p>
        </w:tc>
        <w:tc>
          <w:tcPr>
            <w:tcW w:w="0" w:type="auto"/>
            <w:vAlign w:val="center"/>
          </w:tcPr>
          <w:p w14:paraId="7184A017">
            <w:pPr>
              <w:ind w:firstLine="0" w:firstLineChars="0"/>
              <w:jc w:val="center"/>
              <w:rPr>
                <w:rFonts w:hint="eastAsia"/>
                <w:b/>
                <w:sz w:val="24"/>
                <w:szCs w:val="18"/>
              </w:rPr>
            </w:pPr>
          </w:p>
        </w:tc>
        <w:tc>
          <w:tcPr>
            <w:tcW w:w="0" w:type="auto"/>
            <w:vAlign w:val="center"/>
          </w:tcPr>
          <w:p w14:paraId="07FE8F57">
            <w:pPr>
              <w:ind w:firstLine="0" w:firstLineChars="0"/>
              <w:jc w:val="center"/>
              <w:rPr>
                <w:rFonts w:hint="eastAsia"/>
                <w:b/>
                <w:sz w:val="24"/>
                <w:szCs w:val="18"/>
              </w:rPr>
            </w:pPr>
          </w:p>
        </w:tc>
        <w:tc>
          <w:tcPr>
            <w:tcW w:w="0" w:type="auto"/>
            <w:vAlign w:val="center"/>
          </w:tcPr>
          <w:p w14:paraId="4BCDAF2F">
            <w:pPr>
              <w:ind w:firstLine="0" w:firstLineChars="0"/>
              <w:jc w:val="left"/>
              <w:rPr>
                <w:rFonts w:hint="eastAsia" w:hAnsi="等线"/>
                <w:b/>
                <w:sz w:val="24"/>
                <w:szCs w:val="18"/>
              </w:rPr>
            </w:pPr>
            <w:r>
              <w:rPr>
                <w:rFonts w:hint="eastAsia" w:hAnsi="等线"/>
                <w:b/>
                <w:sz w:val="24"/>
                <w:szCs w:val="18"/>
              </w:rPr>
              <w:t>不含税价：</w:t>
            </w:r>
          </w:p>
          <w:p w14:paraId="2CC668DB">
            <w:pPr>
              <w:ind w:firstLine="0" w:firstLineChars="0"/>
              <w:jc w:val="left"/>
              <w:rPr>
                <w:rFonts w:hint="eastAsia" w:hAnsi="等线"/>
                <w:b/>
                <w:sz w:val="24"/>
                <w:szCs w:val="18"/>
              </w:rPr>
            </w:pPr>
            <w:r>
              <w:rPr>
                <w:rFonts w:hint="eastAsia" w:hAnsi="等线"/>
                <w:b/>
                <w:sz w:val="24"/>
                <w:szCs w:val="18"/>
              </w:rPr>
              <w:t>含税价格：</w:t>
            </w:r>
            <w:r>
              <w:rPr>
                <w:rFonts w:hint="eastAsia" w:hAnsi="等线"/>
                <w:b/>
                <w:sz w:val="24"/>
                <w:szCs w:val="18"/>
                <w:u w:val="single"/>
              </w:rPr>
              <w:t xml:space="preserve">    （大写：    ）</w:t>
            </w:r>
          </w:p>
          <w:p w14:paraId="52B157AC">
            <w:pPr>
              <w:ind w:firstLine="0" w:firstLineChars="0"/>
              <w:jc w:val="left"/>
              <w:rPr>
                <w:rFonts w:hint="eastAsia"/>
                <w:b/>
                <w:sz w:val="24"/>
                <w:szCs w:val="18"/>
              </w:rPr>
            </w:pPr>
            <w:r>
              <w:rPr>
                <w:rFonts w:hint="eastAsia" w:hAnsi="等线"/>
                <w:b/>
                <w:sz w:val="24"/>
                <w:szCs w:val="18"/>
              </w:rPr>
              <w:t>税率：</w:t>
            </w:r>
          </w:p>
        </w:tc>
        <w:tc>
          <w:tcPr>
            <w:tcW w:w="885" w:type="dxa"/>
            <w:vAlign w:val="center"/>
          </w:tcPr>
          <w:p w14:paraId="787D5193">
            <w:pPr>
              <w:ind w:firstLine="0" w:firstLineChars="0"/>
              <w:jc w:val="center"/>
              <w:rPr>
                <w:rFonts w:hint="eastAsia"/>
                <w:b/>
                <w:sz w:val="24"/>
                <w:szCs w:val="18"/>
              </w:rPr>
            </w:pPr>
          </w:p>
        </w:tc>
        <w:tc>
          <w:tcPr>
            <w:tcW w:w="1871" w:type="dxa"/>
            <w:vAlign w:val="center"/>
          </w:tcPr>
          <w:p w14:paraId="7AAF6A69">
            <w:pPr>
              <w:ind w:firstLine="0" w:firstLineChars="0"/>
              <w:jc w:val="center"/>
              <w:rPr>
                <w:rFonts w:hint="eastAsia"/>
                <w:b/>
                <w:sz w:val="24"/>
                <w:szCs w:val="18"/>
              </w:rPr>
            </w:pPr>
          </w:p>
        </w:tc>
        <w:tc>
          <w:tcPr>
            <w:tcW w:w="0" w:type="auto"/>
            <w:vAlign w:val="center"/>
          </w:tcPr>
          <w:p w14:paraId="369241A5">
            <w:pPr>
              <w:ind w:firstLine="0" w:firstLineChars="0"/>
              <w:jc w:val="center"/>
              <w:rPr>
                <w:rFonts w:hint="eastAsia"/>
                <w:b/>
                <w:sz w:val="24"/>
                <w:szCs w:val="18"/>
              </w:rPr>
            </w:pPr>
          </w:p>
        </w:tc>
      </w:tr>
    </w:tbl>
    <w:p w14:paraId="5C3348D0">
      <w:pPr>
        <w:ind w:firstLine="480"/>
        <w:rPr>
          <w:rFonts w:ascii="宋体" w:hAnsi="Arial"/>
          <w:sz w:val="24"/>
          <w:szCs w:val="24"/>
        </w:rPr>
      </w:pPr>
    </w:p>
    <w:p w14:paraId="367D2E27">
      <w:pPr>
        <w:spacing w:line="400" w:lineRule="exact"/>
        <w:ind w:firstLine="562"/>
        <w:rPr>
          <w:rFonts w:ascii="宋体" w:hAnsi="Calibri"/>
          <w:szCs w:val="21"/>
        </w:rPr>
      </w:pPr>
      <w:r>
        <w:rPr>
          <w:rFonts w:hint="eastAsia" w:ascii="宋体" w:hAnsi="宋体"/>
          <w:b/>
          <w:bCs/>
          <w:szCs w:val="21"/>
        </w:rPr>
        <w:t>注：</w:t>
      </w:r>
    </w:p>
    <w:p w14:paraId="7B6058CB">
      <w:pPr>
        <w:spacing w:line="520" w:lineRule="exact"/>
        <w:ind w:firstLine="562"/>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3A3B60A7">
      <w:pPr>
        <w:spacing w:line="300" w:lineRule="auto"/>
        <w:ind w:firstLine="562"/>
        <w:rPr>
          <w:rFonts w:hint="eastAsia" w:ascii="宋体" w:hAnsi="宋体" w:cs="宋体"/>
          <w:b/>
        </w:rPr>
      </w:pPr>
      <w:r>
        <w:rPr>
          <w:rFonts w:hint="eastAsia" w:ascii="宋体" w:hAnsi="宋体" w:cs="宋体"/>
          <w:b/>
        </w:rPr>
        <w:t>2.需写明含税价、不含税价格、税率。</w:t>
      </w:r>
    </w:p>
    <w:p w14:paraId="12F7B8B8">
      <w:pPr>
        <w:spacing w:line="300" w:lineRule="auto"/>
        <w:ind w:firstLine="562"/>
        <w:rPr>
          <w:rFonts w:hint="eastAsia" w:ascii="宋体" w:hAnsi="宋体" w:cs="宋体"/>
          <w:b/>
        </w:rPr>
      </w:pPr>
      <w:r>
        <w:rPr>
          <w:rFonts w:hint="eastAsia" w:ascii="宋体" w:hAnsi="宋体" w:cs="宋体"/>
          <w:b/>
        </w:rPr>
        <w:t>3.投标总价包括设计制作、包装运输费等技术服务费、增值税和其它税费。</w:t>
      </w:r>
    </w:p>
    <w:p w14:paraId="44761A59">
      <w:pPr>
        <w:spacing w:line="660" w:lineRule="exact"/>
        <w:ind w:firstLine="480"/>
        <w:jc w:val="center"/>
        <w:rPr>
          <w:rFonts w:ascii="宋体" w:hAnsi="Calibri"/>
          <w:sz w:val="24"/>
        </w:rPr>
      </w:pPr>
      <w:r>
        <w:rPr>
          <w:rFonts w:hint="eastAsia" w:ascii="宋体" w:hAnsi="宋体"/>
          <w:sz w:val="24"/>
        </w:rPr>
        <w:t xml:space="preserve">                        投标人：（盖章）</w:t>
      </w:r>
    </w:p>
    <w:p w14:paraId="01DDA852">
      <w:pPr>
        <w:spacing w:line="660" w:lineRule="exact"/>
        <w:ind w:firstLine="480"/>
        <w:jc w:val="right"/>
        <w:rPr>
          <w:rFonts w:ascii="宋体" w:hAnsi="Calibri"/>
          <w:sz w:val="24"/>
        </w:rPr>
      </w:pPr>
      <w:r>
        <w:rPr>
          <w:rFonts w:hint="eastAsia" w:ascii="宋体" w:hAnsi="宋体"/>
          <w:sz w:val="24"/>
        </w:rPr>
        <w:t>法定代表人（委托代理人）：（签字）</w:t>
      </w:r>
    </w:p>
    <w:p w14:paraId="2F8EF90E">
      <w:pPr>
        <w:spacing w:line="660" w:lineRule="exact"/>
        <w:ind w:firstLine="480"/>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AF54876">
      <w:pPr>
        <w:pStyle w:val="77"/>
        <w:ind w:firstLine="560"/>
        <w:rPr>
          <w:rFonts w:hint="eastAsia" w:hAnsi="宋体" w:cs="宋体"/>
          <w:sz w:val="32"/>
          <w:szCs w:val="32"/>
        </w:rPr>
      </w:pPr>
      <w:r>
        <w:t xml:space="preserve"> </w:t>
      </w:r>
      <w:r>
        <w:rPr>
          <w:rFonts w:hint="eastAsia" w:hAnsi="宋体" w:cs="宋体"/>
          <w:sz w:val="32"/>
          <w:szCs w:val="32"/>
        </w:rPr>
        <w:br w:type="page"/>
      </w:r>
    </w:p>
    <w:p w14:paraId="4EE98E17">
      <w:pPr>
        <w:pStyle w:val="73"/>
        <w:numPr>
          <w:ilvl w:val="0"/>
          <w:numId w:val="0"/>
        </w:numPr>
        <w:rPr>
          <w:rFonts w:hint="eastAsia" w:ascii="宋体" w:hAnsi="宋体" w:eastAsia="宋体" w:cs="宋体"/>
          <w:sz w:val="32"/>
          <w:szCs w:val="32"/>
        </w:rPr>
      </w:pPr>
      <w:r>
        <w:rPr>
          <w:rFonts w:hint="eastAsia" w:ascii="宋体" w:hAnsi="宋体" w:eastAsia="宋体" w:cs="宋体"/>
          <w:sz w:val="32"/>
          <w:szCs w:val="32"/>
        </w:rPr>
        <w:t>附件5 投标函</w:t>
      </w:r>
    </w:p>
    <w:p w14:paraId="70FCDD2C">
      <w:pPr>
        <w:spacing w:line="360" w:lineRule="auto"/>
        <w:ind w:firstLine="0" w:firstLineChars="0"/>
        <w:jc w:val="center"/>
        <w:rPr>
          <w:rFonts w:hint="eastAsia" w:ascii="宋体" w:hAnsi="宋体" w:cs="宋体"/>
          <w:b/>
          <w:bCs/>
          <w:color w:val="000000"/>
          <w:sz w:val="32"/>
          <w:szCs w:val="32"/>
        </w:rPr>
      </w:pPr>
      <w:r>
        <w:rPr>
          <w:rFonts w:hint="eastAsia" w:ascii="宋体" w:hAnsi="宋体" w:cs="宋体"/>
          <w:b/>
          <w:bCs/>
          <w:color w:val="000000"/>
          <w:sz w:val="32"/>
          <w:szCs w:val="32"/>
        </w:rPr>
        <w:t>投标函</w:t>
      </w:r>
    </w:p>
    <w:p w14:paraId="2FBDD281">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致：XXXXX：</w:t>
      </w:r>
    </w:p>
    <w:p w14:paraId="20415989">
      <w:pPr>
        <w:spacing w:line="360" w:lineRule="auto"/>
        <w:ind w:firstLine="480"/>
        <w:rPr>
          <w:rFonts w:hint="eastAsia"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2026年汉诺威车展车模与动画制作项目</w:t>
      </w:r>
      <w:r>
        <w:rPr>
          <w:rFonts w:hint="eastAsia" w:ascii="宋体" w:hAnsi="宋体"/>
          <w:bCs/>
          <w:snapToGrid w:val="0"/>
          <w:color w:val="000000"/>
          <w:kern w:val="0"/>
          <w:sz w:val="24"/>
          <w:szCs w:val="24"/>
        </w:rPr>
        <w:t>招标公告及招标文件</w:t>
      </w:r>
      <w:r>
        <w:rPr>
          <w:rFonts w:hint="eastAsia" w:ascii="宋体" w:hAnsi="宋体"/>
          <w:color w:val="000000"/>
          <w:sz w:val="24"/>
          <w:szCs w:val="24"/>
        </w:rPr>
        <w:t>，</w:t>
      </w:r>
      <w:r>
        <w:rPr>
          <w:rFonts w:hint="eastAsia" w:ascii="宋体" w:hAnsi="宋体"/>
          <w:color w:val="000000"/>
          <w:sz w:val="24"/>
          <w:szCs w:val="24"/>
          <w:u w:val="single"/>
        </w:rPr>
        <w:t xml:space="preserve">     </w:t>
      </w:r>
      <w:r>
        <w:rPr>
          <w:rFonts w:hint="eastAsia" w:ascii="宋体" w:hAnsi="宋体"/>
          <w:color w:val="000000"/>
          <w:sz w:val="24"/>
          <w:szCs w:val="24"/>
        </w:rPr>
        <w:t>投标公司，法人代表人为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提交电子版投标文件两</w:t>
      </w:r>
      <w:r>
        <w:rPr>
          <w:color w:val="000000"/>
          <w:sz w:val="24"/>
          <w:szCs w:val="24"/>
        </w:rPr>
        <w:t>份</w:t>
      </w:r>
      <w:r>
        <w:rPr>
          <w:rFonts w:hint="eastAsia" w:ascii="宋体" w:hAnsi="宋体"/>
          <w:color w:val="000000"/>
          <w:sz w:val="24"/>
          <w:szCs w:val="24"/>
        </w:rPr>
        <w:t>：资质证明文件、商务文件和技术文件。</w:t>
      </w:r>
    </w:p>
    <w:p w14:paraId="061498DE">
      <w:pPr>
        <w:spacing w:line="360" w:lineRule="auto"/>
        <w:ind w:firstLine="480"/>
        <w:rPr>
          <w:rFonts w:hint="eastAsia" w:ascii="宋体" w:hAnsi="宋体"/>
          <w:color w:val="000000"/>
          <w:sz w:val="24"/>
          <w:szCs w:val="24"/>
        </w:rPr>
      </w:pPr>
      <w:r>
        <w:rPr>
          <w:rFonts w:hint="eastAsia" w:ascii="宋体" w:hAnsi="宋体"/>
          <w:color w:val="000000"/>
          <w:sz w:val="24"/>
          <w:szCs w:val="24"/>
        </w:rPr>
        <w:t>据此函，签字代表宣布同意如下：</w:t>
      </w:r>
    </w:p>
    <w:p w14:paraId="5F3923AF">
      <w:pPr>
        <w:spacing w:line="360" w:lineRule="auto"/>
        <w:ind w:firstLine="480"/>
        <w:rPr>
          <w:rFonts w:hint="eastAsia"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E1AE2C4">
      <w:pPr>
        <w:spacing w:line="360" w:lineRule="auto"/>
        <w:ind w:firstLine="480"/>
        <w:rPr>
          <w:rFonts w:hint="eastAsia"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587A4C26">
      <w:pPr>
        <w:spacing w:line="360" w:lineRule="auto"/>
        <w:ind w:firstLine="480"/>
        <w:rPr>
          <w:rFonts w:hint="eastAsia"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.本投标有效期自开标日起90个日历日。</w:t>
      </w:r>
    </w:p>
    <w:p w14:paraId="66C82A90">
      <w:pPr>
        <w:spacing w:line="360" w:lineRule="auto"/>
        <w:ind w:firstLine="480"/>
        <w:rPr>
          <w:rFonts w:hint="eastAsia"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2815D192">
      <w:pPr>
        <w:spacing w:line="360" w:lineRule="auto"/>
        <w:ind w:firstLine="480"/>
        <w:rPr>
          <w:rFonts w:hint="eastAsia"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6815A029">
      <w:pPr>
        <w:spacing w:line="360" w:lineRule="auto"/>
        <w:ind w:firstLine="480"/>
        <w:rPr>
          <w:rFonts w:hint="eastAsia"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20AE21BC">
      <w:pPr>
        <w:spacing w:line="360" w:lineRule="auto"/>
        <w:ind w:firstLine="480"/>
        <w:rPr>
          <w:rFonts w:hint="eastAsia"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5350DECB">
      <w:pPr>
        <w:spacing w:line="360" w:lineRule="auto"/>
        <w:ind w:firstLine="480"/>
        <w:rPr>
          <w:rFonts w:hint="eastAsia"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6080061C">
      <w:pPr>
        <w:spacing w:line="360" w:lineRule="auto"/>
        <w:ind w:firstLine="480"/>
        <w:rPr>
          <w:rFonts w:hint="eastAsia"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p>
    <w:p w14:paraId="2A773D62">
      <w:pPr>
        <w:spacing w:line="360" w:lineRule="auto"/>
        <w:ind w:firstLine="480"/>
        <w:rPr>
          <w:rFonts w:hint="eastAsia"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3B7AB0F1">
      <w:pPr>
        <w:spacing w:line="360" w:lineRule="auto"/>
        <w:ind w:firstLine="480"/>
        <w:rPr>
          <w:rFonts w:hint="eastAsia"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6CE2ED4F">
      <w:pPr>
        <w:spacing w:line="360" w:lineRule="auto"/>
        <w:ind w:firstLine="480"/>
        <w:rPr>
          <w:rFonts w:hint="eastAsia"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58B6CEC8">
      <w:pPr>
        <w:spacing w:line="360" w:lineRule="auto"/>
        <w:ind w:firstLine="480"/>
        <w:rPr>
          <w:rFonts w:hint="eastAsia"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7827BBD3">
      <w:pPr>
        <w:spacing w:line="360" w:lineRule="auto"/>
        <w:ind w:firstLine="480"/>
        <w:rPr>
          <w:rFonts w:hint="eastAsia"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275D8072">
      <w:pPr>
        <w:spacing w:line="360" w:lineRule="auto"/>
        <w:ind w:firstLine="480"/>
        <w:rPr>
          <w:rFonts w:hint="eastAsia"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49155361">
      <w:pPr>
        <w:ind w:firstLine="480"/>
        <w:rPr>
          <w:rFonts w:hint="eastAsia" w:ascii="宋体" w:hAnsi="宋体"/>
          <w:color w:val="000000"/>
          <w:sz w:val="24"/>
          <w:szCs w:val="24"/>
        </w:rPr>
      </w:pPr>
      <w:r>
        <w:rPr>
          <w:rFonts w:hint="eastAsia" w:ascii="宋体" w:hAnsi="宋体"/>
          <w:color w:val="000000"/>
          <w:sz w:val="24"/>
          <w:szCs w:val="24"/>
        </w:rPr>
        <w:br w:type="page"/>
      </w:r>
    </w:p>
    <w:p w14:paraId="522C9265">
      <w:pPr>
        <w:pStyle w:val="73"/>
        <w:numPr>
          <w:ilvl w:val="0"/>
          <w:numId w:val="0"/>
        </w:numPr>
        <w:rPr>
          <w:rFonts w:hint="eastAsia" w:ascii="宋体" w:hAnsi="宋体" w:eastAsia="宋体" w:cs="宋体"/>
          <w:sz w:val="32"/>
          <w:szCs w:val="32"/>
        </w:rPr>
      </w:pPr>
      <w:r>
        <w:rPr>
          <w:rFonts w:ascii="宋体" w:hAnsi="宋体" w:eastAsia="宋体" w:cs="宋体"/>
          <w:sz w:val="32"/>
          <w:szCs w:val="32"/>
        </w:rPr>
        <w:t>附件</w:t>
      </w:r>
      <w:r>
        <w:rPr>
          <w:rFonts w:hint="eastAsia" w:ascii="宋体" w:hAnsi="宋体" w:eastAsia="宋体" w:cs="宋体"/>
          <w:sz w:val="32"/>
          <w:szCs w:val="32"/>
        </w:rPr>
        <w:t>6</w:t>
      </w:r>
      <w:r>
        <w:rPr>
          <w:rFonts w:ascii="宋体" w:hAnsi="宋体" w:eastAsia="宋体" w:cs="宋体"/>
          <w:sz w:val="32"/>
          <w:szCs w:val="32"/>
        </w:rPr>
        <w:t xml:space="preserve"> 服务承诺函</w:t>
      </w:r>
    </w:p>
    <w:p w14:paraId="12F90496">
      <w:pPr>
        <w:ind w:firstLine="0" w:firstLineChars="0"/>
        <w:jc w:val="center"/>
        <w:rPr>
          <w:rFonts w:hint="eastAsia"/>
          <w:b/>
          <w:bCs/>
          <w:sz w:val="36"/>
          <w:szCs w:val="22"/>
        </w:rPr>
      </w:pPr>
      <w:r>
        <w:rPr>
          <w:rFonts w:hint="eastAsia"/>
          <w:b/>
          <w:bCs/>
          <w:sz w:val="36"/>
          <w:szCs w:val="22"/>
        </w:rPr>
        <w:t>服务承诺函</w:t>
      </w:r>
    </w:p>
    <w:p w14:paraId="7631A470">
      <w:pPr>
        <w:spacing w:line="360" w:lineRule="auto"/>
        <w:ind w:firstLine="0" w:firstLineChars="0"/>
        <w:rPr>
          <w:rFonts w:hint="eastAsia"/>
          <w:sz w:val="24"/>
        </w:rPr>
      </w:pPr>
      <w:r>
        <w:rPr>
          <w:sz w:val="24"/>
        </w:rPr>
        <w:t>项目名称：</w:t>
      </w:r>
      <w:r>
        <w:rPr>
          <w:rFonts w:hint="eastAsia" w:ascii="宋体" w:hAnsi="宋体"/>
          <w:color w:val="000000"/>
          <w:sz w:val="24"/>
          <w:szCs w:val="24"/>
        </w:rPr>
        <w:t xml:space="preserve"> 2026年汉诺威车展车模与动画制作项目</w:t>
      </w:r>
    </w:p>
    <w:p w14:paraId="697E547F">
      <w:pPr>
        <w:spacing w:line="360" w:lineRule="auto"/>
        <w:ind w:firstLine="0" w:firstLineChars="0"/>
        <w:rPr>
          <w:rFonts w:hint="eastAsia"/>
          <w:b/>
          <w:bCs/>
          <w:sz w:val="24"/>
        </w:rPr>
      </w:pPr>
      <w:r>
        <w:rPr>
          <w:rFonts w:hint="eastAsia"/>
          <w:b/>
          <w:bCs/>
          <w:sz w:val="24"/>
        </w:rPr>
        <w:t>XXXXX</w:t>
      </w:r>
      <w:r>
        <w:rPr>
          <w:b/>
          <w:bCs/>
          <w:sz w:val="24"/>
        </w:rPr>
        <w:t>：</w:t>
      </w:r>
    </w:p>
    <w:p w14:paraId="2E7C7710">
      <w:pPr>
        <w:spacing w:line="360" w:lineRule="auto"/>
        <w:ind w:firstLine="0" w:firstLineChars="0"/>
        <w:rPr>
          <w:rFonts w:hint="eastAsia"/>
          <w:sz w:val="24"/>
        </w:rPr>
      </w:pPr>
      <w:r>
        <w:rPr>
          <w:sz w:val="24"/>
        </w:rPr>
        <w:t>我代表（投标人名称）对中标合同产品的服务作如下承诺：</w:t>
      </w:r>
    </w:p>
    <w:p w14:paraId="77F05C01">
      <w:pPr>
        <w:spacing w:line="360" w:lineRule="auto"/>
        <w:ind w:firstLine="0" w:firstLineChars="0"/>
        <w:rPr>
          <w:rFonts w:hint="eastAsia"/>
          <w:sz w:val="24"/>
          <w:u w:val="single"/>
        </w:rPr>
      </w:pPr>
      <w:r>
        <w:rPr>
          <w:sz w:val="24"/>
          <w:u w:val="single"/>
        </w:rPr>
        <w:t xml:space="preserve">                                                                       </w:t>
      </w:r>
    </w:p>
    <w:p w14:paraId="5B067F3C">
      <w:pPr>
        <w:spacing w:line="360" w:lineRule="auto"/>
        <w:ind w:firstLine="0" w:firstLineChars="0"/>
        <w:rPr>
          <w:rFonts w:hint="eastAsia"/>
          <w:sz w:val="24"/>
          <w:u w:val="single"/>
        </w:rPr>
      </w:pPr>
      <w:r>
        <w:rPr>
          <w:sz w:val="24"/>
          <w:u w:val="single"/>
        </w:rPr>
        <w:t xml:space="preserve">                                                                       </w:t>
      </w:r>
    </w:p>
    <w:p w14:paraId="234BF7CA">
      <w:pPr>
        <w:spacing w:line="360" w:lineRule="auto"/>
        <w:ind w:firstLine="0" w:firstLineChars="0"/>
        <w:rPr>
          <w:rFonts w:hint="eastAsia"/>
          <w:sz w:val="24"/>
          <w:u w:val="single"/>
        </w:rPr>
      </w:pPr>
      <w:r>
        <w:rPr>
          <w:sz w:val="24"/>
          <w:u w:val="single"/>
        </w:rPr>
        <w:t xml:space="preserve">                                                                       </w:t>
      </w:r>
    </w:p>
    <w:p w14:paraId="346DD5CD">
      <w:pPr>
        <w:spacing w:line="360" w:lineRule="auto"/>
        <w:ind w:firstLine="0" w:firstLineChars="0"/>
        <w:rPr>
          <w:rFonts w:hint="eastAsia"/>
          <w:sz w:val="24"/>
          <w:u w:val="single"/>
        </w:rPr>
      </w:pPr>
      <w:r>
        <w:rPr>
          <w:sz w:val="24"/>
          <w:u w:val="single"/>
        </w:rPr>
        <w:t xml:space="preserve">                                                                       </w:t>
      </w:r>
    </w:p>
    <w:p w14:paraId="74AFF602">
      <w:pPr>
        <w:spacing w:line="360" w:lineRule="auto"/>
        <w:ind w:firstLine="0" w:firstLineChars="0"/>
        <w:rPr>
          <w:rFonts w:hint="eastAsia"/>
          <w:sz w:val="24"/>
          <w:u w:val="single"/>
        </w:rPr>
      </w:pPr>
      <w:r>
        <w:rPr>
          <w:sz w:val="24"/>
          <w:u w:val="single"/>
        </w:rPr>
        <w:t xml:space="preserve">                                                                       </w:t>
      </w:r>
    </w:p>
    <w:p w14:paraId="1D7D9115">
      <w:pPr>
        <w:spacing w:line="360" w:lineRule="auto"/>
        <w:ind w:firstLine="0" w:firstLineChars="0"/>
        <w:rPr>
          <w:rFonts w:hint="eastAsia"/>
          <w:sz w:val="24"/>
          <w:u w:val="single"/>
        </w:rPr>
      </w:pPr>
      <w:r>
        <w:rPr>
          <w:sz w:val="24"/>
          <w:u w:val="single"/>
        </w:rPr>
        <w:t xml:space="preserve">                                                                       </w:t>
      </w:r>
    </w:p>
    <w:p w14:paraId="75338AE6">
      <w:pPr>
        <w:spacing w:line="360" w:lineRule="auto"/>
        <w:ind w:firstLine="0" w:firstLineChars="0"/>
        <w:rPr>
          <w:rFonts w:hint="eastAsia"/>
          <w:sz w:val="24"/>
          <w:u w:val="single"/>
        </w:rPr>
      </w:pPr>
      <w:r>
        <w:rPr>
          <w:sz w:val="24"/>
          <w:u w:val="single"/>
        </w:rPr>
        <w:t xml:space="preserve">                                                                       </w:t>
      </w:r>
    </w:p>
    <w:p w14:paraId="55648334">
      <w:pPr>
        <w:spacing w:line="360" w:lineRule="auto"/>
        <w:ind w:firstLine="0" w:firstLineChars="0"/>
        <w:rPr>
          <w:rFonts w:hint="eastAsia"/>
          <w:sz w:val="24"/>
          <w:u w:val="single"/>
        </w:rPr>
      </w:pPr>
      <w:r>
        <w:rPr>
          <w:sz w:val="24"/>
          <w:u w:val="single"/>
        </w:rPr>
        <w:t xml:space="preserve">                                                                       </w:t>
      </w:r>
    </w:p>
    <w:p w14:paraId="0C0A403B">
      <w:pPr>
        <w:spacing w:line="360" w:lineRule="auto"/>
        <w:ind w:firstLine="0" w:firstLineChars="0"/>
        <w:rPr>
          <w:rFonts w:hint="eastAsia"/>
          <w:sz w:val="24"/>
          <w:u w:val="single"/>
        </w:rPr>
      </w:pPr>
      <w:r>
        <w:rPr>
          <w:sz w:val="24"/>
          <w:u w:val="single"/>
        </w:rPr>
        <w:t xml:space="preserve">                                                                       </w:t>
      </w:r>
    </w:p>
    <w:p w14:paraId="004EBEDA">
      <w:pPr>
        <w:spacing w:line="360" w:lineRule="auto"/>
        <w:ind w:firstLine="0" w:firstLineChars="0"/>
        <w:rPr>
          <w:rFonts w:hint="eastAsia"/>
          <w:sz w:val="24"/>
          <w:u w:val="single"/>
        </w:rPr>
      </w:pPr>
      <w:r>
        <w:rPr>
          <w:sz w:val="24"/>
          <w:u w:val="single"/>
        </w:rPr>
        <w:t xml:space="preserve">                                                                       </w:t>
      </w:r>
    </w:p>
    <w:p w14:paraId="67FC5323">
      <w:pPr>
        <w:spacing w:line="360" w:lineRule="auto"/>
        <w:ind w:firstLine="0" w:firstLineChars="0"/>
        <w:rPr>
          <w:rFonts w:hint="eastAsia"/>
          <w:sz w:val="24"/>
          <w:u w:val="single"/>
        </w:rPr>
      </w:pPr>
      <w:r>
        <w:rPr>
          <w:sz w:val="24"/>
          <w:u w:val="single"/>
        </w:rPr>
        <w:t xml:space="preserve">                                                                       </w:t>
      </w:r>
    </w:p>
    <w:p w14:paraId="560E4A6B">
      <w:pPr>
        <w:spacing w:line="360" w:lineRule="auto"/>
        <w:ind w:firstLine="0" w:firstLineChars="0"/>
        <w:rPr>
          <w:rFonts w:hint="eastAsia"/>
          <w:sz w:val="24"/>
          <w:u w:val="single"/>
        </w:rPr>
      </w:pPr>
      <w:r>
        <w:rPr>
          <w:sz w:val="24"/>
          <w:u w:val="single"/>
        </w:rPr>
        <w:t xml:space="preserve">                                                                       </w:t>
      </w:r>
    </w:p>
    <w:p w14:paraId="7D49D7E3">
      <w:pPr>
        <w:spacing w:line="360" w:lineRule="auto"/>
        <w:ind w:firstLine="0" w:firstLineChars="0"/>
        <w:rPr>
          <w:rFonts w:hint="eastAsia"/>
          <w:sz w:val="24"/>
          <w:u w:val="single"/>
        </w:rPr>
      </w:pPr>
      <w:r>
        <w:rPr>
          <w:sz w:val="24"/>
          <w:u w:val="single"/>
        </w:rPr>
        <w:t xml:space="preserve">                                                                       </w:t>
      </w:r>
    </w:p>
    <w:p w14:paraId="14EC2AAF">
      <w:pPr>
        <w:spacing w:line="360" w:lineRule="auto"/>
        <w:ind w:firstLine="0" w:firstLineChars="0"/>
        <w:rPr>
          <w:rFonts w:hint="eastAsia"/>
          <w:sz w:val="24"/>
          <w:u w:val="single"/>
        </w:rPr>
      </w:pPr>
      <w:r>
        <w:rPr>
          <w:sz w:val="24"/>
          <w:u w:val="single"/>
        </w:rPr>
        <w:t xml:space="preserve">                                                                       </w:t>
      </w:r>
    </w:p>
    <w:p w14:paraId="432E41EF">
      <w:pPr>
        <w:spacing w:line="360" w:lineRule="auto"/>
        <w:ind w:firstLine="0" w:firstLineChars="0"/>
        <w:rPr>
          <w:rFonts w:hint="eastAsia"/>
          <w:sz w:val="24"/>
          <w:u w:val="single"/>
        </w:rPr>
      </w:pPr>
      <w:r>
        <w:rPr>
          <w:sz w:val="24"/>
          <w:u w:val="single"/>
        </w:rPr>
        <w:t xml:space="preserve">                                                                       </w:t>
      </w:r>
    </w:p>
    <w:p w14:paraId="60A436CD">
      <w:pPr>
        <w:spacing w:line="360" w:lineRule="auto"/>
        <w:ind w:firstLine="0" w:firstLineChars="0"/>
        <w:rPr>
          <w:rFonts w:hint="eastAsia"/>
          <w:sz w:val="24"/>
          <w:u w:val="single"/>
        </w:rPr>
      </w:pPr>
      <w:r>
        <w:rPr>
          <w:sz w:val="24"/>
          <w:u w:val="single"/>
        </w:rPr>
        <w:t xml:space="preserve">                                                                       </w:t>
      </w:r>
    </w:p>
    <w:p w14:paraId="16D75388">
      <w:pPr>
        <w:spacing w:line="360" w:lineRule="auto"/>
        <w:ind w:firstLine="0" w:firstLineChars="0"/>
        <w:rPr>
          <w:rFonts w:hint="eastAsia"/>
          <w:sz w:val="24"/>
          <w:u w:val="single"/>
        </w:rPr>
      </w:pPr>
      <w:r>
        <w:rPr>
          <w:sz w:val="24"/>
          <w:u w:val="single"/>
        </w:rPr>
        <w:t xml:space="preserve">                                                                       </w:t>
      </w:r>
    </w:p>
    <w:p w14:paraId="5DAC41F3">
      <w:pPr>
        <w:spacing w:line="360" w:lineRule="auto"/>
        <w:ind w:firstLine="0" w:firstLineChars="0"/>
        <w:rPr>
          <w:rFonts w:hint="eastAsia"/>
          <w:sz w:val="24"/>
          <w:u w:val="single"/>
        </w:rPr>
      </w:pPr>
    </w:p>
    <w:p w14:paraId="346AF44D">
      <w:pPr>
        <w:spacing w:line="360" w:lineRule="auto"/>
        <w:ind w:firstLine="0" w:firstLineChars="0"/>
        <w:rPr>
          <w:rFonts w:hint="eastAsia"/>
          <w:color w:val="000000"/>
          <w:sz w:val="24"/>
          <w:szCs w:val="24"/>
        </w:rPr>
      </w:pPr>
      <w:r>
        <w:rPr>
          <w:color w:val="000000"/>
          <w:sz w:val="24"/>
          <w:szCs w:val="24"/>
        </w:rPr>
        <w:t>投标人：（盖章）</w:t>
      </w:r>
    </w:p>
    <w:p w14:paraId="062AEC77">
      <w:pPr>
        <w:spacing w:line="360" w:lineRule="auto"/>
        <w:ind w:firstLine="0" w:firstLineChars="0"/>
        <w:rPr>
          <w:rFonts w:hint="eastAsia"/>
          <w:color w:val="000000"/>
          <w:sz w:val="24"/>
          <w:szCs w:val="24"/>
        </w:rPr>
      </w:pPr>
      <w:r>
        <w:rPr>
          <w:color w:val="000000"/>
          <w:sz w:val="24"/>
          <w:szCs w:val="24"/>
        </w:rPr>
        <w:t>法定代表人（委托代理人）：（签字）</w:t>
      </w:r>
    </w:p>
    <w:p w14:paraId="37BE5770">
      <w:pPr>
        <w:ind w:firstLine="0" w:firstLineChars="0"/>
        <w:rPr>
          <w:rFonts w:hint="eastAsia" w:ascii="宋体" w:hAnsi="宋体" w:cs="宋体"/>
          <w:sz w:val="32"/>
          <w:szCs w:val="32"/>
        </w:rPr>
      </w:pPr>
      <w:r>
        <w:rPr>
          <w:rFonts w:hint="eastAsia"/>
          <w:color w:val="000000"/>
          <w:sz w:val="24"/>
          <w:szCs w:val="24"/>
        </w:rPr>
        <w:t xml:space="preserve">    </w:t>
      </w:r>
      <w:r>
        <w:rPr>
          <w:color w:val="000000"/>
          <w:sz w:val="24"/>
          <w:szCs w:val="24"/>
        </w:rPr>
        <w:t>日  期：    年    月    日</w:t>
      </w:r>
      <w:r>
        <w:rPr>
          <w:rFonts w:hint="eastAsia" w:ascii="宋体" w:hAnsi="宋体" w:cs="宋体"/>
          <w:sz w:val="32"/>
          <w:szCs w:val="32"/>
        </w:rPr>
        <w:br w:type="page"/>
      </w:r>
    </w:p>
    <w:p w14:paraId="1C2D4519">
      <w:pPr>
        <w:pStyle w:val="73"/>
        <w:numPr>
          <w:ilvl w:val="0"/>
          <w:numId w:val="0"/>
        </w:numPr>
        <w:rPr>
          <w:rFonts w:hint="eastAsia" w:ascii="宋体" w:hAnsi="宋体" w:eastAsia="宋体" w:cs="宋体"/>
          <w:sz w:val="32"/>
          <w:szCs w:val="32"/>
        </w:rPr>
      </w:pPr>
      <w:r>
        <w:rPr>
          <w:rFonts w:hint="eastAsia" w:ascii="宋体" w:hAnsi="宋体" w:eastAsia="宋体" w:cs="宋体"/>
          <w:sz w:val="32"/>
          <w:szCs w:val="32"/>
        </w:rPr>
        <w:t>附件7 商务条款偏离表</w:t>
      </w:r>
    </w:p>
    <w:p w14:paraId="0FC088A8">
      <w:pPr>
        <w:spacing w:line="360" w:lineRule="auto"/>
        <w:ind w:firstLine="0" w:firstLineChars="0"/>
        <w:jc w:val="center"/>
        <w:rPr>
          <w:rFonts w:hint="eastAsia" w:ascii="宋体" w:hAnsi="宋体" w:cs="宋体"/>
          <w:b/>
          <w:bCs/>
          <w:color w:val="000000"/>
          <w:sz w:val="32"/>
          <w:szCs w:val="32"/>
        </w:rPr>
      </w:pPr>
      <w:r>
        <w:rPr>
          <w:rFonts w:hint="eastAsia" w:ascii="宋体" w:hAnsi="宋体" w:cs="宋体"/>
          <w:b/>
          <w:bCs/>
          <w:color w:val="000000"/>
          <w:sz w:val="32"/>
          <w:szCs w:val="32"/>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1F521B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8474DD3">
            <w:pPr>
              <w:ind w:firstLine="0" w:firstLineChars="0"/>
              <w:jc w:val="center"/>
              <w:rPr>
                <w:rFonts w:hint="eastAsia"/>
                <w:b/>
              </w:rPr>
            </w:pPr>
            <w:r>
              <w:rPr>
                <w:rFonts w:hint="eastAsia"/>
                <w:b/>
                <w:bCs/>
              </w:rPr>
              <w:t>XXXXX</w:t>
            </w:r>
          </w:p>
        </w:tc>
        <w:tc>
          <w:tcPr>
            <w:tcW w:w="2875" w:type="dxa"/>
            <w:tcBorders>
              <w:top w:val="single" w:color="auto" w:sz="4" w:space="0"/>
              <w:left w:val="single" w:color="auto" w:sz="4" w:space="0"/>
              <w:bottom w:val="single" w:color="auto" w:sz="4" w:space="0"/>
              <w:right w:val="single" w:color="auto" w:sz="4" w:space="0"/>
            </w:tcBorders>
            <w:vAlign w:val="center"/>
          </w:tcPr>
          <w:p w14:paraId="12818BB8">
            <w:pPr>
              <w:ind w:firstLine="0" w:firstLineChars="0"/>
              <w:jc w:val="center"/>
              <w:rPr>
                <w:rFonts w:hint="eastAsia"/>
                <w:b/>
              </w:rPr>
            </w:pPr>
            <w:r>
              <w:rPr>
                <w:rFonts w:hint="eastAsia" w:ascii="宋体" w:hAnsi="宋体"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ED9D32F">
            <w:pPr>
              <w:ind w:firstLine="0" w:firstLineChars="0"/>
              <w:jc w:val="center"/>
              <w:rPr>
                <w:rFonts w:hint="eastAsia"/>
                <w:b/>
              </w:rPr>
            </w:pPr>
            <w:r>
              <w:rPr>
                <w:rFonts w:hint="eastAsia" w:ascii="宋体" w:hAnsi="宋体" w:cs="宋体"/>
                <w:b/>
              </w:rPr>
              <w:t>响应规格</w:t>
            </w:r>
          </w:p>
        </w:tc>
        <w:tc>
          <w:tcPr>
            <w:tcW w:w="1645" w:type="dxa"/>
            <w:tcBorders>
              <w:top w:val="single" w:color="auto" w:sz="4" w:space="0"/>
              <w:left w:val="single" w:color="auto" w:sz="4" w:space="0"/>
              <w:bottom w:val="single" w:color="auto" w:sz="4" w:space="0"/>
            </w:tcBorders>
            <w:vAlign w:val="center"/>
          </w:tcPr>
          <w:p w14:paraId="55877489">
            <w:pPr>
              <w:ind w:firstLine="0" w:firstLineChars="0"/>
              <w:jc w:val="center"/>
              <w:rPr>
                <w:rFonts w:hint="eastAsia"/>
                <w:b/>
              </w:rPr>
            </w:pPr>
            <w:r>
              <w:rPr>
                <w:rFonts w:hint="eastAsia" w:ascii="宋体" w:hAnsi="宋体" w:cs="宋体"/>
                <w:b/>
              </w:rPr>
              <w:t>是否偏离</w:t>
            </w:r>
          </w:p>
          <w:p w14:paraId="488E8A07">
            <w:pPr>
              <w:ind w:firstLine="0" w:firstLineChars="0"/>
              <w:jc w:val="center"/>
              <w:rPr>
                <w:rFonts w:hint="eastAsia"/>
                <w:b/>
              </w:rPr>
            </w:pPr>
            <w:r>
              <w:rPr>
                <w:rFonts w:hint="eastAsia" w:ascii="宋体" w:hAnsi="宋体" w:cs="宋体"/>
                <w:b/>
              </w:rPr>
              <w:t>（提供说明）</w:t>
            </w:r>
          </w:p>
        </w:tc>
      </w:tr>
      <w:tr w14:paraId="26211D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BFE07E9">
            <w:pPr>
              <w:ind w:firstLine="0" w:firstLineChars="0"/>
              <w:jc w:val="center"/>
              <w:rPr>
                <w:rFonts w:hint="eastAsia"/>
                <w:b/>
              </w:rPr>
            </w:pPr>
            <w:r>
              <w:rPr>
                <w:rFonts w:hint="eastAsia" w:ascii="宋体" w:hAnsi="宋体" w:cs="宋体"/>
                <w:b/>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B82339C">
            <w:pPr>
              <w:ind w:firstLine="0" w:firstLineChars="0"/>
              <w:jc w:val="center"/>
              <w:rPr>
                <w:rFonts w:hint="eastAsia"/>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D02C9D4">
            <w:pPr>
              <w:ind w:firstLine="0" w:firstLineChars="0"/>
              <w:jc w:val="center"/>
              <w:rPr>
                <w:rFonts w:hint="eastAsia"/>
                <w:b/>
                <w:szCs w:val="21"/>
              </w:rPr>
            </w:pPr>
          </w:p>
        </w:tc>
        <w:tc>
          <w:tcPr>
            <w:tcW w:w="1645" w:type="dxa"/>
            <w:tcBorders>
              <w:top w:val="single" w:color="auto" w:sz="4" w:space="0"/>
              <w:left w:val="single" w:color="auto" w:sz="4" w:space="0"/>
              <w:bottom w:val="single" w:color="auto" w:sz="4" w:space="0"/>
            </w:tcBorders>
            <w:vAlign w:val="center"/>
          </w:tcPr>
          <w:p w14:paraId="4F05A1E8">
            <w:pPr>
              <w:ind w:firstLine="0" w:firstLineChars="0"/>
              <w:jc w:val="center"/>
              <w:rPr>
                <w:rFonts w:hint="eastAsia"/>
                <w:b/>
              </w:rPr>
            </w:pPr>
          </w:p>
        </w:tc>
      </w:tr>
      <w:tr w14:paraId="1D2D749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F7921AA">
            <w:pPr>
              <w:ind w:firstLine="0" w:firstLineChars="0"/>
              <w:jc w:val="center"/>
              <w:rPr>
                <w:rFonts w:hint="eastAsia"/>
                <w:b/>
                <w:u w:val="single"/>
              </w:rPr>
            </w:pPr>
            <w:r>
              <w:rPr>
                <w:rFonts w:hint="eastAsia" w:ascii="宋体" w:hAnsi="宋体" w:cs="宋体"/>
                <w:b/>
                <w:u w:val="singl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450D619B">
            <w:pPr>
              <w:ind w:firstLine="0" w:firstLineChars="0"/>
              <w:jc w:val="center"/>
              <w:rPr>
                <w:rFonts w:hint="eastAsia"/>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D6651E6">
            <w:pPr>
              <w:ind w:firstLine="0" w:firstLineChars="0"/>
              <w:jc w:val="center"/>
              <w:rPr>
                <w:rFonts w:hint="eastAsia"/>
                <w:b/>
                <w:szCs w:val="21"/>
              </w:rPr>
            </w:pPr>
          </w:p>
        </w:tc>
        <w:tc>
          <w:tcPr>
            <w:tcW w:w="1645" w:type="dxa"/>
            <w:tcBorders>
              <w:top w:val="single" w:color="auto" w:sz="4" w:space="0"/>
              <w:left w:val="single" w:color="auto" w:sz="4" w:space="0"/>
              <w:bottom w:val="single" w:color="auto" w:sz="4" w:space="0"/>
            </w:tcBorders>
            <w:vAlign w:val="center"/>
          </w:tcPr>
          <w:p w14:paraId="4960AF2F">
            <w:pPr>
              <w:ind w:firstLine="0" w:firstLineChars="0"/>
              <w:jc w:val="center"/>
              <w:rPr>
                <w:rFonts w:hint="eastAsia"/>
                <w:b/>
                <w:szCs w:val="21"/>
              </w:rPr>
            </w:pPr>
          </w:p>
        </w:tc>
      </w:tr>
      <w:tr w14:paraId="2C42BA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3DFA35E">
            <w:pPr>
              <w:ind w:firstLine="0" w:firstLineChars="0"/>
              <w:jc w:val="center"/>
              <w:rPr>
                <w:rFonts w:hint="eastAsia"/>
                <w:b/>
              </w:rPr>
            </w:pPr>
            <w:r>
              <w:rPr>
                <w:rFonts w:hint="eastAsia" w:ascii="宋体" w:hAnsi="宋体" w:cs="宋体"/>
                <w:b/>
              </w:rPr>
              <w:t>付款条件</w:t>
            </w:r>
          </w:p>
        </w:tc>
        <w:tc>
          <w:tcPr>
            <w:tcW w:w="2875" w:type="dxa"/>
            <w:tcBorders>
              <w:top w:val="single" w:color="auto" w:sz="4" w:space="0"/>
              <w:left w:val="single" w:color="auto" w:sz="4" w:space="0"/>
              <w:bottom w:val="single" w:color="auto" w:sz="4" w:space="0"/>
              <w:right w:val="single" w:color="auto" w:sz="4" w:space="0"/>
            </w:tcBorders>
          </w:tcPr>
          <w:p w14:paraId="658B4269">
            <w:pPr>
              <w:ind w:firstLine="0" w:firstLineChars="0"/>
              <w:jc w:val="center"/>
              <w:rPr>
                <w:rFonts w:hint="eastAsia"/>
                <w:b/>
                <w:szCs w:val="21"/>
              </w:rPr>
            </w:pPr>
          </w:p>
        </w:tc>
        <w:tc>
          <w:tcPr>
            <w:tcW w:w="2885" w:type="dxa"/>
            <w:tcBorders>
              <w:top w:val="single" w:color="auto" w:sz="4" w:space="0"/>
              <w:left w:val="single" w:color="auto" w:sz="4" w:space="0"/>
              <w:bottom w:val="single" w:color="auto" w:sz="4" w:space="0"/>
              <w:right w:val="single" w:color="auto" w:sz="4" w:space="0"/>
            </w:tcBorders>
          </w:tcPr>
          <w:p w14:paraId="2A7F9A53">
            <w:pPr>
              <w:ind w:firstLine="0" w:firstLineChars="0"/>
              <w:jc w:val="center"/>
              <w:rPr>
                <w:rFonts w:hint="eastAsia"/>
                <w:b/>
                <w:szCs w:val="21"/>
              </w:rPr>
            </w:pPr>
          </w:p>
        </w:tc>
        <w:tc>
          <w:tcPr>
            <w:tcW w:w="1645" w:type="dxa"/>
            <w:tcBorders>
              <w:top w:val="single" w:color="auto" w:sz="4" w:space="0"/>
              <w:left w:val="single" w:color="auto" w:sz="4" w:space="0"/>
              <w:bottom w:val="single" w:color="auto" w:sz="4" w:space="0"/>
            </w:tcBorders>
            <w:vAlign w:val="center"/>
          </w:tcPr>
          <w:p w14:paraId="7C50365E">
            <w:pPr>
              <w:ind w:firstLine="0" w:firstLineChars="0"/>
              <w:jc w:val="center"/>
              <w:rPr>
                <w:rFonts w:hint="eastAsia"/>
                <w:b/>
              </w:rPr>
            </w:pPr>
          </w:p>
        </w:tc>
      </w:tr>
      <w:tr w14:paraId="0AE9CFD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6FF2795">
            <w:pPr>
              <w:ind w:firstLine="0" w:firstLineChars="0"/>
              <w:jc w:val="center"/>
              <w:rPr>
                <w:rFonts w:hint="eastAsia"/>
                <w:b/>
              </w:rPr>
            </w:pPr>
            <w:r>
              <w:rPr>
                <w:rFonts w:hint="eastAsia" w:ascii="宋体" w:hAnsi="宋体" w:cs="宋体"/>
                <w:b/>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559E3839">
            <w:pPr>
              <w:ind w:firstLine="0" w:firstLineChars="0"/>
              <w:jc w:val="center"/>
              <w:rPr>
                <w:rFonts w:hint="eastAsia"/>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1DFCC48">
            <w:pPr>
              <w:ind w:firstLine="0" w:firstLineChars="0"/>
              <w:jc w:val="center"/>
              <w:rPr>
                <w:rFonts w:hint="eastAsia"/>
                <w:b/>
                <w:szCs w:val="21"/>
              </w:rPr>
            </w:pPr>
          </w:p>
        </w:tc>
        <w:tc>
          <w:tcPr>
            <w:tcW w:w="1645" w:type="dxa"/>
            <w:tcBorders>
              <w:top w:val="single" w:color="auto" w:sz="4" w:space="0"/>
              <w:left w:val="single" w:color="auto" w:sz="4" w:space="0"/>
              <w:bottom w:val="single" w:color="auto" w:sz="4" w:space="0"/>
            </w:tcBorders>
            <w:vAlign w:val="center"/>
          </w:tcPr>
          <w:p w14:paraId="71ACBD5F">
            <w:pPr>
              <w:ind w:firstLine="0" w:firstLineChars="0"/>
              <w:rPr>
                <w:rFonts w:hint="eastAsia"/>
                <w:b/>
              </w:rPr>
            </w:pPr>
          </w:p>
        </w:tc>
      </w:tr>
      <w:tr w14:paraId="47F68A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6D714FE">
            <w:pPr>
              <w:ind w:firstLine="0" w:firstLineChars="0"/>
              <w:jc w:val="center"/>
              <w:rPr>
                <w:rFonts w:hint="eastAsia"/>
                <w:b/>
              </w:rPr>
            </w:pPr>
            <w:r>
              <w:rPr>
                <w:rFonts w:hint="eastAsia" w:ascii="宋体" w:hAnsi="宋体" w:cs="宋体"/>
                <w:b/>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444D1C5B">
            <w:pPr>
              <w:ind w:firstLine="0" w:firstLineChars="0"/>
              <w:jc w:val="center"/>
              <w:rPr>
                <w:rFonts w:hint="eastAsia"/>
                <w:b/>
              </w:rPr>
            </w:pPr>
          </w:p>
        </w:tc>
        <w:tc>
          <w:tcPr>
            <w:tcW w:w="2885" w:type="dxa"/>
            <w:tcBorders>
              <w:top w:val="single" w:color="auto" w:sz="4" w:space="0"/>
              <w:left w:val="single" w:color="auto" w:sz="4" w:space="0"/>
              <w:bottom w:val="single" w:color="auto" w:sz="4" w:space="0"/>
              <w:right w:val="single" w:color="auto" w:sz="4" w:space="0"/>
            </w:tcBorders>
            <w:vAlign w:val="center"/>
          </w:tcPr>
          <w:p w14:paraId="5D459EDB">
            <w:pPr>
              <w:ind w:firstLine="0" w:firstLineChars="0"/>
              <w:jc w:val="center"/>
              <w:rPr>
                <w:rFonts w:hint="eastAsia"/>
                <w:b/>
              </w:rPr>
            </w:pPr>
          </w:p>
        </w:tc>
        <w:tc>
          <w:tcPr>
            <w:tcW w:w="1645" w:type="dxa"/>
            <w:tcBorders>
              <w:top w:val="single" w:color="auto" w:sz="4" w:space="0"/>
              <w:left w:val="single" w:color="auto" w:sz="4" w:space="0"/>
              <w:bottom w:val="single" w:color="auto" w:sz="4" w:space="0"/>
            </w:tcBorders>
            <w:vAlign w:val="center"/>
          </w:tcPr>
          <w:p w14:paraId="52EC228E">
            <w:pPr>
              <w:ind w:firstLine="0" w:firstLineChars="0"/>
              <w:jc w:val="center"/>
              <w:rPr>
                <w:rFonts w:hint="eastAsia"/>
                <w:b/>
              </w:rPr>
            </w:pPr>
          </w:p>
        </w:tc>
      </w:tr>
    </w:tbl>
    <w:p w14:paraId="581D3CEC">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14:paraId="74B70106">
      <w:pPr>
        <w:spacing w:line="360" w:lineRule="auto"/>
        <w:ind w:firstLine="0" w:firstLineChars="0"/>
        <w:rPr>
          <w:rFonts w:hint="eastAsia"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14:paraId="2BAF3479">
      <w:pPr>
        <w:pStyle w:val="77"/>
        <w:ind w:firstLine="480"/>
        <w:rPr>
          <w:rFonts w:hint="eastAsia" w:hAnsi="宋体"/>
          <w:sz w:val="24"/>
        </w:rPr>
      </w:pPr>
    </w:p>
    <w:p w14:paraId="7B7CD202">
      <w:pPr>
        <w:pStyle w:val="77"/>
        <w:ind w:firstLine="480"/>
        <w:rPr>
          <w:rFonts w:hint="eastAsia" w:hAnsi="宋体"/>
          <w:sz w:val="24"/>
        </w:rPr>
      </w:pPr>
    </w:p>
    <w:p w14:paraId="7E917E93">
      <w:pPr>
        <w:pStyle w:val="77"/>
        <w:ind w:firstLine="480"/>
        <w:rPr>
          <w:rFonts w:hint="eastAsia" w:hAnsi="宋体"/>
          <w:sz w:val="24"/>
        </w:rPr>
      </w:pPr>
    </w:p>
    <w:p w14:paraId="2EB1C451">
      <w:pPr>
        <w:ind w:firstLine="640"/>
        <w:rPr>
          <w:rFonts w:hint="eastAsia" w:ascii="宋体" w:hAnsi="宋体" w:cs="宋体"/>
          <w:sz w:val="32"/>
          <w:szCs w:val="32"/>
        </w:rPr>
      </w:pPr>
      <w:r>
        <w:rPr>
          <w:rFonts w:hint="eastAsia" w:ascii="宋体" w:hAnsi="宋体" w:cs="宋体"/>
          <w:sz w:val="32"/>
          <w:szCs w:val="32"/>
        </w:rPr>
        <w:br w:type="page"/>
      </w:r>
    </w:p>
    <w:p w14:paraId="74C51517">
      <w:pPr>
        <w:pStyle w:val="73"/>
        <w:numPr>
          <w:ilvl w:val="0"/>
          <w:numId w:val="0"/>
        </w:numPr>
        <w:rPr>
          <w:rFonts w:hint="eastAsia" w:ascii="宋体" w:hAnsi="宋体" w:eastAsia="宋体" w:cs="宋体"/>
          <w:sz w:val="32"/>
          <w:szCs w:val="32"/>
        </w:rPr>
      </w:pPr>
      <w:r>
        <w:rPr>
          <w:rFonts w:hint="eastAsia" w:ascii="宋体" w:hAnsi="宋体" w:eastAsia="宋体" w:cs="宋体"/>
          <w:sz w:val="32"/>
          <w:szCs w:val="32"/>
        </w:rPr>
        <w:t>附件8 分项报价表</w:t>
      </w:r>
    </w:p>
    <w:p w14:paraId="47C70000">
      <w:pPr>
        <w:ind w:firstLine="480"/>
        <w:rPr>
          <w:rFonts w:hint="eastAsia" w:hAnsi="宋体"/>
          <w:sz w:val="24"/>
        </w:rPr>
      </w:pPr>
    </w:p>
    <w:p w14:paraId="3857E887">
      <w:pPr>
        <w:ind w:firstLine="0" w:firstLineChars="0"/>
        <w:rPr>
          <w:rFonts w:hint="eastAsia"/>
          <w:highlight w:val="lightGray"/>
        </w:rPr>
      </w:pPr>
    </w:p>
    <w:sectPr>
      <w:headerReference r:id="rId9" w:type="first"/>
      <w:footerReference r:id="rId11" w:type="first"/>
      <w:headerReference r:id="rId8" w:type="default"/>
      <w:footerReference r:id="rId10" w:type="default"/>
      <w:pgSz w:w="11906" w:h="16838"/>
      <w:pgMar w:top="1588" w:right="1418" w:bottom="1134" w:left="1418" w:header="851" w:footer="992" w:gutter="0"/>
      <w:pgNumType w:start="1"/>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5912F">
    <w:pPr>
      <w:pStyle w:val="18"/>
      <w:framePr w:wrap="around" w:vAnchor="text" w:hAnchor="margin" w:xAlign="center" w:y="1"/>
      <w:ind w:firstLine="360"/>
      <w:rPr>
        <w:rStyle w:val="34"/>
        <w:rFonts w:hint="eastAsia"/>
      </w:rPr>
    </w:pPr>
    <w:r>
      <w:fldChar w:fldCharType="begin"/>
    </w:r>
    <w:r>
      <w:rPr>
        <w:rStyle w:val="34"/>
      </w:rPr>
      <w:instrText xml:space="preserve">PAGE  </w:instrText>
    </w:r>
    <w:r>
      <w:fldChar w:fldCharType="end"/>
    </w:r>
  </w:p>
  <w:p w14:paraId="0B7F88ED">
    <w:pPr>
      <w:pStyle w:val="18"/>
      <w:ind w:firstLine="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C3CB8">
    <w:pPr>
      <w:pStyle w:val="18"/>
      <w:ind w:firstLine="360"/>
      <w:jc w:val="center"/>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E5591">
    <w:pPr>
      <w:spacing w:line="179" w:lineRule="auto"/>
      <w:ind w:left="6868" w:firstLine="340"/>
      <w:rPr>
        <w:rFonts w:hint="eastAsia" w:ascii="宋体" w:hAnsi="宋体" w:cs="宋体"/>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6AD2A5">
                          <w:pPr>
                            <w:pStyle w:val="18"/>
                            <w:ind w:firstLine="360"/>
                            <w:rPr>
                              <w:rFonts w:hint="eastAsia"/>
                            </w:rPr>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606AD2A5">
                    <w:pPr>
                      <w:pStyle w:val="18"/>
                      <w:ind w:firstLine="360"/>
                      <w:rPr>
                        <w:rFonts w:hint="eastAsia"/>
                      </w:rPr>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5893A">
    <w:pPr>
      <w:pStyle w:val="18"/>
      <w:ind w:firstLine="360"/>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83E855">
                          <w:pPr>
                            <w:pStyle w:val="18"/>
                            <w:ind w:firstLine="360"/>
                            <w:rPr>
                              <w:rFonts w:hint="eastAsia"/>
                            </w:rPr>
                          </w:pPr>
                          <w:r>
                            <w:fldChar w:fldCharType="begin"/>
                          </w:r>
                          <w:r>
                            <w:instrText xml:space="preserve"> PAGE  \* MERGEFORMAT </w:instrText>
                          </w:r>
                          <w:r>
                            <w:fldChar w:fldCharType="separate"/>
                          </w:r>
                          <w:r>
                            <w:t>- 42 -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6A83E855">
                    <w:pPr>
                      <w:pStyle w:val="18"/>
                      <w:ind w:firstLine="360"/>
                      <w:rPr>
                        <w:rFonts w:hint="eastAsia"/>
                      </w:rPr>
                    </w:pPr>
                    <w:r>
                      <w:fldChar w:fldCharType="begin"/>
                    </w:r>
                    <w:r>
                      <w:instrText xml:space="preserve"> PAGE  \* MERGEFORMAT </w:instrText>
                    </w:r>
                    <w:r>
                      <w:fldChar w:fldCharType="separate"/>
                    </w:r>
                    <w:r>
                      <w:t>- 42 -</w:t>
                    </w:r>
                    <w:r>
                      <w:fldChar w:fldCharType="end"/>
                    </w:r>
                  </w:p>
                </w:txbxContent>
              </v:textbox>
            </v:shape>
          </w:pict>
        </mc:Fallback>
      </mc:AlternateContent>
    </w:r>
  </w:p>
  <w:p w14:paraId="507E49D7">
    <w:pPr>
      <w:ind w:firstLine="560"/>
      <w:rPr>
        <w:rFonts w:hint="eastAsia"/>
      </w:rPr>
    </w:pPr>
  </w:p>
  <w:p w14:paraId="17E399CB">
    <w:pPr>
      <w:ind w:firstLine="560"/>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F1995">
    <w:pPr>
      <w:pStyle w:val="19"/>
      <w:ind w:firstLine="360"/>
      <w:jc w:val="righ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AA075">
    <w:pPr>
      <w:pStyle w:val="19"/>
      <w:pBdr>
        <w:bottom w:val="none" w:color="auto" w:sz="0" w:space="1"/>
      </w:pBdr>
      <w:ind w:firstLine="36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140D9">
    <w:pPr>
      <w:ind w:firstLine="5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2">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3">
    <w:nsid w:val="284238B1"/>
    <w:multiLevelType w:val="multilevel"/>
    <w:tmpl w:val="284238B1"/>
    <w:lvl w:ilvl="0" w:tentative="0">
      <w:start w:val="1"/>
      <w:numFmt w:val="chineseCountingThousand"/>
      <w:pStyle w:val="73"/>
      <w:suff w:val="nothing"/>
      <w:lvlText w:val="%1、"/>
      <w:lvlJc w:val="left"/>
      <w:pPr>
        <w:ind w:left="420" w:hanging="420"/>
      </w:pPr>
      <w:rPr>
        <w:rFonts w:hint="eastAsia" w:ascii="黑体" w:hAnsi="黑体" w:eastAsia="黑体"/>
        <w:sz w:val="28"/>
        <w:szCs w:val="28"/>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4">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6">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7">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59EE3EC8"/>
    <w:multiLevelType w:val="multilevel"/>
    <w:tmpl w:val="59EE3EC8"/>
    <w:lvl w:ilvl="0" w:tentative="0">
      <w:start w:val="1"/>
      <w:numFmt w:val="decimal"/>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4"/>
  </w:num>
  <w:num w:numId="2">
    <w:abstractNumId w:val="3"/>
  </w:num>
  <w:num w:numId="3">
    <w:abstractNumId w:val="7"/>
  </w:num>
  <w:num w:numId="4">
    <w:abstractNumId w:val="5"/>
  </w:num>
  <w:num w:numId="5">
    <w:abstractNumId w:val="0"/>
  </w:num>
  <w:num w:numId="6">
    <w:abstractNumId w:val="1"/>
  </w:num>
  <w:num w:numId="7">
    <w:abstractNumId w:val="2"/>
  </w:num>
  <w:num w:numId="8">
    <w:abstractNumId w:val="6"/>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49F8"/>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6DB"/>
    <w:rsid w:val="00043A88"/>
    <w:rsid w:val="00043CE0"/>
    <w:rsid w:val="00043FE0"/>
    <w:rsid w:val="00045598"/>
    <w:rsid w:val="00045889"/>
    <w:rsid w:val="00046197"/>
    <w:rsid w:val="00046326"/>
    <w:rsid w:val="0004713F"/>
    <w:rsid w:val="00047B4A"/>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68A"/>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77ADF"/>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5027"/>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7DE"/>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1F04"/>
    <w:rsid w:val="000E2607"/>
    <w:rsid w:val="000E353F"/>
    <w:rsid w:val="000E3A8A"/>
    <w:rsid w:val="000E406C"/>
    <w:rsid w:val="000E444B"/>
    <w:rsid w:val="000E5428"/>
    <w:rsid w:val="000E5A9F"/>
    <w:rsid w:val="000F02A3"/>
    <w:rsid w:val="000F0526"/>
    <w:rsid w:val="000F1557"/>
    <w:rsid w:val="000F16A9"/>
    <w:rsid w:val="000F1864"/>
    <w:rsid w:val="000F259B"/>
    <w:rsid w:val="000F2B5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138"/>
    <w:rsid w:val="001F0C45"/>
    <w:rsid w:val="001F0E74"/>
    <w:rsid w:val="001F139E"/>
    <w:rsid w:val="001F245F"/>
    <w:rsid w:val="001F2532"/>
    <w:rsid w:val="001F25F8"/>
    <w:rsid w:val="001F2BB0"/>
    <w:rsid w:val="001F2BB6"/>
    <w:rsid w:val="001F337F"/>
    <w:rsid w:val="001F3A41"/>
    <w:rsid w:val="001F421A"/>
    <w:rsid w:val="001F46E7"/>
    <w:rsid w:val="001F6864"/>
    <w:rsid w:val="001F7BA5"/>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69C"/>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5"/>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3BF"/>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29E"/>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824"/>
    <w:rsid w:val="00292AAB"/>
    <w:rsid w:val="00292AEF"/>
    <w:rsid w:val="00292CAA"/>
    <w:rsid w:val="00293014"/>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8EF"/>
    <w:rsid w:val="002A5D95"/>
    <w:rsid w:val="002A5DB0"/>
    <w:rsid w:val="002A63F2"/>
    <w:rsid w:val="002A7007"/>
    <w:rsid w:val="002B01E2"/>
    <w:rsid w:val="002B09DE"/>
    <w:rsid w:val="002B12F1"/>
    <w:rsid w:val="002B18B8"/>
    <w:rsid w:val="002B1CE6"/>
    <w:rsid w:val="002B2899"/>
    <w:rsid w:val="002B4898"/>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5FCE"/>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B19"/>
    <w:rsid w:val="002D3F28"/>
    <w:rsid w:val="002D4284"/>
    <w:rsid w:val="002D478F"/>
    <w:rsid w:val="002D5069"/>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5574"/>
    <w:rsid w:val="002E7155"/>
    <w:rsid w:val="002E75DE"/>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769"/>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0D4E"/>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0B7A"/>
    <w:rsid w:val="00341DDB"/>
    <w:rsid w:val="003439EC"/>
    <w:rsid w:val="003447BF"/>
    <w:rsid w:val="00344B0C"/>
    <w:rsid w:val="003453AC"/>
    <w:rsid w:val="003453B7"/>
    <w:rsid w:val="003456EA"/>
    <w:rsid w:val="00347301"/>
    <w:rsid w:val="00347426"/>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0A06"/>
    <w:rsid w:val="00391251"/>
    <w:rsid w:val="00391CBF"/>
    <w:rsid w:val="00391FA7"/>
    <w:rsid w:val="00392271"/>
    <w:rsid w:val="0039243F"/>
    <w:rsid w:val="00393515"/>
    <w:rsid w:val="003936E5"/>
    <w:rsid w:val="00394FDC"/>
    <w:rsid w:val="00395111"/>
    <w:rsid w:val="00396005"/>
    <w:rsid w:val="003962B6"/>
    <w:rsid w:val="00396471"/>
    <w:rsid w:val="00397485"/>
    <w:rsid w:val="003A06B7"/>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1A13"/>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47EA"/>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317"/>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48"/>
    <w:rsid w:val="00441A97"/>
    <w:rsid w:val="00441CBC"/>
    <w:rsid w:val="00441D69"/>
    <w:rsid w:val="00441EA6"/>
    <w:rsid w:val="00442538"/>
    <w:rsid w:val="004438E7"/>
    <w:rsid w:val="004439A5"/>
    <w:rsid w:val="00443C70"/>
    <w:rsid w:val="00443ED8"/>
    <w:rsid w:val="004442B5"/>
    <w:rsid w:val="004443B1"/>
    <w:rsid w:val="00444776"/>
    <w:rsid w:val="00445021"/>
    <w:rsid w:val="00445613"/>
    <w:rsid w:val="00445D1A"/>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87DF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05A"/>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4896"/>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B52"/>
    <w:rsid w:val="00524D3B"/>
    <w:rsid w:val="005251E3"/>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6CB6"/>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0A"/>
    <w:rsid w:val="00566160"/>
    <w:rsid w:val="00566328"/>
    <w:rsid w:val="005666BC"/>
    <w:rsid w:val="005676C4"/>
    <w:rsid w:val="0056788B"/>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2749"/>
    <w:rsid w:val="00593200"/>
    <w:rsid w:val="005933B6"/>
    <w:rsid w:val="00593C64"/>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AD0"/>
    <w:rsid w:val="005A5BE6"/>
    <w:rsid w:val="005A686F"/>
    <w:rsid w:val="005A78A8"/>
    <w:rsid w:val="005A7B11"/>
    <w:rsid w:val="005A7C3D"/>
    <w:rsid w:val="005B02C8"/>
    <w:rsid w:val="005B06A9"/>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1FA3"/>
    <w:rsid w:val="005C223C"/>
    <w:rsid w:val="005C2A65"/>
    <w:rsid w:val="005C3B53"/>
    <w:rsid w:val="005C3EBF"/>
    <w:rsid w:val="005C4288"/>
    <w:rsid w:val="005C43D6"/>
    <w:rsid w:val="005C4A27"/>
    <w:rsid w:val="005C4AA7"/>
    <w:rsid w:val="005C4BDB"/>
    <w:rsid w:val="005C4C50"/>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21F"/>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4EE7"/>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3B1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5AA4"/>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4D91"/>
    <w:rsid w:val="00665177"/>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5DCB"/>
    <w:rsid w:val="006867B2"/>
    <w:rsid w:val="00687348"/>
    <w:rsid w:val="00687734"/>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6FF"/>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179DF"/>
    <w:rsid w:val="007202E6"/>
    <w:rsid w:val="0072053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1F4"/>
    <w:rsid w:val="00757361"/>
    <w:rsid w:val="00760129"/>
    <w:rsid w:val="007613C3"/>
    <w:rsid w:val="00761627"/>
    <w:rsid w:val="00761C59"/>
    <w:rsid w:val="00762F64"/>
    <w:rsid w:val="00763967"/>
    <w:rsid w:val="007645E6"/>
    <w:rsid w:val="00764DE0"/>
    <w:rsid w:val="00765AEA"/>
    <w:rsid w:val="00766186"/>
    <w:rsid w:val="0076772F"/>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4C0"/>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0558"/>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45"/>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593"/>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2DE0"/>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54BC"/>
    <w:rsid w:val="00856017"/>
    <w:rsid w:val="00856280"/>
    <w:rsid w:val="00856574"/>
    <w:rsid w:val="00857551"/>
    <w:rsid w:val="00857BB1"/>
    <w:rsid w:val="008609AD"/>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0ACF"/>
    <w:rsid w:val="00881569"/>
    <w:rsid w:val="008819D4"/>
    <w:rsid w:val="00882A65"/>
    <w:rsid w:val="00883BE6"/>
    <w:rsid w:val="008846ED"/>
    <w:rsid w:val="0088470B"/>
    <w:rsid w:val="00884B0B"/>
    <w:rsid w:val="008856CF"/>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1CE"/>
    <w:rsid w:val="00897863"/>
    <w:rsid w:val="00897D64"/>
    <w:rsid w:val="008A2477"/>
    <w:rsid w:val="008A262F"/>
    <w:rsid w:val="008A28A2"/>
    <w:rsid w:val="008A3214"/>
    <w:rsid w:val="008A5AB9"/>
    <w:rsid w:val="008A7463"/>
    <w:rsid w:val="008A748C"/>
    <w:rsid w:val="008A760C"/>
    <w:rsid w:val="008A763D"/>
    <w:rsid w:val="008A7E4D"/>
    <w:rsid w:val="008B0219"/>
    <w:rsid w:val="008B060C"/>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21F4"/>
    <w:rsid w:val="008C35F5"/>
    <w:rsid w:val="008C3621"/>
    <w:rsid w:val="008C40DD"/>
    <w:rsid w:val="008C4D33"/>
    <w:rsid w:val="008C5320"/>
    <w:rsid w:val="008C5715"/>
    <w:rsid w:val="008C5747"/>
    <w:rsid w:val="008C639B"/>
    <w:rsid w:val="008C6D25"/>
    <w:rsid w:val="008C7F15"/>
    <w:rsid w:val="008D001E"/>
    <w:rsid w:val="008D0337"/>
    <w:rsid w:val="008D050C"/>
    <w:rsid w:val="008D0BA8"/>
    <w:rsid w:val="008D1856"/>
    <w:rsid w:val="008D277C"/>
    <w:rsid w:val="008D2B91"/>
    <w:rsid w:val="008D36FA"/>
    <w:rsid w:val="008D43F6"/>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1CA"/>
    <w:rsid w:val="0090388F"/>
    <w:rsid w:val="00904BBE"/>
    <w:rsid w:val="00904DC5"/>
    <w:rsid w:val="009050AB"/>
    <w:rsid w:val="00905AFA"/>
    <w:rsid w:val="009066A7"/>
    <w:rsid w:val="00906D53"/>
    <w:rsid w:val="009078F0"/>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5CC2"/>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36B"/>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A6D57"/>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B7C46"/>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5C39"/>
    <w:rsid w:val="009F6936"/>
    <w:rsid w:val="009F6A28"/>
    <w:rsid w:val="009F72FF"/>
    <w:rsid w:val="009F731B"/>
    <w:rsid w:val="009F7566"/>
    <w:rsid w:val="009F7635"/>
    <w:rsid w:val="009F76C2"/>
    <w:rsid w:val="009F7713"/>
    <w:rsid w:val="009F77D9"/>
    <w:rsid w:val="00A0031F"/>
    <w:rsid w:val="00A0050C"/>
    <w:rsid w:val="00A00575"/>
    <w:rsid w:val="00A00EF1"/>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44E3"/>
    <w:rsid w:val="00A45ACB"/>
    <w:rsid w:val="00A45F55"/>
    <w:rsid w:val="00A4693F"/>
    <w:rsid w:val="00A470DF"/>
    <w:rsid w:val="00A47C42"/>
    <w:rsid w:val="00A47D96"/>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087"/>
    <w:rsid w:val="00A615A1"/>
    <w:rsid w:val="00A617C1"/>
    <w:rsid w:val="00A61BE1"/>
    <w:rsid w:val="00A62309"/>
    <w:rsid w:val="00A64CC7"/>
    <w:rsid w:val="00A6538B"/>
    <w:rsid w:val="00A65FBD"/>
    <w:rsid w:val="00A669EE"/>
    <w:rsid w:val="00A67071"/>
    <w:rsid w:val="00A67E94"/>
    <w:rsid w:val="00A67EB0"/>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1485"/>
    <w:rsid w:val="00A8229F"/>
    <w:rsid w:val="00A823DD"/>
    <w:rsid w:val="00A82971"/>
    <w:rsid w:val="00A83F41"/>
    <w:rsid w:val="00A842C4"/>
    <w:rsid w:val="00A853EB"/>
    <w:rsid w:val="00A85FC3"/>
    <w:rsid w:val="00A91014"/>
    <w:rsid w:val="00A918AD"/>
    <w:rsid w:val="00A927BD"/>
    <w:rsid w:val="00A93466"/>
    <w:rsid w:val="00A93EA8"/>
    <w:rsid w:val="00A94373"/>
    <w:rsid w:val="00A9481E"/>
    <w:rsid w:val="00A94BD5"/>
    <w:rsid w:val="00A968B6"/>
    <w:rsid w:val="00A96FAE"/>
    <w:rsid w:val="00A97D7D"/>
    <w:rsid w:val="00AA1A3D"/>
    <w:rsid w:val="00AA35A8"/>
    <w:rsid w:val="00AA36A7"/>
    <w:rsid w:val="00AA3E93"/>
    <w:rsid w:val="00AA504B"/>
    <w:rsid w:val="00AA5EF1"/>
    <w:rsid w:val="00AA7AB0"/>
    <w:rsid w:val="00AB09C5"/>
    <w:rsid w:val="00AB221E"/>
    <w:rsid w:val="00AB2295"/>
    <w:rsid w:val="00AB237A"/>
    <w:rsid w:val="00AB240E"/>
    <w:rsid w:val="00AB258C"/>
    <w:rsid w:val="00AB3540"/>
    <w:rsid w:val="00AB44C2"/>
    <w:rsid w:val="00AB4F7C"/>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9FF"/>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39F3"/>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3DCA"/>
    <w:rsid w:val="00B05212"/>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83"/>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657"/>
    <w:rsid w:val="00B36B09"/>
    <w:rsid w:val="00B36EBB"/>
    <w:rsid w:val="00B37290"/>
    <w:rsid w:val="00B37847"/>
    <w:rsid w:val="00B37C94"/>
    <w:rsid w:val="00B4056E"/>
    <w:rsid w:val="00B40AD8"/>
    <w:rsid w:val="00B41891"/>
    <w:rsid w:val="00B422BD"/>
    <w:rsid w:val="00B43A57"/>
    <w:rsid w:val="00B443CA"/>
    <w:rsid w:val="00B44D1D"/>
    <w:rsid w:val="00B456BC"/>
    <w:rsid w:val="00B46353"/>
    <w:rsid w:val="00B500DE"/>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2BC"/>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3A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17C"/>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5CE8"/>
    <w:rsid w:val="00BF6DB1"/>
    <w:rsid w:val="00BF7C4E"/>
    <w:rsid w:val="00C006E7"/>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235C"/>
    <w:rsid w:val="00C3301B"/>
    <w:rsid w:val="00C335C2"/>
    <w:rsid w:val="00C33C78"/>
    <w:rsid w:val="00C3400A"/>
    <w:rsid w:val="00C343D0"/>
    <w:rsid w:val="00C3699E"/>
    <w:rsid w:val="00C36CE4"/>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97C"/>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3E6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30CE"/>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41D"/>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0EEA"/>
    <w:rsid w:val="00CF1278"/>
    <w:rsid w:val="00CF141C"/>
    <w:rsid w:val="00CF1D3D"/>
    <w:rsid w:val="00CF218B"/>
    <w:rsid w:val="00CF256A"/>
    <w:rsid w:val="00CF2681"/>
    <w:rsid w:val="00CF345B"/>
    <w:rsid w:val="00CF34E6"/>
    <w:rsid w:val="00CF35B1"/>
    <w:rsid w:val="00CF37E7"/>
    <w:rsid w:val="00CF414D"/>
    <w:rsid w:val="00CF4D5E"/>
    <w:rsid w:val="00CF508A"/>
    <w:rsid w:val="00CF531B"/>
    <w:rsid w:val="00CF5CD6"/>
    <w:rsid w:val="00CF5D3D"/>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2C23"/>
    <w:rsid w:val="00D13E39"/>
    <w:rsid w:val="00D144EF"/>
    <w:rsid w:val="00D1451E"/>
    <w:rsid w:val="00D145F5"/>
    <w:rsid w:val="00D154DC"/>
    <w:rsid w:val="00D1570E"/>
    <w:rsid w:val="00D157DF"/>
    <w:rsid w:val="00D16305"/>
    <w:rsid w:val="00D163AC"/>
    <w:rsid w:val="00D1728A"/>
    <w:rsid w:val="00D1739C"/>
    <w:rsid w:val="00D1785C"/>
    <w:rsid w:val="00D20E51"/>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961"/>
    <w:rsid w:val="00D74BA9"/>
    <w:rsid w:val="00D75585"/>
    <w:rsid w:val="00D759F2"/>
    <w:rsid w:val="00D75A18"/>
    <w:rsid w:val="00D75E62"/>
    <w:rsid w:val="00D762F4"/>
    <w:rsid w:val="00D7636B"/>
    <w:rsid w:val="00D7695F"/>
    <w:rsid w:val="00D76A0A"/>
    <w:rsid w:val="00D76B4B"/>
    <w:rsid w:val="00D7732A"/>
    <w:rsid w:val="00D7768C"/>
    <w:rsid w:val="00D77AC3"/>
    <w:rsid w:val="00D8072B"/>
    <w:rsid w:val="00D81419"/>
    <w:rsid w:val="00D81C30"/>
    <w:rsid w:val="00D8307C"/>
    <w:rsid w:val="00D83CD6"/>
    <w:rsid w:val="00D84BD4"/>
    <w:rsid w:val="00D850A5"/>
    <w:rsid w:val="00D85355"/>
    <w:rsid w:val="00D85B81"/>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2B0"/>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6F88"/>
    <w:rsid w:val="00DC7A96"/>
    <w:rsid w:val="00DC7B7E"/>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0EF"/>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DF70FB"/>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2ACB"/>
    <w:rsid w:val="00E235A9"/>
    <w:rsid w:val="00E23B8E"/>
    <w:rsid w:val="00E23EE1"/>
    <w:rsid w:val="00E2477D"/>
    <w:rsid w:val="00E25F47"/>
    <w:rsid w:val="00E2609A"/>
    <w:rsid w:val="00E26247"/>
    <w:rsid w:val="00E26A55"/>
    <w:rsid w:val="00E276E1"/>
    <w:rsid w:val="00E27A66"/>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3A44"/>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0F"/>
    <w:rsid w:val="00E774FE"/>
    <w:rsid w:val="00E77760"/>
    <w:rsid w:val="00E77884"/>
    <w:rsid w:val="00E77B47"/>
    <w:rsid w:val="00E77E60"/>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994"/>
    <w:rsid w:val="00E93BFE"/>
    <w:rsid w:val="00E93DC5"/>
    <w:rsid w:val="00E943A8"/>
    <w:rsid w:val="00E950D1"/>
    <w:rsid w:val="00E954A2"/>
    <w:rsid w:val="00E9587D"/>
    <w:rsid w:val="00E959EF"/>
    <w:rsid w:val="00E962E7"/>
    <w:rsid w:val="00E96ED9"/>
    <w:rsid w:val="00E97092"/>
    <w:rsid w:val="00E979DD"/>
    <w:rsid w:val="00E97E9C"/>
    <w:rsid w:val="00E97EF9"/>
    <w:rsid w:val="00EA02CC"/>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7A9"/>
    <w:rsid w:val="00EC0B31"/>
    <w:rsid w:val="00EC0C0A"/>
    <w:rsid w:val="00EC1BAC"/>
    <w:rsid w:val="00EC230A"/>
    <w:rsid w:val="00EC27E9"/>
    <w:rsid w:val="00EC2A3B"/>
    <w:rsid w:val="00EC3C47"/>
    <w:rsid w:val="00EC4FB8"/>
    <w:rsid w:val="00EC5633"/>
    <w:rsid w:val="00EC5C26"/>
    <w:rsid w:val="00EC5CA1"/>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AAE"/>
    <w:rsid w:val="00EE6EFD"/>
    <w:rsid w:val="00EE72A6"/>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873"/>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2793"/>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4F39"/>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1313A4"/>
    <w:rsid w:val="011B40D3"/>
    <w:rsid w:val="01563B79"/>
    <w:rsid w:val="017A355E"/>
    <w:rsid w:val="02173A21"/>
    <w:rsid w:val="023F763D"/>
    <w:rsid w:val="02CC3DCA"/>
    <w:rsid w:val="02FE76EF"/>
    <w:rsid w:val="034E1239"/>
    <w:rsid w:val="036848C6"/>
    <w:rsid w:val="037737F4"/>
    <w:rsid w:val="03850D82"/>
    <w:rsid w:val="03F033B0"/>
    <w:rsid w:val="04472DF8"/>
    <w:rsid w:val="05612989"/>
    <w:rsid w:val="057C1D39"/>
    <w:rsid w:val="05891259"/>
    <w:rsid w:val="05D554DB"/>
    <w:rsid w:val="05F572F9"/>
    <w:rsid w:val="0654565B"/>
    <w:rsid w:val="07253DF6"/>
    <w:rsid w:val="073F4A62"/>
    <w:rsid w:val="07613623"/>
    <w:rsid w:val="08633479"/>
    <w:rsid w:val="08940DDD"/>
    <w:rsid w:val="09153CCC"/>
    <w:rsid w:val="09630A6C"/>
    <w:rsid w:val="0A63147A"/>
    <w:rsid w:val="0ADB2EF0"/>
    <w:rsid w:val="0ADD4CBE"/>
    <w:rsid w:val="0B114967"/>
    <w:rsid w:val="0B415BB4"/>
    <w:rsid w:val="0B7E1CB6"/>
    <w:rsid w:val="0B9273F9"/>
    <w:rsid w:val="0C83309C"/>
    <w:rsid w:val="0CB51572"/>
    <w:rsid w:val="0D01045C"/>
    <w:rsid w:val="0DE73E36"/>
    <w:rsid w:val="0E4D31E3"/>
    <w:rsid w:val="0E530E38"/>
    <w:rsid w:val="0F3B1FB3"/>
    <w:rsid w:val="0FC91A3D"/>
    <w:rsid w:val="10DC2AA3"/>
    <w:rsid w:val="10FA7C8C"/>
    <w:rsid w:val="112E3C5A"/>
    <w:rsid w:val="115651D4"/>
    <w:rsid w:val="11FD79F3"/>
    <w:rsid w:val="12174CE2"/>
    <w:rsid w:val="121D1E44"/>
    <w:rsid w:val="122C3D05"/>
    <w:rsid w:val="12F64B6E"/>
    <w:rsid w:val="130B198F"/>
    <w:rsid w:val="13FA68E0"/>
    <w:rsid w:val="15BB1367"/>
    <w:rsid w:val="16A918E4"/>
    <w:rsid w:val="16C12A18"/>
    <w:rsid w:val="17D966D6"/>
    <w:rsid w:val="18146E94"/>
    <w:rsid w:val="18926313"/>
    <w:rsid w:val="18945E62"/>
    <w:rsid w:val="19517BDA"/>
    <w:rsid w:val="19581095"/>
    <w:rsid w:val="19AE68D1"/>
    <w:rsid w:val="19E33213"/>
    <w:rsid w:val="19F90965"/>
    <w:rsid w:val="1A273FCA"/>
    <w:rsid w:val="1A463A67"/>
    <w:rsid w:val="1A4856D7"/>
    <w:rsid w:val="1A670100"/>
    <w:rsid w:val="1A9829AF"/>
    <w:rsid w:val="1AB772D9"/>
    <w:rsid w:val="1B481CDF"/>
    <w:rsid w:val="1B9B4505"/>
    <w:rsid w:val="1BA3160C"/>
    <w:rsid w:val="1BC71D3B"/>
    <w:rsid w:val="1C0E0FA9"/>
    <w:rsid w:val="1C59115B"/>
    <w:rsid w:val="1D1E3640"/>
    <w:rsid w:val="1D4A4435"/>
    <w:rsid w:val="1D596BD7"/>
    <w:rsid w:val="1DA5166B"/>
    <w:rsid w:val="1DFE17D9"/>
    <w:rsid w:val="1E296445"/>
    <w:rsid w:val="1EFD1680"/>
    <w:rsid w:val="1F6C766B"/>
    <w:rsid w:val="1F6D42D7"/>
    <w:rsid w:val="1FB23E60"/>
    <w:rsid w:val="1FBA79B4"/>
    <w:rsid w:val="204D5A3E"/>
    <w:rsid w:val="21183ED7"/>
    <w:rsid w:val="212F23EA"/>
    <w:rsid w:val="21F50ADF"/>
    <w:rsid w:val="2225345A"/>
    <w:rsid w:val="225F1EAA"/>
    <w:rsid w:val="226A2E83"/>
    <w:rsid w:val="227640E7"/>
    <w:rsid w:val="227F2CA6"/>
    <w:rsid w:val="22C5630B"/>
    <w:rsid w:val="23EC0BA6"/>
    <w:rsid w:val="24701A48"/>
    <w:rsid w:val="247E07FE"/>
    <w:rsid w:val="24AB04CD"/>
    <w:rsid w:val="25113A8A"/>
    <w:rsid w:val="25590944"/>
    <w:rsid w:val="25EC6AF8"/>
    <w:rsid w:val="268B0052"/>
    <w:rsid w:val="26CF6817"/>
    <w:rsid w:val="27054F28"/>
    <w:rsid w:val="272A6A1B"/>
    <w:rsid w:val="27743C90"/>
    <w:rsid w:val="27B358EA"/>
    <w:rsid w:val="283931F7"/>
    <w:rsid w:val="284A307C"/>
    <w:rsid w:val="28B55739"/>
    <w:rsid w:val="296C128F"/>
    <w:rsid w:val="2991592F"/>
    <w:rsid w:val="29CA2459"/>
    <w:rsid w:val="2A5440C4"/>
    <w:rsid w:val="2B234D57"/>
    <w:rsid w:val="2B271A58"/>
    <w:rsid w:val="2B4D164C"/>
    <w:rsid w:val="2B6304A7"/>
    <w:rsid w:val="2C465774"/>
    <w:rsid w:val="2C642D3E"/>
    <w:rsid w:val="2CF6734C"/>
    <w:rsid w:val="2D241E91"/>
    <w:rsid w:val="2D4D284A"/>
    <w:rsid w:val="2D663463"/>
    <w:rsid w:val="2E112A52"/>
    <w:rsid w:val="2EDD38C8"/>
    <w:rsid w:val="2EF96EE4"/>
    <w:rsid w:val="2EFB779B"/>
    <w:rsid w:val="2FCA01B1"/>
    <w:rsid w:val="2FF10008"/>
    <w:rsid w:val="30C9346B"/>
    <w:rsid w:val="310B3FF1"/>
    <w:rsid w:val="316C5EB5"/>
    <w:rsid w:val="317E4255"/>
    <w:rsid w:val="31912AE9"/>
    <w:rsid w:val="31E37A09"/>
    <w:rsid w:val="322C4303"/>
    <w:rsid w:val="32C207BF"/>
    <w:rsid w:val="3380787D"/>
    <w:rsid w:val="33822A0F"/>
    <w:rsid w:val="344C23E9"/>
    <w:rsid w:val="34F565DC"/>
    <w:rsid w:val="352E7115"/>
    <w:rsid w:val="35D271A0"/>
    <w:rsid w:val="35D73F34"/>
    <w:rsid w:val="36254FE4"/>
    <w:rsid w:val="365F76EC"/>
    <w:rsid w:val="36AA39B8"/>
    <w:rsid w:val="372F61E0"/>
    <w:rsid w:val="39322FCA"/>
    <w:rsid w:val="3A376535"/>
    <w:rsid w:val="3A503E1E"/>
    <w:rsid w:val="3AB90991"/>
    <w:rsid w:val="3B706131"/>
    <w:rsid w:val="3BF833EC"/>
    <w:rsid w:val="3C8E02FC"/>
    <w:rsid w:val="3C931866"/>
    <w:rsid w:val="3D3346FD"/>
    <w:rsid w:val="3DE11DF4"/>
    <w:rsid w:val="3E6F041E"/>
    <w:rsid w:val="3E846635"/>
    <w:rsid w:val="3EC02A3D"/>
    <w:rsid w:val="3F2F74FF"/>
    <w:rsid w:val="3F9D2397"/>
    <w:rsid w:val="4020131E"/>
    <w:rsid w:val="40AC20A0"/>
    <w:rsid w:val="41A5482C"/>
    <w:rsid w:val="4275481E"/>
    <w:rsid w:val="428B617A"/>
    <w:rsid w:val="42CE288A"/>
    <w:rsid w:val="433D7BDC"/>
    <w:rsid w:val="437E1813"/>
    <w:rsid w:val="43A427AA"/>
    <w:rsid w:val="43E96A97"/>
    <w:rsid w:val="442073EE"/>
    <w:rsid w:val="444E2202"/>
    <w:rsid w:val="45354CBC"/>
    <w:rsid w:val="45B0165B"/>
    <w:rsid w:val="45BD47FC"/>
    <w:rsid w:val="45CC5FB2"/>
    <w:rsid w:val="45CE68E5"/>
    <w:rsid w:val="46B75BA8"/>
    <w:rsid w:val="46E91D19"/>
    <w:rsid w:val="476E5648"/>
    <w:rsid w:val="477D191C"/>
    <w:rsid w:val="47DE0683"/>
    <w:rsid w:val="48C97955"/>
    <w:rsid w:val="48D805C0"/>
    <w:rsid w:val="492E2C7C"/>
    <w:rsid w:val="49880C8F"/>
    <w:rsid w:val="4A1A43A3"/>
    <w:rsid w:val="4A1E2A29"/>
    <w:rsid w:val="4A2007F8"/>
    <w:rsid w:val="4A8835F7"/>
    <w:rsid w:val="4AB619BA"/>
    <w:rsid w:val="4B1A4B97"/>
    <w:rsid w:val="4B592E71"/>
    <w:rsid w:val="4BFA7044"/>
    <w:rsid w:val="4C7721B5"/>
    <w:rsid w:val="4C851584"/>
    <w:rsid w:val="4CB314C9"/>
    <w:rsid w:val="4DAB0146"/>
    <w:rsid w:val="4DF75369"/>
    <w:rsid w:val="4E9E572E"/>
    <w:rsid w:val="4EA23B01"/>
    <w:rsid w:val="4EB0217D"/>
    <w:rsid w:val="4F8B220C"/>
    <w:rsid w:val="504F4EAF"/>
    <w:rsid w:val="50724B2D"/>
    <w:rsid w:val="50D35AED"/>
    <w:rsid w:val="516C4BAA"/>
    <w:rsid w:val="51BF13F4"/>
    <w:rsid w:val="51D51447"/>
    <w:rsid w:val="523C53F3"/>
    <w:rsid w:val="528B5CF4"/>
    <w:rsid w:val="52B9239A"/>
    <w:rsid w:val="52D52A7F"/>
    <w:rsid w:val="53215E4A"/>
    <w:rsid w:val="539E4E4F"/>
    <w:rsid w:val="54287EA1"/>
    <w:rsid w:val="54BD78FD"/>
    <w:rsid w:val="552A3C28"/>
    <w:rsid w:val="555A2DA3"/>
    <w:rsid w:val="555B06B0"/>
    <w:rsid w:val="555F73B8"/>
    <w:rsid w:val="56901A99"/>
    <w:rsid w:val="56CF7066"/>
    <w:rsid w:val="571B2939"/>
    <w:rsid w:val="572A4045"/>
    <w:rsid w:val="581925FA"/>
    <w:rsid w:val="58A86DDE"/>
    <w:rsid w:val="59154AD7"/>
    <w:rsid w:val="59254E33"/>
    <w:rsid w:val="5A3C6E2C"/>
    <w:rsid w:val="5A542AB4"/>
    <w:rsid w:val="5ABB5323"/>
    <w:rsid w:val="5ADF548D"/>
    <w:rsid w:val="5BF95104"/>
    <w:rsid w:val="5C4627AE"/>
    <w:rsid w:val="5C9249CA"/>
    <w:rsid w:val="5D5C60B4"/>
    <w:rsid w:val="5DA23E51"/>
    <w:rsid w:val="5E5B22B9"/>
    <w:rsid w:val="5F5C55FF"/>
    <w:rsid w:val="5F9B694B"/>
    <w:rsid w:val="60027C70"/>
    <w:rsid w:val="605E6D10"/>
    <w:rsid w:val="60651FB9"/>
    <w:rsid w:val="609D1752"/>
    <w:rsid w:val="614E12EC"/>
    <w:rsid w:val="616D6769"/>
    <w:rsid w:val="619522AC"/>
    <w:rsid w:val="61A93542"/>
    <w:rsid w:val="62BD60DC"/>
    <w:rsid w:val="63F04A69"/>
    <w:rsid w:val="646A3D0C"/>
    <w:rsid w:val="64A82747"/>
    <w:rsid w:val="64D53AFD"/>
    <w:rsid w:val="65336B29"/>
    <w:rsid w:val="65C45128"/>
    <w:rsid w:val="65FE2AFA"/>
    <w:rsid w:val="660B1854"/>
    <w:rsid w:val="66526AE4"/>
    <w:rsid w:val="66A50B1E"/>
    <w:rsid w:val="67095CF1"/>
    <w:rsid w:val="674E3DF4"/>
    <w:rsid w:val="679F2254"/>
    <w:rsid w:val="679F4002"/>
    <w:rsid w:val="67B2063C"/>
    <w:rsid w:val="67C97AC3"/>
    <w:rsid w:val="67D5595A"/>
    <w:rsid w:val="67E30EC1"/>
    <w:rsid w:val="688379AF"/>
    <w:rsid w:val="691F001C"/>
    <w:rsid w:val="695D046C"/>
    <w:rsid w:val="6A4E3B2B"/>
    <w:rsid w:val="6A7B1191"/>
    <w:rsid w:val="6AC838A9"/>
    <w:rsid w:val="6AED682D"/>
    <w:rsid w:val="6B481C3B"/>
    <w:rsid w:val="6B875383"/>
    <w:rsid w:val="6C1331A3"/>
    <w:rsid w:val="6C347734"/>
    <w:rsid w:val="6C765676"/>
    <w:rsid w:val="6CA84BC1"/>
    <w:rsid w:val="6D170ADE"/>
    <w:rsid w:val="6D227A6B"/>
    <w:rsid w:val="6D3E4756"/>
    <w:rsid w:val="6D5D40D0"/>
    <w:rsid w:val="6DB12318"/>
    <w:rsid w:val="6DF80910"/>
    <w:rsid w:val="6F12155D"/>
    <w:rsid w:val="6F794314"/>
    <w:rsid w:val="6FC523EB"/>
    <w:rsid w:val="6FE22646"/>
    <w:rsid w:val="70122115"/>
    <w:rsid w:val="70825D63"/>
    <w:rsid w:val="70BA0E1D"/>
    <w:rsid w:val="71A00ED1"/>
    <w:rsid w:val="71FE41EB"/>
    <w:rsid w:val="727E6F0A"/>
    <w:rsid w:val="72895F2E"/>
    <w:rsid w:val="72C02EBE"/>
    <w:rsid w:val="72C507AD"/>
    <w:rsid w:val="72D028D8"/>
    <w:rsid w:val="73234831"/>
    <w:rsid w:val="733F0D8F"/>
    <w:rsid w:val="74367A9C"/>
    <w:rsid w:val="745D47C3"/>
    <w:rsid w:val="74790C30"/>
    <w:rsid w:val="75341FA7"/>
    <w:rsid w:val="755404B8"/>
    <w:rsid w:val="75C77DAC"/>
    <w:rsid w:val="764F7753"/>
    <w:rsid w:val="76AC3757"/>
    <w:rsid w:val="76DC0C04"/>
    <w:rsid w:val="779D7E32"/>
    <w:rsid w:val="77D4005C"/>
    <w:rsid w:val="78292927"/>
    <w:rsid w:val="78D35C78"/>
    <w:rsid w:val="78D62583"/>
    <w:rsid w:val="78F33EC6"/>
    <w:rsid w:val="78F37D6B"/>
    <w:rsid w:val="7A6B48EE"/>
    <w:rsid w:val="7B8A3D70"/>
    <w:rsid w:val="7B902651"/>
    <w:rsid w:val="7C6021A7"/>
    <w:rsid w:val="7CAB4D9F"/>
    <w:rsid w:val="7CB93F8E"/>
    <w:rsid w:val="7CED7FF7"/>
    <w:rsid w:val="7CF66B46"/>
    <w:rsid w:val="7D185B2A"/>
    <w:rsid w:val="7D4A0A5C"/>
    <w:rsid w:val="7D9530E9"/>
    <w:rsid w:val="7D97125D"/>
    <w:rsid w:val="7DB618B0"/>
    <w:rsid w:val="7DBD28BA"/>
    <w:rsid w:val="7DF63749"/>
    <w:rsid w:val="7E174DE1"/>
    <w:rsid w:val="7E736B66"/>
    <w:rsid w:val="7EE64005"/>
    <w:rsid w:val="7EEE33A0"/>
    <w:rsid w:val="7F4F5EB6"/>
    <w:rsid w:val="7FDC5A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semiHidden="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ind w:firstLine="200" w:firstLineChars="200"/>
      <w:jc w:val="both"/>
    </w:pPr>
    <w:rPr>
      <w:rFonts w:ascii="仿宋_GB2312" w:hAnsi="仿宋_GB2312" w:eastAsia="仿宋_GB2312" w:cs="Times New Roman"/>
      <w:kern w:val="2"/>
      <w:sz w:val="28"/>
      <w:lang w:val="en-US" w:eastAsia="zh-CN" w:bidi="ar-SA"/>
    </w:rPr>
  </w:style>
  <w:style w:type="paragraph" w:styleId="3">
    <w:name w:val="heading 1"/>
    <w:basedOn w:val="4"/>
    <w:next w:val="1"/>
    <w:link w:val="68"/>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70"/>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111"/>
    <w:semiHidden/>
    <w:qFormat/>
    <w:uiPriority w:val="0"/>
    <w:pPr>
      <w:keepNext/>
      <w:keepLines/>
      <w:spacing w:line="416" w:lineRule="auto"/>
      <w:outlineLvl w:val="2"/>
    </w:pPr>
    <w:rPr>
      <w:b/>
      <w:bCs/>
      <w:sz w:val="32"/>
      <w:szCs w:val="32"/>
    </w:rPr>
  </w:style>
  <w:style w:type="paragraph" w:styleId="7">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2"/>
    <w:qFormat/>
    <w:uiPriority w:val="0"/>
    <w:rPr>
      <w:rFonts w:ascii="宋体" w:hAnsi="Courier New"/>
    </w:rPr>
  </w:style>
  <w:style w:type="paragraph" w:styleId="4">
    <w:name w:val="toc 3"/>
    <w:basedOn w:val="1"/>
    <w:next w:val="1"/>
    <w:semiHidden/>
    <w:qFormat/>
    <w:uiPriority w:val="39"/>
    <w:pPr>
      <w:adjustRightInd w:val="0"/>
      <w:spacing w:line="312" w:lineRule="atLeast"/>
      <w:ind w:left="840" w:leftChars="400"/>
      <w:textAlignment w:val="baseline"/>
    </w:pPr>
    <w:rPr>
      <w:kern w:val="0"/>
      <w:sz w:val="24"/>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7"/>
    <w:qFormat/>
    <w:uiPriority w:val="99"/>
    <w:pPr>
      <w:jc w:val="left"/>
    </w:pPr>
  </w:style>
  <w:style w:type="paragraph" w:styleId="13">
    <w:name w:val="Body Text"/>
    <w:basedOn w:val="1"/>
    <w:next w:val="1"/>
    <w:link w:val="43"/>
    <w:semiHidden/>
    <w:qFormat/>
    <w:uiPriority w:val="98"/>
    <w:rPr>
      <w:sz w:val="32"/>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Date"/>
    <w:basedOn w:val="1"/>
    <w:next w:val="1"/>
    <w:link w:val="87"/>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9"/>
    <w:semiHidden/>
    <w:qFormat/>
    <w:uiPriority w:val="0"/>
    <w:rPr>
      <w:sz w:val="18"/>
      <w:szCs w:val="18"/>
    </w:rPr>
  </w:style>
  <w:style w:type="paragraph" w:styleId="18">
    <w:name w:val="footer"/>
    <w:basedOn w:val="1"/>
    <w:link w:val="44"/>
    <w:semiHidden/>
    <w:qFormat/>
    <w:uiPriority w:val="0"/>
    <w:pPr>
      <w:tabs>
        <w:tab w:val="center" w:pos="4153"/>
        <w:tab w:val="right" w:pos="8306"/>
      </w:tabs>
      <w:snapToGrid w:val="0"/>
      <w:jc w:val="left"/>
    </w:pPr>
    <w:rPr>
      <w:sz w:val="18"/>
      <w:szCs w:val="18"/>
    </w:rPr>
  </w:style>
  <w:style w:type="paragraph" w:styleId="19">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5"/>
    <w:semiHidden/>
    <w:qFormat/>
    <w:uiPriority w:val="98"/>
    <w:rPr>
      <w:b/>
      <w:bCs/>
    </w:rPr>
  </w:style>
  <w:style w:type="paragraph" w:styleId="29">
    <w:name w:val="Body Text First Indent 2"/>
    <w:basedOn w:val="14"/>
    <w:next w:val="24"/>
    <w:qFormat/>
    <w:uiPriority w:val="0"/>
    <w:pPr>
      <w:spacing w:after="0"/>
      <w:ind w:left="0" w:leftChars="0"/>
      <w:jc w:val="left"/>
    </w:pPr>
    <w:rPr>
      <w:rFonts w:ascii="仿宋_GB2312" w:hAnsi="仿宋_GB2312"/>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标题 2 Char"/>
    <w:qFormat/>
    <w:uiPriority w:val="0"/>
    <w:rPr>
      <w:rFonts w:ascii="宋体" w:hAnsi="宋体"/>
      <w:bCs/>
      <w:sz w:val="24"/>
      <w:szCs w:val="32"/>
    </w:rPr>
  </w:style>
  <w:style w:type="paragraph" w:customStyle="1" w:styleId="4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3"/>
    <w:semiHidden/>
    <w:qFormat/>
    <w:uiPriority w:val="98"/>
    <w:rPr>
      <w:rFonts w:ascii="仿宋_GB2312" w:eastAsia="仿宋_GB2312"/>
      <w:kern w:val="2"/>
      <w:sz w:val="32"/>
    </w:rPr>
  </w:style>
  <w:style w:type="character" w:customStyle="1" w:styleId="44">
    <w:name w:val="页脚 字符"/>
    <w:link w:val="18"/>
    <w:semiHidden/>
    <w:qFormat/>
    <w:uiPriority w:val="0"/>
    <w:rPr>
      <w:kern w:val="2"/>
      <w:sz w:val="18"/>
      <w:szCs w:val="18"/>
    </w:rPr>
  </w:style>
  <w:style w:type="character" w:customStyle="1" w:styleId="45">
    <w:name w:val="标题 3 字符"/>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2"/>
    <w:qFormat/>
    <w:uiPriority w:val="99"/>
    <w:rPr>
      <w:kern w:val="2"/>
      <w:sz w:val="21"/>
    </w:rPr>
  </w:style>
  <w:style w:type="character" w:customStyle="1" w:styleId="48">
    <w:name w:val="apple-converted-space"/>
    <w:basedOn w:val="32"/>
    <w:semiHidden/>
    <w:qFormat/>
    <w:uiPriority w:val="98"/>
  </w:style>
  <w:style w:type="character" w:customStyle="1" w:styleId="49">
    <w:name w:val="批注框文本 字符"/>
    <w:link w:val="17"/>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2"/>
    <w:semiHidden/>
    <w:qFormat/>
    <w:uiPriority w:val="0"/>
    <w:rPr>
      <w:rFonts w:ascii="宋体" w:hAnsi="Courier New"/>
      <w:kern w:val="2"/>
      <w:sz w:val="21"/>
    </w:rPr>
  </w:style>
  <w:style w:type="character" w:customStyle="1" w:styleId="53">
    <w:name w:val="纯文本 字符"/>
    <w:qFormat/>
    <w:uiPriority w:val="0"/>
    <w:rPr>
      <w:rFonts w:ascii="宋体" w:hAnsi="Courier New" w:eastAsia="宋体"/>
    </w:rPr>
  </w:style>
  <w:style w:type="character" w:customStyle="1" w:styleId="54">
    <w:name w:val="页眉 字符"/>
    <w:link w:val="19"/>
    <w:semiHidden/>
    <w:qFormat/>
    <w:uiPriority w:val="0"/>
    <w:rPr>
      <w:kern w:val="2"/>
      <w:sz w:val="18"/>
      <w:szCs w:val="18"/>
    </w:rPr>
  </w:style>
  <w:style w:type="character" w:customStyle="1" w:styleId="55">
    <w:name w:val="批注主题 字符"/>
    <w:link w:val="28"/>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pPr>
    <w:rPr>
      <w:rFonts w:ascii="Calibri" w:hAnsi="Calibri"/>
      <w:szCs w:val="22"/>
    </w:rPr>
  </w:style>
  <w:style w:type="paragraph" w:customStyle="1" w:styleId="65">
    <w:name w:val="列出段落1"/>
    <w:basedOn w:val="1"/>
    <w:semiHidden/>
    <w:qFormat/>
    <w:uiPriority w:val="98"/>
    <w:pPr>
      <w:ind w:firstLine="42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2"/>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2">
    <w:name w:val="章节"/>
    <w:basedOn w:val="2"/>
    <w:qFormat/>
    <w:uiPriority w:val="0"/>
    <w:pPr>
      <w:spacing w:line="360" w:lineRule="auto"/>
      <w:ind w:firstLine="0" w:firstLineChars="0"/>
      <w:jc w:val="center"/>
      <w:outlineLvl w:val="0"/>
    </w:pPr>
    <w:rPr>
      <w:rFonts w:ascii="黑体" w:eastAsia="黑体"/>
      <w:b/>
      <w:bCs/>
      <w:sz w:val="36"/>
      <w:szCs w:val="36"/>
    </w:rPr>
  </w:style>
  <w:style w:type="paragraph" w:customStyle="1" w:styleId="73">
    <w:name w:val="一级标题"/>
    <w:basedOn w:val="2"/>
    <w:qFormat/>
    <w:uiPriority w:val="1"/>
    <w:pPr>
      <w:numPr>
        <w:ilvl w:val="0"/>
        <w:numId w:val="2"/>
      </w:numPr>
      <w:spacing w:line="360" w:lineRule="auto"/>
      <w:ind w:firstLine="0" w:firstLineChars="0"/>
      <w:outlineLvl w:val="1"/>
    </w:pPr>
    <w:rPr>
      <w:rFonts w:ascii="黑体" w:eastAsia="黑体"/>
      <w:b/>
      <w:bCs/>
    </w:rPr>
  </w:style>
  <w:style w:type="paragraph" w:customStyle="1" w:styleId="74">
    <w:name w:val="（二）级标题"/>
    <w:basedOn w:val="2"/>
    <w:qFormat/>
    <w:uiPriority w:val="2"/>
    <w:pPr>
      <w:numPr>
        <w:ilvl w:val="0"/>
        <w:numId w:val="3"/>
      </w:numPr>
      <w:spacing w:line="360" w:lineRule="auto"/>
      <w:outlineLvl w:val="2"/>
    </w:pPr>
    <w:rPr>
      <w:b/>
    </w:rPr>
  </w:style>
  <w:style w:type="paragraph" w:customStyle="1" w:styleId="75">
    <w:name w:val="3级标题"/>
    <w:basedOn w:val="2"/>
    <w:link w:val="102"/>
    <w:qFormat/>
    <w:uiPriority w:val="3"/>
    <w:pPr>
      <w:numPr>
        <w:ilvl w:val="0"/>
        <w:numId w:val="4"/>
      </w:numPr>
      <w:spacing w:line="360" w:lineRule="auto"/>
      <w:outlineLvl w:val="3"/>
    </w:pPr>
    <w:rPr>
      <w:b/>
    </w:rPr>
  </w:style>
  <w:style w:type="paragraph" w:customStyle="1" w:styleId="76">
    <w:name w:val="（4）级标题"/>
    <w:basedOn w:val="2"/>
    <w:qFormat/>
    <w:uiPriority w:val="8"/>
    <w:pPr>
      <w:numPr>
        <w:ilvl w:val="0"/>
        <w:numId w:val="5"/>
      </w:numPr>
      <w:spacing w:line="360" w:lineRule="auto"/>
      <w:outlineLvl w:val="4"/>
    </w:pPr>
  </w:style>
  <w:style w:type="paragraph" w:customStyle="1" w:styleId="77">
    <w:name w:val="标书正文"/>
    <w:basedOn w:val="2"/>
    <w:link w:val="97"/>
    <w:qFormat/>
    <w:uiPriority w:val="9"/>
    <w:pPr>
      <w:spacing w:line="360" w:lineRule="auto"/>
      <w:jc w:val="left"/>
    </w:pPr>
  </w:style>
  <w:style w:type="character" w:customStyle="1" w:styleId="78">
    <w:name w:val="标题 4 字符"/>
    <w:basedOn w:val="32"/>
    <w:link w:val="7"/>
    <w:semiHidden/>
    <w:qFormat/>
    <w:uiPriority w:val="0"/>
    <w:rPr>
      <w:rFonts w:ascii="Arial" w:hAnsi="Arial"/>
      <w:b/>
      <w:bCs/>
      <w:kern w:val="2"/>
      <w:sz w:val="21"/>
      <w:szCs w:val="28"/>
    </w:rPr>
  </w:style>
  <w:style w:type="character" w:customStyle="1" w:styleId="79">
    <w:name w:val="标题 5 字符"/>
    <w:basedOn w:val="32"/>
    <w:link w:val="8"/>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7"/>
    <w:link w:val="98"/>
    <w:qFormat/>
    <w:uiPriority w:val="11"/>
    <w:pPr>
      <w:numPr>
        <w:ilvl w:val="0"/>
        <w:numId w:val="7"/>
      </w:numPr>
      <w:ind w:firstLine="0"/>
    </w:pPr>
  </w:style>
  <w:style w:type="character" w:customStyle="1" w:styleId="97">
    <w:name w:val="标书正文 字符"/>
    <w:basedOn w:val="52"/>
    <w:link w:val="77"/>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不明显强调1"/>
    <w:basedOn w:val="32"/>
    <w:qFormat/>
    <w:uiPriority w:val="19"/>
    <w:rPr>
      <w:rFonts w:eastAsia="宋体"/>
      <w:i/>
      <w:iCs/>
      <w:color w:val="auto"/>
      <w:sz w:val="21"/>
    </w:rPr>
  </w:style>
  <w:style w:type="paragraph" w:customStyle="1" w:styleId="101">
    <w:name w:val="⑥级标题"/>
    <w:basedOn w:val="75"/>
    <w:link w:val="103"/>
    <w:qFormat/>
    <w:uiPriority w:val="12"/>
    <w:pPr>
      <w:numPr>
        <w:numId w:val="8"/>
      </w:numPr>
    </w:pPr>
  </w:style>
  <w:style w:type="character" w:customStyle="1" w:styleId="102">
    <w:name w:val="3级标题 字符"/>
    <w:basedOn w:val="52"/>
    <w:link w:val="75"/>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字符1"/>
    <w:link w:val="6"/>
    <w:qFormat/>
    <w:uiPriority w:val="0"/>
    <w:rPr>
      <w:b/>
      <w:sz w:val="32"/>
    </w:rPr>
  </w:style>
  <w:style w:type="paragraph" w:customStyle="1" w:styleId="112">
    <w:name w:val="Table Paragraph"/>
    <w:basedOn w:val="1"/>
    <w:qFormat/>
    <w:uiPriority w:val="1"/>
    <w:rPr>
      <w:rFonts w:ascii="宋体" w:hAnsi="宋体" w:cs="宋体"/>
    </w:rPr>
  </w:style>
  <w:style w:type="table" w:customStyle="1" w:styleId="113">
    <w:name w:val="Table Normal"/>
    <w:qFormat/>
    <w:uiPriority w:val="0"/>
    <w:tblPr>
      <w:tblCellMar>
        <w:top w:w="0" w:type="dxa"/>
        <w:left w:w="0" w:type="dxa"/>
        <w:bottom w:w="0" w:type="dxa"/>
        <w:right w:w="0" w:type="dxa"/>
      </w:tblCellMar>
    </w:tblPr>
  </w:style>
  <w:style w:type="paragraph" w:customStyle="1" w:styleId="114">
    <w:name w:val="1正文段落"/>
    <w:basedOn w:val="1"/>
    <w:qFormat/>
    <w:uiPriority w:val="0"/>
    <w:pPr>
      <w:spacing w:line="360" w:lineRule="auto"/>
      <w:ind w:firstLine="480"/>
      <w:jc w:val="left"/>
    </w:pPr>
    <w:rPr>
      <w:snapToGrid w:val="0"/>
      <w:kern w:val="0"/>
      <w:sz w:val="24"/>
      <w:szCs w:val="24"/>
    </w:rPr>
  </w:style>
  <w:style w:type="paragraph" w:customStyle="1" w:styleId="115">
    <w:name w:val="Table Text"/>
    <w:basedOn w:val="1"/>
    <w:semiHidden/>
    <w:qFormat/>
    <w:uiPriority w:val="0"/>
    <w:rPr>
      <w:rFonts w:ascii="宋体" w:hAnsi="宋体" w:cs="宋体"/>
      <w:sz w:val="22"/>
      <w:szCs w:val="22"/>
      <w:lang w:eastAsia="en-US"/>
    </w:rPr>
  </w:style>
  <w:style w:type="paragraph" w:customStyle="1" w:styleId="116">
    <w:name w:val="修订1"/>
    <w:hidden/>
    <w:unhideWhenUsed/>
    <w:qFormat/>
    <w:uiPriority w:val="99"/>
    <w:rPr>
      <w:rFonts w:ascii="Times New Roman" w:hAnsi="Times New Roman" w:eastAsia="宋体" w:cs="Times New Roman"/>
      <w:kern w:val="2"/>
      <w:sz w:val="21"/>
      <w:lang w:val="en-US" w:eastAsia="zh-CN" w:bidi="ar-SA"/>
    </w:rPr>
  </w:style>
  <w:style w:type="character" w:customStyle="1" w:styleId="117">
    <w:name w:val="未处理的提及1"/>
    <w:basedOn w:val="32"/>
    <w:semiHidden/>
    <w:unhideWhenUsed/>
    <w:qFormat/>
    <w:uiPriority w:val="99"/>
    <w:rPr>
      <w:color w:val="605E5C"/>
      <w:shd w:val="clear" w:color="auto" w:fill="E1DFDD"/>
    </w:rPr>
  </w:style>
  <w:style w:type="paragraph" w:customStyle="1" w:styleId="118">
    <w:name w:val="列出段落11"/>
    <w:basedOn w:val="1"/>
    <w:qFormat/>
    <w:uiPriority w:val="0"/>
    <w:pPr>
      <w:ind w:firstLine="420"/>
    </w:pPr>
    <w:rPr>
      <w:rFonts w:ascii="Calibri" w:hAnsi="Calibri" w:cstheme="minorBidi"/>
      <w:kern w:val="0"/>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D6B260-74E4-4258-978B-F5772B72213D}">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8446</Words>
  <Characters>8787</Characters>
  <Lines>93</Lines>
  <Paragraphs>26</Paragraphs>
  <TotalTime>53</TotalTime>
  <ScaleCrop>false</ScaleCrop>
  <LinksUpToDate>false</LinksUpToDate>
  <CharactersWithSpaces>8862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加油</cp:lastModifiedBy>
  <cp:lastPrinted>2020-06-28T02:28:00Z</cp:lastPrinted>
  <dcterms:modified xsi:type="dcterms:W3CDTF">2026-07-16T09:40:39Z</dcterms:modified>
  <cp:revision>210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04193A2095C24E99B23BB77C00687CFC_13</vt:lpwstr>
  </property>
  <property fmtid="{D5CDD505-2E9C-101B-9397-08002B2CF9AE}" pid="4" name="KSOTemplateDocerSaveRecord">
    <vt:lpwstr>eyJoZGlkIjoiY2JlZTU5MTA5OTg0MThhNDEwNTlhOGVlNzE2OTRjY2QiLCJ1c2VySWQiOiIxNzczMjIwNTQ4In0=</vt:lpwstr>
  </property>
</Properties>
</file>